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A" w:rsidRDefault="00CF4234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1D6E8A" w:rsidRDefault="00CF4234">
      <w:pPr>
        <w:pStyle w:val="PrincipalActReg"/>
        <w:spacing w:before="2600" w:after="0"/>
      </w:pPr>
      <w:r>
        <w:t>Police (Medical and Other Expenses for Former Officers) Act 2008</w:t>
      </w:r>
    </w:p>
    <w:p w:rsidR="001D6E8A" w:rsidRDefault="00CF4234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03D6B">
        <w:rPr>
          <w:noProof/>
        </w:rPr>
        <w:t>Police (Medical and Other Expenses for Former Officers) Regulations 2009</w:t>
      </w:r>
      <w:r>
        <w:fldChar w:fldCharType="end"/>
      </w:r>
    </w:p>
    <w:p w:rsidR="001D6E8A" w:rsidRDefault="001D6E8A">
      <w:pPr>
        <w:jc w:val="center"/>
        <w:rPr>
          <w:b/>
        </w:rPr>
        <w:sectPr w:rsidR="001D6E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D6E8A" w:rsidRDefault="00CF4234">
      <w:pPr>
        <w:pStyle w:val="WA"/>
      </w:pPr>
      <w:r>
        <w:lastRenderedPageBreak/>
        <w:t>Western Australia</w:t>
      </w:r>
    </w:p>
    <w:p w:rsidR="001D6E8A" w:rsidRDefault="00CF423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03D6B">
        <w:rPr>
          <w:noProof/>
        </w:rPr>
        <w:t>Police (Medical and Other Expenses for Former Officers) Regulations 2009</w:t>
      </w:r>
      <w:r>
        <w:fldChar w:fldCharType="end"/>
      </w:r>
    </w:p>
    <w:p w:rsidR="001D6E8A" w:rsidRDefault="00CF4234">
      <w:pPr>
        <w:pStyle w:val="Arrangement"/>
      </w:pPr>
      <w:r>
        <w:t>CONTENTS</w:t>
      </w:r>
    </w:p>
    <w:p w:rsidR="001D6E8A" w:rsidRDefault="00CF423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 matters</w:t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_Toc233707777 \h </w:instrText>
      </w:r>
      <w:r>
        <w:fldChar w:fldCharType="separate"/>
      </w:r>
      <w:r w:rsidR="00D03D6B">
        <w:t>1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_Toc233707778 \h </w:instrText>
      </w:r>
      <w:r>
        <w:fldChar w:fldCharType="separate"/>
      </w:r>
      <w:r w:rsidR="00D03D6B">
        <w:t>1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</w:t>
      </w:r>
      <w:r>
        <w:tab/>
      </w:r>
      <w:r>
        <w:fldChar w:fldCharType="begin"/>
      </w:r>
      <w:r>
        <w:instrText xml:space="preserve"> PAGEREF _Toc233707779 \h </w:instrText>
      </w:r>
      <w:r>
        <w:fldChar w:fldCharType="separate"/>
      </w:r>
      <w:r w:rsidR="00D03D6B">
        <w:t>1</w:t>
      </w:r>
      <w:r>
        <w:fldChar w:fldCharType="end"/>
      </w:r>
    </w:p>
    <w:p w:rsidR="001D6E8A" w:rsidRDefault="00CF423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Claims procedure</w:t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Making claim</w:t>
      </w:r>
      <w:r>
        <w:tab/>
      </w:r>
      <w:r>
        <w:fldChar w:fldCharType="begin"/>
      </w:r>
      <w:r>
        <w:instrText xml:space="preserve"> PAGEREF _Toc233707781 \h </w:instrText>
      </w:r>
      <w:r>
        <w:fldChar w:fldCharType="separate"/>
      </w:r>
      <w:r w:rsidR="00D03D6B">
        <w:t>2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Response to claim</w:t>
      </w:r>
      <w:r>
        <w:tab/>
      </w:r>
      <w:r>
        <w:fldChar w:fldCharType="begin"/>
      </w:r>
      <w:r>
        <w:instrText xml:space="preserve"> PAGEREF _Toc233707782 \h </w:instrText>
      </w:r>
      <w:r>
        <w:fldChar w:fldCharType="separate"/>
      </w:r>
      <w:r w:rsidR="00D03D6B">
        <w:t>2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Initial medical examination</w:t>
      </w:r>
      <w:r>
        <w:tab/>
      </w:r>
      <w:r>
        <w:fldChar w:fldCharType="begin"/>
      </w:r>
      <w:r>
        <w:instrText xml:space="preserve"> PAGEREF _Toc233707783 \h </w:instrText>
      </w:r>
      <w:r>
        <w:fldChar w:fldCharType="separate"/>
      </w:r>
      <w:r w:rsidR="00D03D6B">
        <w:t>2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Periodic medical examinations</w:t>
      </w:r>
      <w:r>
        <w:tab/>
      </w:r>
      <w:r>
        <w:fldChar w:fldCharType="begin"/>
      </w:r>
      <w:r>
        <w:instrText xml:space="preserve"> PAGEREF _Toc233707784 \h </w:instrText>
      </w:r>
      <w:r>
        <w:fldChar w:fldCharType="separate"/>
      </w:r>
      <w:r w:rsidR="00D03D6B">
        <w:t>3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Treatment plan</w:t>
      </w:r>
      <w:r>
        <w:tab/>
      </w:r>
      <w:r>
        <w:fldChar w:fldCharType="begin"/>
      </w:r>
      <w:r>
        <w:instrText xml:space="preserve"> PAGEREF _Toc233707785 \h </w:instrText>
      </w:r>
      <w:r>
        <w:fldChar w:fldCharType="separate"/>
      </w:r>
      <w:r w:rsidR="00D03D6B">
        <w:t>3</w:t>
      </w:r>
      <w:r>
        <w:fldChar w:fldCharType="end"/>
      </w:r>
    </w:p>
    <w:p w:rsidR="001D6E8A" w:rsidRDefault="00CF423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Dispute resolution</w:t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Application of this Part</w:t>
      </w:r>
      <w:r>
        <w:tab/>
      </w:r>
      <w:r>
        <w:fldChar w:fldCharType="begin"/>
      </w:r>
      <w:r>
        <w:instrText xml:space="preserve"> PAGEREF _Toc233707787 \h </w:instrText>
      </w:r>
      <w:r>
        <w:fldChar w:fldCharType="separate"/>
      </w:r>
      <w:r w:rsidR="00D03D6B">
        <w:t>4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Applied provisions of WC&amp;IM Act</w:t>
      </w:r>
      <w:r>
        <w:tab/>
      </w:r>
      <w:r>
        <w:fldChar w:fldCharType="begin"/>
      </w:r>
      <w:r>
        <w:instrText xml:space="preserve"> PAGEREF _Toc233707788 \h </w:instrText>
      </w:r>
      <w:r>
        <w:fldChar w:fldCharType="separate"/>
      </w:r>
      <w:r w:rsidR="00D03D6B">
        <w:t>4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References to terms used in applied provisions</w:t>
      </w:r>
      <w:r>
        <w:tab/>
      </w:r>
      <w:r>
        <w:fldChar w:fldCharType="begin"/>
      </w:r>
      <w:r>
        <w:instrText xml:space="preserve"> PAGEREF _Toc233707789 \h </w:instrText>
      </w:r>
      <w:r>
        <w:fldChar w:fldCharType="separate"/>
      </w:r>
      <w:r w:rsidR="00D03D6B">
        <w:t>4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Notice under section 178(1)(a): sufficient compliance</w:t>
      </w:r>
      <w:r>
        <w:tab/>
      </w:r>
      <w:r>
        <w:fldChar w:fldCharType="begin"/>
      </w:r>
      <w:r>
        <w:instrText xml:space="preserve"> PAGEREF _Toc233707790 \h </w:instrText>
      </w:r>
      <w:r>
        <w:fldChar w:fldCharType="separate"/>
      </w:r>
      <w:r w:rsidR="00D03D6B">
        <w:t>5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Forms and information</w:t>
      </w:r>
      <w:r>
        <w:tab/>
      </w:r>
      <w:r>
        <w:fldChar w:fldCharType="begin"/>
      </w:r>
      <w:r>
        <w:instrText xml:space="preserve"> PAGEREF _Toc233707791 \h </w:instrText>
      </w:r>
      <w:r>
        <w:fldChar w:fldCharType="separate"/>
      </w:r>
      <w:r w:rsidR="00D03D6B">
        <w:t>5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No restriction on award of common law damages</w:t>
      </w:r>
      <w:r>
        <w:tab/>
      </w:r>
      <w:r>
        <w:fldChar w:fldCharType="begin"/>
      </w:r>
      <w:r>
        <w:instrText xml:space="preserve"> PAGEREF _Toc233707792 \h </w:instrText>
      </w:r>
      <w:r>
        <w:fldChar w:fldCharType="separate"/>
      </w:r>
      <w:r w:rsidR="00D03D6B">
        <w:t>6</w:t>
      </w:r>
      <w:r>
        <w:fldChar w:fldCharType="end"/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Evidence admissible in common law proceedings</w:t>
      </w:r>
      <w:r>
        <w:tab/>
      </w:r>
      <w:r>
        <w:fldChar w:fldCharType="begin"/>
      </w:r>
      <w:r>
        <w:instrText xml:space="preserve"> PAGEREF _Toc233707793 \h </w:instrText>
      </w:r>
      <w:r>
        <w:fldChar w:fldCharType="separate"/>
      </w:r>
      <w:r w:rsidR="00D03D6B">
        <w:t>6</w:t>
      </w:r>
      <w:r>
        <w:fldChar w:fldCharType="end"/>
      </w:r>
    </w:p>
    <w:p w:rsidR="001D6E8A" w:rsidRDefault="00CF423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4 — Miscellaneous matters</w:t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Approval of forms</w:t>
      </w:r>
      <w:r>
        <w:tab/>
      </w:r>
      <w:r>
        <w:fldChar w:fldCharType="begin"/>
      </w:r>
      <w:r>
        <w:instrText xml:space="preserve"> PAGEREF _Toc233707795 \h </w:instrText>
      </w:r>
      <w:r>
        <w:fldChar w:fldCharType="separate"/>
      </w:r>
      <w:r w:rsidR="00D03D6B">
        <w:t>7</w:t>
      </w:r>
      <w:r>
        <w:fldChar w:fldCharType="end"/>
      </w:r>
    </w:p>
    <w:p w:rsidR="001D6E8A" w:rsidRDefault="00CF423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D6E8A" w:rsidRDefault="00CF4234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_Toc233707797 \h </w:instrText>
      </w:r>
      <w:r>
        <w:fldChar w:fldCharType="separate"/>
      </w:r>
      <w:r w:rsidR="00D03D6B">
        <w:t>8</w:t>
      </w:r>
      <w:r>
        <w:fldChar w:fldCharType="end"/>
      </w:r>
    </w:p>
    <w:p w:rsidR="001D6E8A" w:rsidRDefault="00CF4234">
      <w:pPr>
        <w:pStyle w:val="TOC8"/>
      </w:pPr>
      <w:r>
        <w:fldChar w:fldCharType="end"/>
      </w:r>
    </w:p>
    <w:p w:rsidR="001D6E8A" w:rsidRDefault="00CF423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1D6E8A" w:rsidRDefault="001D6E8A">
      <w:pPr>
        <w:pStyle w:val="NoteHeading"/>
        <w:sectPr w:rsidR="001D6E8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D6E8A" w:rsidRDefault="00CF4234">
      <w:pPr>
        <w:pStyle w:val="WA"/>
      </w:pPr>
      <w:r>
        <w:t>Western Australia</w:t>
      </w:r>
    </w:p>
    <w:p w:rsidR="001D6E8A" w:rsidRDefault="00CF4234">
      <w:pPr>
        <w:pStyle w:val="PrincipalActReg"/>
      </w:pPr>
      <w:r>
        <w:t>Police (Medical and Other Expenses for Former Officers) Act 2008</w:t>
      </w:r>
    </w:p>
    <w:p w:rsidR="001D6E8A" w:rsidRDefault="00CF4234">
      <w:pPr>
        <w:pStyle w:val="NameofActReg"/>
      </w:pPr>
      <w:r>
        <w:t>Police (Medical and Other Expenses for Former Officers) Regulations 2009</w:t>
      </w:r>
    </w:p>
    <w:p w:rsidR="001D6E8A" w:rsidRDefault="00CF4234">
      <w:pPr>
        <w:pStyle w:val="Heading2"/>
        <w:pageBreakBefore w:val="0"/>
        <w:spacing w:before="240"/>
      </w:pPr>
      <w:bookmarkStart w:id="2" w:name="_Toc224722606"/>
      <w:bookmarkStart w:id="3" w:name="_Toc224722622"/>
      <w:bookmarkStart w:id="4" w:name="_Toc227722292"/>
      <w:bookmarkStart w:id="5" w:name="_Toc231019632"/>
      <w:bookmarkStart w:id="6" w:name="_Toc231037050"/>
      <w:bookmarkStart w:id="7" w:name="_Toc231100708"/>
      <w:bookmarkStart w:id="8" w:name="_Toc231100876"/>
      <w:bookmarkStart w:id="9" w:name="_Toc231101034"/>
      <w:bookmarkStart w:id="10" w:name="_Toc231104661"/>
      <w:bookmarkStart w:id="11" w:name="_Toc231111552"/>
      <w:bookmarkStart w:id="12" w:name="_Toc231192095"/>
      <w:bookmarkStart w:id="13" w:name="_Toc231898419"/>
      <w:bookmarkStart w:id="14" w:name="_Toc231898520"/>
      <w:bookmarkStart w:id="15" w:name="_Toc231966679"/>
      <w:bookmarkStart w:id="16" w:name="_Toc231985755"/>
      <w:bookmarkStart w:id="17" w:name="_Toc231986019"/>
      <w:bookmarkStart w:id="18" w:name="_Toc231986039"/>
      <w:bookmarkStart w:id="19" w:name="_Toc231986195"/>
      <w:bookmarkStart w:id="20" w:name="_Toc232224453"/>
      <w:bookmarkStart w:id="21" w:name="_Toc232224528"/>
      <w:bookmarkStart w:id="22" w:name="_Toc232226784"/>
      <w:bookmarkStart w:id="23" w:name="_Toc232226865"/>
      <w:bookmarkStart w:id="24" w:name="_Toc232227325"/>
      <w:bookmarkStart w:id="25" w:name="_Toc233521740"/>
      <w:bookmarkStart w:id="26" w:name="_Toc233521887"/>
      <w:bookmarkStart w:id="27" w:name="_Toc233522725"/>
      <w:bookmarkStart w:id="28" w:name="_Toc23370777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 matters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D6E8A" w:rsidRDefault="00CF4234">
      <w:pPr>
        <w:pStyle w:val="Heading5"/>
      </w:pPr>
      <w:bookmarkStart w:id="29" w:name="_Toc423332722"/>
      <w:bookmarkStart w:id="30" w:name="_Toc425219441"/>
      <w:bookmarkStart w:id="31" w:name="_Toc426249308"/>
      <w:bookmarkStart w:id="32" w:name="_Toc449924704"/>
      <w:bookmarkStart w:id="33" w:name="_Toc449947722"/>
      <w:bookmarkStart w:id="34" w:name="_Toc454185713"/>
      <w:bookmarkStart w:id="35" w:name="_Toc515958686"/>
      <w:bookmarkStart w:id="36" w:name="_Toc232227326"/>
      <w:bookmarkStart w:id="37" w:name="_Toc233521741"/>
      <w:bookmarkStart w:id="38" w:name="_Toc233707777"/>
      <w:r>
        <w:rPr>
          <w:rStyle w:val="CharSectno"/>
        </w:rPr>
        <w:t>1</w:t>
      </w:r>
      <w:r>
        <w:t>.</w:t>
      </w:r>
      <w:r>
        <w:tab/>
        <w:t>Citation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D6E8A" w:rsidRDefault="00CF4234">
      <w:pPr>
        <w:pStyle w:val="Subsection"/>
        <w:rPr>
          <w:i/>
        </w:rPr>
      </w:pPr>
      <w:r>
        <w:tab/>
      </w:r>
      <w:r>
        <w:tab/>
      </w:r>
      <w:bookmarkStart w:id="39" w:name="Start_Cursor"/>
      <w:bookmarkEnd w:id="3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Police (Medical and Other Expenses for Former Officers) Regulations 2009</w:t>
      </w:r>
      <w:r>
        <w:t>.</w:t>
      </w:r>
    </w:p>
    <w:p w:rsidR="001D6E8A" w:rsidRDefault="00CF4234">
      <w:pPr>
        <w:pStyle w:val="Heading5"/>
        <w:rPr>
          <w:spacing w:val="-2"/>
        </w:rPr>
      </w:pPr>
      <w:bookmarkStart w:id="40" w:name="_Toc423332723"/>
      <w:bookmarkStart w:id="41" w:name="_Toc425219442"/>
      <w:bookmarkStart w:id="42" w:name="_Toc426249309"/>
      <w:bookmarkStart w:id="43" w:name="_Toc449924705"/>
      <w:bookmarkStart w:id="44" w:name="_Toc449947723"/>
      <w:bookmarkStart w:id="45" w:name="_Toc454185714"/>
      <w:bookmarkStart w:id="46" w:name="_Toc515958687"/>
      <w:bookmarkStart w:id="47" w:name="_Toc232227327"/>
      <w:bookmarkStart w:id="48" w:name="_Toc233521742"/>
      <w:bookmarkStart w:id="49" w:name="_Toc2337077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1D6E8A" w:rsidRDefault="00CF4234">
      <w:pPr>
        <w:pStyle w:val="Subsection"/>
        <w:rPr>
          <w:iCs/>
          <w:spacing w:val="-2"/>
        </w:rPr>
      </w:pPr>
      <w:r>
        <w:tab/>
      </w:r>
      <w:r>
        <w:tab/>
        <w:t xml:space="preserve">These regulations come into operation on the day on which the </w:t>
      </w:r>
      <w:r>
        <w:rPr>
          <w:i/>
          <w:spacing w:val="-2"/>
        </w:rPr>
        <w:t>Police (Medical and Other Expenses for Former Officers) Act 2008</w:t>
      </w:r>
      <w:r>
        <w:rPr>
          <w:iCs/>
          <w:spacing w:val="-2"/>
        </w:rPr>
        <w:t xml:space="preserve"> section 15 comes into operation.</w:t>
      </w:r>
    </w:p>
    <w:p w:rsidR="001D6E8A" w:rsidRDefault="00CF4234">
      <w:pPr>
        <w:pStyle w:val="Heading5"/>
      </w:pPr>
      <w:bookmarkStart w:id="50" w:name="_Toc232227328"/>
      <w:bookmarkStart w:id="51" w:name="_Toc233521743"/>
      <w:bookmarkStart w:id="52" w:name="_Toc233707779"/>
      <w:r>
        <w:rPr>
          <w:rStyle w:val="CharSectno"/>
        </w:rPr>
        <w:t>3</w:t>
      </w:r>
      <w:r>
        <w:t>.</w:t>
      </w:r>
      <w:r>
        <w:tab/>
        <w:t>Terms used</w:t>
      </w:r>
      <w:bookmarkEnd w:id="50"/>
      <w:bookmarkEnd w:id="51"/>
      <w:bookmarkEnd w:id="52"/>
    </w:p>
    <w:p w:rsidR="001D6E8A" w:rsidRDefault="00CF4234">
      <w:pPr>
        <w:pStyle w:val="Subsection"/>
      </w:pPr>
      <w:r>
        <w:tab/>
      </w:r>
      <w:r>
        <w:tab/>
        <w:t xml:space="preserve">In these regulations — </w:t>
      </w:r>
    </w:p>
    <w:p w:rsidR="001D6E8A" w:rsidRDefault="00CF4234">
      <w:pPr>
        <w:pStyle w:val="Defstart"/>
      </w:pPr>
      <w:r>
        <w:tab/>
      </w:r>
      <w:r>
        <w:rPr>
          <w:rStyle w:val="CharDefText"/>
        </w:rPr>
        <w:t>applied provisions</w:t>
      </w:r>
      <w:r>
        <w:t xml:space="preserve"> has the meaning given in regulation 10;</w:t>
      </w:r>
    </w:p>
    <w:p w:rsidR="001D6E8A" w:rsidRDefault="00CF4234">
      <w:pPr>
        <w:pStyle w:val="Defstart"/>
      </w:pPr>
      <w:r>
        <w:tab/>
      </w:r>
      <w:r>
        <w:rPr>
          <w:rStyle w:val="CharDefText"/>
        </w:rPr>
        <w:t>approved form</w:t>
      </w:r>
      <w:r>
        <w:t xml:space="preserve"> means a form approved under regulation 16(1).</w:t>
      </w:r>
    </w:p>
    <w:p w:rsidR="001D6E8A" w:rsidRDefault="00CF4234">
      <w:pPr>
        <w:pStyle w:val="Heading2"/>
      </w:pPr>
      <w:bookmarkStart w:id="53" w:name="_Toc224722610"/>
      <w:bookmarkStart w:id="54" w:name="_Toc224722626"/>
      <w:bookmarkStart w:id="55" w:name="_Toc227722296"/>
      <w:bookmarkStart w:id="56" w:name="_Toc231019636"/>
      <w:bookmarkStart w:id="57" w:name="_Toc231037054"/>
      <w:bookmarkStart w:id="58" w:name="_Toc231100712"/>
      <w:bookmarkStart w:id="59" w:name="_Toc231100880"/>
      <w:bookmarkStart w:id="60" w:name="_Toc231101038"/>
      <w:bookmarkStart w:id="61" w:name="_Toc231104665"/>
      <w:bookmarkStart w:id="62" w:name="_Toc231111556"/>
      <w:bookmarkStart w:id="63" w:name="_Toc231192099"/>
      <w:bookmarkStart w:id="64" w:name="_Toc231898423"/>
      <w:bookmarkStart w:id="65" w:name="_Toc231898524"/>
      <w:bookmarkStart w:id="66" w:name="_Toc231966683"/>
      <w:bookmarkStart w:id="67" w:name="_Toc231985759"/>
      <w:bookmarkStart w:id="68" w:name="_Toc231986023"/>
      <w:bookmarkStart w:id="69" w:name="_Toc231986043"/>
      <w:bookmarkStart w:id="70" w:name="_Toc231986199"/>
      <w:bookmarkStart w:id="71" w:name="_Toc232224457"/>
      <w:bookmarkStart w:id="72" w:name="_Toc232224532"/>
      <w:bookmarkStart w:id="73" w:name="_Toc232226788"/>
      <w:bookmarkStart w:id="74" w:name="_Toc232226869"/>
      <w:bookmarkStart w:id="75" w:name="_Toc232227329"/>
      <w:bookmarkStart w:id="76" w:name="_Toc233521744"/>
      <w:bookmarkStart w:id="77" w:name="_Toc233521891"/>
      <w:bookmarkStart w:id="78" w:name="_Toc233522729"/>
      <w:bookmarkStart w:id="79" w:name="_Toc233707780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Claims procedure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D6E8A" w:rsidRDefault="00CF4234">
      <w:pPr>
        <w:pStyle w:val="Heading5"/>
      </w:pPr>
      <w:bookmarkStart w:id="80" w:name="_Toc232227330"/>
      <w:bookmarkStart w:id="81" w:name="_Toc233521745"/>
      <w:bookmarkStart w:id="82" w:name="_Toc233707781"/>
      <w:r>
        <w:rPr>
          <w:rStyle w:val="CharSectno"/>
        </w:rPr>
        <w:t>4</w:t>
      </w:r>
      <w:r>
        <w:t>.</w:t>
      </w:r>
      <w:r>
        <w:tab/>
        <w:t>Making claim</w:t>
      </w:r>
      <w:bookmarkEnd w:id="80"/>
      <w:bookmarkEnd w:id="81"/>
      <w:bookmarkEnd w:id="82"/>
    </w:p>
    <w:p w:rsidR="001D6E8A" w:rsidRDefault="00CF4234">
      <w:pPr>
        <w:pStyle w:val="Subsection"/>
      </w:pPr>
      <w:r>
        <w:tab/>
      </w:r>
      <w:r>
        <w:tab/>
        <w:t xml:space="preserve">A claim must — </w:t>
      </w:r>
    </w:p>
    <w:p w:rsidR="001D6E8A" w:rsidRDefault="00CF4234">
      <w:pPr>
        <w:pStyle w:val="Indenta"/>
      </w:pPr>
      <w:r>
        <w:tab/>
        <w:t>(a)</w:t>
      </w:r>
      <w:r>
        <w:tab/>
        <w:t>be in the approved form and signed by the former officer; and</w:t>
      </w:r>
    </w:p>
    <w:p w:rsidR="001D6E8A" w:rsidRDefault="00CF4234">
      <w:pPr>
        <w:pStyle w:val="Indenta"/>
      </w:pPr>
      <w:r>
        <w:tab/>
        <w:t>(b)</w:t>
      </w:r>
      <w:r>
        <w:tab/>
        <w:t>include or be accompanied by the information approved by the Police Commissioner; and</w:t>
      </w:r>
    </w:p>
    <w:p w:rsidR="001D6E8A" w:rsidRDefault="00CF4234">
      <w:pPr>
        <w:pStyle w:val="Indenta"/>
      </w:pPr>
      <w:r>
        <w:tab/>
        <w:t>(c)</w:t>
      </w:r>
      <w:r>
        <w:tab/>
        <w:t>be given to the Police Commissioner.</w:t>
      </w:r>
    </w:p>
    <w:p w:rsidR="001D6E8A" w:rsidRDefault="00CF4234">
      <w:pPr>
        <w:pStyle w:val="Heading5"/>
      </w:pPr>
      <w:bookmarkStart w:id="83" w:name="_Toc232227331"/>
      <w:bookmarkStart w:id="84" w:name="_Toc233521746"/>
      <w:bookmarkStart w:id="85" w:name="_Toc233707782"/>
      <w:r>
        <w:rPr>
          <w:rStyle w:val="CharSectno"/>
        </w:rPr>
        <w:t>5</w:t>
      </w:r>
      <w:r>
        <w:t>.</w:t>
      </w:r>
      <w:r>
        <w:tab/>
        <w:t>Response to claim</w:t>
      </w:r>
      <w:bookmarkEnd w:id="83"/>
      <w:bookmarkEnd w:id="84"/>
      <w:bookmarkEnd w:id="85"/>
    </w:p>
    <w:p w:rsidR="001D6E8A" w:rsidRDefault="00CF4234">
      <w:pPr>
        <w:pStyle w:val="Subsection"/>
      </w:pPr>
      <w:r>
        <w:tab/>
        <w:t>(1)</w:t>
      </w:r>
      <w:r>
        <w:tab/>
        <w:t xml:space="preserve">In this regulation — </w:t>
      </w:r>
    </w:p>
    <w:p w:rsidR="001D6E8A" w:rsidRDefault="00CF4234"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 w:rsidR="001D6E8A" w:rsidRDefault="00CF4234">
      <w:pPr>
        <w:pStyle w:val="Defpara"/>
      </w:pPr>
      <w:r>
        <w:tab/>
        <w:t>(a)</w:t>
      </w:r>
      <w:r>
        <w:tab/>
        <w:t>for a claim received within 6 months after the commencement of section 4(1) of the Act — 60 days</w:t>
      </w:r>
      <w:r>
        <w:rPr>
          <w:b/>
          <w:bCs/>
        </w:rPr>
        <w:t xml:space="preserve"> </w:t>
      </w:r>
      <w:r>
        <w:t>after the claim is received; or</w:t>
      </w:r>
    </w:p>
    <w:p w:rsidR="001D6E8A" w:rsidRDefault="00CF4234">
      <w:pPr>
        <w:pStyle w:val="Defpara"/>
      </w:pPr>
      <w:r>
        <w:tab/>
        <w:t>(b)</w:t>
      </w:r>
      <w:r>
        <w:tab/>
        <w:t>for any other claim — 17 days after the claim is received.</w:t>
      </w:r>
    </w:p>
    <w:p w:rsidR="001D6E8A" w:rsidRDefault="00CF4234">
      <w:pPr>
        <w:pStyle w:val="Subsection"/>
      </w:pPr>
      <w:r>
        <w:tab/>
        <w:t>(2)</w:t>
      </w:r>
      <w:r>
        <w:tab/>
        <w:t xml:space="preserve">Within the prescribed period after receiving a claim from a former officer made in accordance with regulation 4, the Police Commissioner must notify the former officer in writing that — </w:t>
      </w:r>
    </w:p>
    <w:p w:rsidR="001D6E8A" w:rsidRDefault="00CF4234">
      <w:pPr>
        <w:pStyle w:val="Indenta"/>
      </w:pPr>
      <w:r>
        <w:tab/>
        <w:t>(a)</w:t>
      </w:r>
      <w:r>
        <w:tab/>
        <w:t>liability for the claim is accepted; or</w:t>
      </w:r>
    </w:p>
    <w:p w:rsidR="001D6E8A" w:rsidRDefault="00CF4234">
      <w:pPr>
        <w:pStyle w:val="Indenta"/>
      </w:pPr>
      <w:r>
        <w:tab/>
        <w:t>(b)</w:t>
      </w:r>
      <w:r>
        <w:tab/>
        <w:t>liability for the claim is denied; or</w:t>
      </w:r>
    </w:p>
    <w:p w:rsidR="001D6E8A" w:rsidRDefault="00CF4234">
      <w:pPr>
        <w:pStyle w:val="Indenta"/>
      </w:pPr>
      <w:r>
        <w:tab/>
        <w:t>(c)</w:t>
      </w:r>
      <w:r>
        <w:tab/>
        <w:t>a decision to accept or deny liability for the claim has not yet been made.</w:t>
      </w:r>
    </w:p>
    <w:p w:rsidR="001D6E8A" w:rsidRDefault="00CF4234">
      <w:pPr>
        <w:pStyle w:val="Subsection"/>
      </w:pPr>
      <w:r>
        <w:tab/>
        <w:t>(3)</w:t>
      </w:r>
      <w:r>
        <w:tab/>
        <w:t>A notice under subregulation (2)(b) or (c) must set out the reasons why liability is denied or a decision has not yet been made.</w:t>
      </w:r>
    </w:p>
    <w:p w:rsidR="001D6E8A" w:rsidRDefault="00CF4234">
      <w:pPr>
        <w:pStyle w:val="Heading5"/>
      </w:pPr>
      <w:bookmarkStart w:id="86" w:name="_Toc232227332"/>
      <w:bookmarkStart w:id="87" w:name="_Toc233521747"/>
      <w:bookmarkStart w:id="88" w:name="_Toc233707783"/>
      <w:r>
        <w:rPr>
          <w:rStyle w:val="CharSectno"/>
        </w:rPr>
        <w:t>6</w:t>
      </w:r>
      <w:r>
        <w:t>.</w:t>
      </w:r>
      <w:r>
        <w:tab/>
        <w:t>Initial medical examination</w:t>
      </w:r>
      <w:bookmarkEnd w:id="86"/>
      <w:bookmarkEnd w:id="87"/>
      <w:bookmarkEnd w:id="88"/>
    </w:p>
    <w:p w:rsidR="001D6E8A" w:rsidRDefault="00CF4234">
      <w:pPr>
        <w:pStyle w:val="Subsection"/>
      </w:pPr>
      <w:r>
        <w:tab/>
      </w:r>
      <w:r>
        <w:tab/>
        <w:t>A former officer who has made a claim must, if required by the Police Commissioner for the purpose of deciding whether to accept or deny the claim, submit himself or herself for an examination by a medical practitioner provided and paid by the Police Commissioner.</w:t>
      </w:r>
    </w:p>
    <w:p w:rsidR="001D6E8A" w:rsidRDefault="00CF4234">
      <w:pPr>
        <w:pStyle w:val="Heading5"/>
      </w:pPr>
      <w:bookmarkStart w:id="89" w:name="_Toc232227333"/>
      <w:bookmarkStart w:id="90" w:name="_Toc233521748"/>
      <w:bookmarkStart w:id="91" w:name="_Toc233707784"/>
      <w:r>
        <w:rPr>
          <w:rStyle w:val="CharSectno"/>
        </w:rPr>
        <w:t>7</w:t>
      </w:r>
      <w:r>
        <w:t>.</w:t>
      </w:r>
      <w:r>
        <w:tab/>
        <w:t>Periodic medical examinations</w:t>
      </w:r>
      <w:bookmarkEnd w:id="89"/>
      <w:bookmarkEnd w:id="90"/>
      <w:bookmarkEnd w:id="91"/>
    </w:p>
    <w:p w:rsidR="001D6E8A" w:rsidRDefault="00CF4234">
      <w:pPr>
        <w:pStyle w:val="Subsection"/>
      </w:pPr>
      <w:r>
        <w:tab/>
      </w:r>
      <w:r>
        <w:tab/>
        <w:t>If amounts are being paid by the Police Commissioner in respect of a claim made by a former officer, the former officer must, if required by the Police Commissioner, from time to time submit himself or herself for an examination by a medical practitioner provided and paid by the Police Commissioner.</w:t>
      </w:r>
    </w:p>
    <w:p w:rsidR="001D6E8A" w:rsidRDefault="00CF4234">
      <w:pPr>
        <w:pStyle w:val="Heading5"/>
      </w:pPr>
      <w:bookmarkStart w:id="92" w:name="_Toc232227334"/>
      <w:bookmarkStart w:id="93" w:name="_Toc233521749"/>
      <w:bookmarkStart w:id="94" w:name="_Toc233707785"/>
      <w:r>
        <w:rPr>
          <w:rStyle w:val="CharSectno"/>
        </w:rPr>
        <w:t>8</w:t>
      </w:r>
      <w:r>
        <w:t>.</w:t>
      </w:r>
      <w:r>
        <w:tab/>
        <w:t>Treatment plan</w:t>
      </w:r>
      <w:bookmarkEnd w:id="92"/>
      <w:bookmarkEnd w:id="93"/>
      <w:bookmarkEnd w:id="94"/>
    </w:p>
    <w:p w:rsidR="001D6E8A" w:rsidRDefault="00CF4234">
      <w:pPr>
        <w:pStyle w:val="Subsection"/>
      </w:pPr>
      <w:r>
        <w:tab/>
      </w:r>
      <w:r>
        <w:tab/>
        <w:t xml:space="preserve">If a claim is for medical expenses likely to be incurred, the Police Commissioner may require the former officer to give the Police Commissioner a written statement signed by a medical practitioner setting out — </w:t>
      </w:r>
    </w:p>
    <w:p w:rsidR="001D6E8A" w:rsidRDefault="00CF4234">
      <w:pPr>
        <w:pStyle w:val="Indenta"/>
      </w:pPr>
      <w:r>
        <w:tab/>
        <w:t>(a)</w:t>
      </w:r>
      <w:r>
        <w:tab/>
        <w:t>the treatment proposed to be provided to the former officer in respect of the injury; and</w:t>
      </w:r>
    </w:p>
    <w:p w:rsidR="001D6E8A" w:rsidRDefault="00CF4234">
      <w:pPr>
        <w:pStyle w:val="Indenta"/>
      </w:pPr>
      <w:r>
        <w:tab/>
        <w:t>(b)</w:t>
      </w:r>
      <w:r>
        <w:tab/>
        <w:t>an estimate of the costs of that treatment.</w:t>
      </w:r>
    </w:p>
    <w:p w:rsidR="001D6E8A" w:rsidRDefault="00CF4234">
      <w:pPr>
        <w:pStyle w:val="Heading2"/>
      </w:pPr>
      <w:bookmarkStart w:id="95" w:name="_Toc224722614"/>
      <w:bookmarkStart w:id="96" w:name="_Toc224722630"/>
      <w:bookmarkStart w:id="97" w:name="_Toc227722300"/>
      <w:bookmarkStart w:id="98" w:name="_Toc231019640"/>
      <w:bookmarkStart w:id="99" w:name="_Toc231037059"/>
      <w:bookmarkStart w:id="100" w:name="_Toc231100718"/>
      <w:bookmarkStart w:id="101" w:name="_Toc231100886"/>
      <w:bookmarkStart w:id="102" w:name="_Toc231101044"/>
      <w:bookmarkStart w:id="103" w:name="_Toc231104671"/>
      <w:bookmarkStart w:id="104" w:name="_Toc231111562"/>
      <w:bookmarkStart w:id="105" w:name="_Toc231192105"/>
      <w:bookmarkStart w:id="106" w:name="_Toc231898429"/>
      <w:bookmarkStart w:id="107" w:name="_Toc231898530"/>
      <w:bookmarkStart w:id="108" w:name="_Toc231966689"/>
      <w:bookmarkStart w:id="109" w:name="_Toc231985765"/>
      <w:bookmarkStart w:id="110" w:name="_Toc231986029"/>
      <w:bookmarkStart w:id="111" w:name="_Toc231986049"/>
      <w:bookmarkStart w:id="112" w:name="_Toc231986205"/>
      <w:bookmarkStart w:id="113" w:name="_Toc232224463"/>
      <w:bookmarkStart w:id="114" w:name="_Toc232224538"/>
      <w:bookmarkStart w:id="115" w:name="_Toc232226794"/>
      <w:bookmarkStart w:id="116" w:name="_Toc232226875"/>
      <w:bookmarkStart w:id="117" w:name="_Toc232227335"/>
      <w:bookmarkStart w:id="118" w:name="_Toc233521750"/>
      <w:bookmarkStart w:id="119" w:name="_Toc233521897"/>
      <w:bookmarkStart w:id="120" w:name="_Toc233522735"/>
      <w:bookmarkStart w:id="121" w:name="_Toc23370778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Dispute resolution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1D6E8A" w:rsidRDefault="00CF4234">
      <w:pPr>
        <w:pStyle w:val="Heading5"/>
      </w:pPr>
      <w:bookmarkStart w:id="122" w:name="_Toc232227336"/>
      <w:bookmarkStart w:id="123" w:name="_Toc233521751"/>
      <w:bookmarkStart w:id="124" w:name="_Toc233707787"/>
      <w:r>
        <w:rPr>
          <w:rStyle w:val="CharSectno"/>
        </w:rPr>
        <w:t>9</w:t>
      </w:r>
      <w:r>
        <w:t>.</w:t>
      </w:r>
      <w:r>
        <w:tab/>
        <w:t>Application of this Part</w:t>
      </w:r>
      <w:bookmarkEnd w:id="122"/>
      <w:bookmarkEnd w:id="123"/>
      <w:bookmarkEnd w:id="124"/>
    </w:p>
    <w:p w:rsidR="001D6E8A" w:rsidRDefault="00CF4234">
      <w:pPr>
        <w:pStyle w:val="Subsection"/>
      </w:pPr>
      <w:r>
        <w:tab/>
      </w:r>
      <w:r>
        <w:tab/>
        <w:t>This Part applies in relation to the determination of a dispute referred to in section 7 of the Act.</w:t>
      </w:r>
    </w:p>
    <w:p w:rsidR="001D6E8A" w:rsidRDefault="00CF4234">
      <w:pPr>
        <w:pStyle w:val="Heading5"/>
      </w:pPr>
      <w:bookmarkStart w:id="125" w:name="_Toc232227337"/>
      <w:bookmarkStart w:id="126" w:name="_Toc233521752"/>
      <w:bookmarkStart w:id="127" w:name="_Toc233707788"/>
      <w:r>
        <w:rPr>
          <w:rStyle w:val="CharSectno"/>
        </w:rPr>
        <w:t>10</w:t>
      </w:r>
      <w:r>
        <w:t>.</w:t>
      </w:r>
      <w:r>
        <w:tab/>
        <w:t>Applied provisions of WC&amp;IM Act</w:t>
      </w:r>
      <w:bookmarkEnd w:id="125"/>
      <w:bookmarkEnd w:id="126"/>
      <w:bookmarkEnd w:id="127"/>
    </w:p>
    <w:p w:rsidR="001D6E8A" w:rsidRDefault="00CF4234">
      <w:pPr>
        <w:pStyle w:val="Subsection"/>
      </w:pPr>
      <w:r>
        <w:tab/>
      </w:r>
      <w:r>
        <w:tab/>
        <w:t xml:space="preserve">The provisions of the WC&amp;IM Act (the </w:t>
      </w:r>
      <w:r>
        <w:rPr>
          <w:rStyle w:val="CharDefText"/>
        </w:rPr>
        <w:t>applied provisions</w:t>
      </w:r>
      <w:r>
        <w:t xml:space="preserve">) that apply in relation to the determination of a dispute include the following — </w:t>
      </w:r>
    </w:p>
    <w:p w:rsidR="001D6E8A" w:rsidRDefault="00CF4234">
      <w:pPr>
        <w:pStyle w:val="Indenta"/>
      </w:pPr>
      <w:r>
        <w:tab/>
        <w:t>(a)</w:t>
      </w:r>
      <w:r>
        <w:tab/>
        <w:t>sections 64, 65, 66, 71 and 72A;</w:t>
      </w:r>
    </w:p>
    <w:p w:rsidR="001D6E8A" w:rsidRDefault="00CF4234">
      <w:pPr>
        <w:pStyle w:val="Indenta"/>
      </w:pPr>
      <w:r>
        <w:tab/>
        <w:t>(b)</w:t>
      </w:r>
      <w:r>
        <w:tab/>
        <w:t>Part VII Division 1;</w:t>
      </w:r>
    </w:p>
    <w:p w:rsidR="001D6E8A" w:rsidRDefault="00CF4234">
      <w:pPr>
        <w:pStyle w:val="Indenta"/>
      </w:pPr>
      <w:r>
        <w:tab/>
        <w:t>(c)</w:t>
      </w:r>
      <w:r>
        <w:tab/>
        <w:t>Part XI (except section 220) and Parts XII to XIX;</w:t>
      </w:r>
    </w:p>
    <w:p w:rsidR="001D6E8A" w:rsidRDefault="00CF4234">
      <w:pPr>
        <w:pStyle w:val="Indenta"/>
      </w:pPr>
      <w:r>
        <w:tab/>
        <w:t>(d)</w:t>
      </w:r>
      <w:r>
        <w:tab/>
        <w:t>any other provisions to the extent their application is necessary to give effect to a provision referred to in paragraph (a), (b) or (c).</w:t>
      </w:r>
    </w:p>
    <w:p w:rsidR="001D6E8A" w:rsidRDefault="00CF4234">
      <w:pPr>
        <w:pStyle w:val="Heading5"/>
      </w:pPr>
      <w:bookmarkStart w:id="128" w:name="_Toc232227338"/>
      <w:bookmarkStart w:id="129" w:name="_Toc233521753"/>
      <w:bookmarkStart w:id="130" w:name="_Toc233707789"/>
      <w:r>
        <w:rPr>
          <w:rStyle w:val="CharSectno"/>
        </w:rPr>
        <w:t>11</w:t>
      </w:r>
      <w:r>
        <w:t>.</w:t>
      </w:r>
      <w:r>
        <w:tab/>
        <w:t>References to terms used in applied provisions</w:t>
      </w:r>
      <w:bookmarkEnd w:id="128"/>
      <w:bookmarkEnd w:id="129"/>
      <w:bookmarkEnd w:id="130"/>
    </w:p>
    <w:p w:rsidR="001D6E8A" w:rsidRDefault="00CF4234">
      <w:pPr>
        <w:pStyle w:val="Subsection"/>
      </w:pPr>
      <w:r>
        <w:tab/>
        <w:t>(1)</w:t>
      </w:r>
      <w:r>
        <w:tab/>
        <w:t>A reference in the applied provisions to notice of the occurrence of an injury (however the notice is described) is read as a reference to notice of the occurrence of an injury given in accordance with section 178(1)(a) of the applied provisions as modified by regulation 12.</w:t>
      </w:r>
    </w:p>
    <w:p w:rsidR="001D6E8A" w:rsidRDefault="00CF4234">
      <w:pPr>
        <w:pStyle w:val="Subsection"/>
      </w:pPr>
      <w:r>
        <w:tab/>
        <w:t>(2)</w:t>
      </w:r>
      <w:r>
        <w:tab/>
        <w:t>A reference in the applied provisions to a claim for compensation under the WC&amp;IM Act Schedule 1 clause 17 (however the claim is described) is read as a reference to a claim as defined in section 3(1) of the Act.</w:t>
      </w:r>
    </w:p>
    <w:p w:rsidR="001D6E8A" w:rsidRDefault="00CF4234">
      <w:pPr>
        <w:pStyle w:val="Subsection"/>
      </w:pPr>
      <w:r>
        <w:tab/>
        <w:t>(3)</w:t>
      </w:r>
      <w:r>
        <w:tab/>
        <w:t>A reference in section 65 of the applied provisions to the receipt of weekly payments made under the WC&amp;IM Act is read as a reference to an amount paid in respect of a claim as defined in section 3(1) of the Act.</w:t>
      </w:r>
    </w:p>
    <w:p w:rsidR="001D6E8A" w:rsidRDefault="00CF4234">
      <w:pPr>
        <w:pStyle w:val="Subsection"/>
      </w:pPr>
      <w:r>
        <w:tab/>
        <w:t>(4)</w:t>
      </w:r>
      <w:r>
        <w:tab/>
        <w:t>A reference in Part XII of the applied provisions to statutory expenses is read as a reference to an amount payable under section 4(1) of the Act and calculated in accordance with section 5(1) of the Act.</w:t>
      </w:r>
    </w:p>
    <w:p w:rsidR="001D6E8A" w:rsidRDefault="00CF4234">
      <w:pPr>
        <w:pStyle w:val="Heading5"/>
      </w:pPr>
      <w:bookmarkStart w:id="131" w:name="_Toc232227339"/>
      <w:bookmarkStart w:id="132" w:name="_Toc233521754"/>
      <w:bookmarkStart w:id="133" w:name="_Toc233707790"/>
      <w:r>
        <w:rPr>
          <w:rStyle w:val="CharSectno"/>
        </w:rPr>
        <w:t>12</w:t>
      </w:r>
      <w:r>
        <w:t>.</w:t>
      </w:r>
      <w:r>
        <w:tab/>
        <w:t>Notice under section 178(1)(a): sufficient compliance</w:t>
      </w:r>
      <w:bookmarkEnd w:id="131"/>
      <w:bookmarkEnd w:id="132"/>
      <w:bookmarkEnd w:id="133"/>
    </w:p>
    <w:p w:rsidR="001D6E8A" w:rsidRDefault="00CF4234">
      <w:pPr>
        <w:pStyle w:val="Subsection"/>
      </w:pPr>
      <w:r>
        <w:tab/>
      </w:r>
      <w:r>
        <w:tab/>
        <w:t xml:space="preserve">It is sufficient compliance with section 178(1)(a) of the applied provisions in relation to an injury to a former officer if — </w:t>
      </w:r>
    </w:p>
    <w:p w:rsidR="001D6E8A" w:rsidRDefault="00CF4234">
      <w:pPr>
        <w:pStyle w:val="Indenta"/>
      </w:pPr>
      <w:r>
        <w:tab/>
        <w:t>(a)</w:t>
      </w:r>
      <w:r>
        <w:tab/>
        <w:t xml:space="preserve">notice of the injury was given under the </w:t>
      </w:r>
      <w:r>
        <w:rPr>
          <w:i/>
        </w:rPr>
        <w:t>Police Force Regulations 1979</w:t>
      </w:r>
      <w:r>
        <w:t xml:space="preserve"> regulation 1302 before the former officer ceased to be a police officer or APLO; or</w:t>
      </w:r>
    </w:p>
    <w:p w:rsidR="001D6E8A" w:rsidRDefault="00CF4234">
      <w:pPr>
        <w:pStyle w:val="Indenta"/>
      </w:pPr>
      <w:r>
        <w:tab/>
        <w:t>(b)</w:t>
      </w:r>
      <w:r>
        <w:tab/>
        <w:t>if the former officer ceased to be a police officer or APLO before the commencement of section 4(1) of the Act — notice of the injury is given to the Police Commissioner as soon as practicable after the former officer becomes aware of the entitlement to make a claim; or</w:t>
      </w:r>
    </w:p>
    <w:p w:rsidR="001D6E8A" w:rsidRDefault="00CF4234">
      <w:pPr>
        <w:pStyle w:val="Indenta"/>
      </w:pPr>
      <w:r>
        <w:tab/>
        <w:t>(c)</w:t>
      </w:r>
      <w:r>
        <w:tab/>
        <w:t>if the former officer ceased to be a police officer or APLO on or after the commencement of section 4(1) of the Act — notice of the injury is given to the Police Commissioner as soon as practicable after the injury occurred.</w:t>
      </w:r>
    </w:p>
    <w:p w:rsidR="001D6E8A" w:rsidRDefault="00CF4234">
      <w:pPr>
        <w:pStyle w:val="Heading5"/>
      </w:pPr>
      <w:bookmarkStart w:id="134" w:name="_Toc232227340"/>
      <w:bookmarkStart w:id="135" w:name="_Toc233521755"/>
      <w:bookmarkStart w:id="136" w:name="_Toc233707791"/>
      <w:r>
        <w:rPr>
          <w:rStyle w:val="CharSectno"/>
        </w:rPr>
        <w:t>13</w:t>
      </w:r>
      <w:r>
        <w:t>.</w:t>
      </w:r>
      <w:r>
        <w:tab/>
        <w:t>Forms and information</w:t>
      </w:r>
      <w:bookmarkEnd w:id="134"/>
      <w:bookmarkEnd w:id="135"/>
      <w:bookmarkEnd w:id="136"/>
    </w:p>
    <w:p w:rsidR="001D6E8A" w:rsidRDefault="00CF4234">
      <w:pPr>
        <w:pStyle w:val="Subsection"/>
      </w:pPr>
      <w:r>
        <w:tab/>
        <w:t>(1)</w:t>
      </w:r>
      <w:r>
        <w:tab/>
        <w:t>If there is an approved form for use under an applied provision, that form must be used and not the form (if any) prescribed under the WC&amp;IM Act for use under the applied provision.</w:t>
      </w:r>
    </w:p>
    <w:p w:rsidR="001D6E8A" w:rsidRDefault="00CF4234">
      <w:pPr>
        <w:pStyle w:val="Subsection"/>
      </w:pPr>
      <w:r>
        <w:tab/>
        <w:t>(2)</w:t>
      </w:r>
      <w:r>
        <w:tab/>
        <w:t xml:space="preserve">If — </w:t>
      </w:r>
    </w:p>
    <w:p w:rsidR="001D6E8A" w:rsidRDefault="00CF4234">
      <w:pPr>
        <w:pStyle w:val="Indenta"/>
      </w:pPr>
      <w:r>
        <w:tab/>
        <w:t>(a)</w:t>
      </w:r>
      <w:r>
        <w:tab/>
        <w:t>there is no approved form for use under an applied provision; but</w:t>
      </w:r>
    </w:p>
    <w:p w:rsidR="001D6E8A" w:rsidRDefault="00CF4234">
      <w:pPr>
        <w:pStyle w:val="Indenta"/>
      </w:pPr>
      <w:r>
        <w:tab/>
        <w:t>(b)</w:t>
      </w:r>
      <w:r>
        <w:tab/>
        <w:t>there is a form prescribed under the WC&amp;IM Act for use under the applied provision,</w:t>
      </w:r>
    </w:p>
    <w:p w:rsidR="001D6E8A" w:rsidRDefault="00CF4234">
      <w:pPr>
        <w:pStyle w:val="Subsection"/>
      </w:pPr>
      <w:r>
        <w:tab/>
      </w:r>
      <w:r>
        <w:tab/>
        <w:t>that form (with the necessary changes) must be used under the applied provision.</w:t>
      </w:r>
    </w:p>
    <w:p w:rsidR="001D6E8A" w:rsidRDefault="00CF4234">
      <w:pPr>
        <w:pStyle w:val="Subsection"/>
      </w:pPr>
      <w:r>
        <w:tab/>
        <w:t>(3)</w:t>
      </w:r>
      <w:r>
        <w:tab/>
        <w:t>If the Police Commissioner approves information for use under an applied provision, that information must be provided and not the information (if any) prescribed under the WC&amp;IM Act for use under the applied provision.</w:t>
      </w:r>
    </w:p>
    <w:p w:rsidR="001D6E8A" w:rsidRDefault="00CF4234">
      <w:pPr>
        <w:pStyle w:val="Subsection"/>
      </w:pPr>
      <w:r>
        <w:tab/>
        <w:t>(4)</w:t>
      </w:r>
      <w:r>
        <w:tab/>
        <w:t xml:space="preserve">If — </w:t>
      </w:r>
    </w:p>
    <w:p w:rsidR="001D6E8A" w:rsidRDefault="00CF4234">
      <w:pPr>
        <w:pStyle w:val="Indenta"/>
      </w:pPr>
      <w:r>
        <w:tab/>
        <w:t>(a)</w:t>
      </w:r>
      <w:r>
        <w:tab/>
        <w:t>the Police Commissioner has not approved information for use under an applied provision; but</w:t>
      </w:r>
    </w:p>
    <w:p w:rsidR="001D6E8A" w:rsidRDefault="00CF4234">
      <w:pPr>
        <w:pStyle w:val="Indenta"/>
      </w:pPr>
      <w:r>
        <w:tab/>
        <w:t>(b)</w:t>
      </w:r>
      <w:r>
        <w:tab/>
        <w:t>information is prescribed under the WC&amp;IM Act for use under the applied provision,</w:t>
      </w:r>
    </w:p>
    <w:p w:rsidR="001D6E8A" w:rsidRDefault="00CF4234">
      <w:pPr>
        <w:pStyle w:val="Subsection"/>
      </w:pPr>
      <w:r>
        <w:tab/>
      </w:r>
      <w:r>
        <w:tab/>
        <w:t>that information (to the extent it is relevant) must be provided.</w:t>
      </w:r>
    </w:p>
    <w:p w:rsidR="001D6E8A" w:rsidRDefault="00CF4234">
      <w:pPr>
        <w:pStyle w:val="Subsection"/>
      </w:pPr>
      <w:r>
        <w:tab/>
        <w:t>(5)</w:t>
      </w:r>
      <w:r>
        <w:tab/>
        <w:t xml:space="preserve">For subregulations (3) and (4), information for use under an applied provision is — </w:t>
      </w:r>
    </w:p>
    <w:p w:rsidR="001D6E8A" w:rsidRDefault="00CF4234">
      <w:pPr>
        <w:pStyle w:val="Indenta"/>
      </w:pPr>
      <w:r>
        <w:tab/>
        <w:t>(a)</w:t>
      </w:r>
      <w:r>
        <w:tab/>
        <w:t>information that must be included in or accompany a form to be used under the applied provision; or</w:t>
      </w:r>
    </w:p>
    <w:p w:rsidR="001D6E8A" w:rsidRDefault="00CF4234">
      <w:pPr>
        <w:pStyle w:val="Indenta"/>
      </w:pPr>
      <w:r>
        <w:tab/>
        <w:t>(b)</w:t>
      </w:r>
      <w:r>
        <w:tab/>
        <w:t>information to be otherwise provided for the purposes of the applied provision.</w:t>
      </w:r>
    </w:p>
    <w:p w:rsidR="001D6E8A" w:rsidRDefault="00CF4234">
      <w:pPr>
        <w:pStyle w:val="Heading5"/>
      </w:pPr>
      <w:bookmarkStart w:id="137" w:name="_Toc232227341"/>
      <w:bookmarkStart w:id="138" w:name="_Toc233521756"/>
      <w:bookmarkStart w:id="139" w:name="_Toc233707792"/>
      <w:r>
        <w:rPr>
          <w:rStyle w:val="CharSectno"/>
        </w:rPr>
        <w:t>14</w:t>
      </w:r>
      <w:r>
        <w:t>.</w:t>
      </w:r>
      <w:r>
        <w:tab/>
        <w:t>No restriction on award of common law damages</w:t>
      </w:r>
      <w:bookmarkEnd w:id="137"/>
      <w:bookmarkEnd w:id="138"/>
      <w:bookmarkEnd w:id="139"/>
    </w:p>
    <w:p w:rsidR="001D6E8A" w:rsidRDefault="00CF4234">
      <w:pPr>
        <w:pStyle w:val="Subsection"/>
      </w:pPr>
      <w:r>
        <w:tab/>
      </w:r>
      <w:r>
        <w:tab/>
        <w:t>To avoid doubt, the applied provisions do not apply in relation to the determination of a dispute referred to in section 7 of the Act so as to limit the amount of damages that may be awarded independently of the Act.</w:t>
      </w:r>
    </w:p>
    <w:p w:rsidR="001D6E8A" w:rsidRDefault="00CF4234">
      <w:pPr>
        <w:pStyle w:val="Heading5"/>
      </w:pPr>
      <w:bookmarkStart w:id="140" w:name="_Toc232227342"/>
      <w:bookmarkStart w:id="141" w:name="_Toc233521757"/>
      <w:bookmarkStart w:id="142" w:name="_Toc233707793"/>
      <w:r>
        <w:rPr>
          <w:rStyle w:val="CharSectno"/>
        </w:rPr>
        <w:t>15</w:t>
      </w:r>
      <w:r>
        <w:t>.</w:t>
      </w:r>
      <w:r>
        <w:tab/>
        <w:t>Evidence admissible in common law proceedings</w:t>
      </w:r>
      <w:bookmarkEnd w:id="140"/>
      <w:bookmarkEnd w:id="141"/>
      <w:bookmarkEnd w:id="142"/>
    </w:p>
    <w:p w:rsidR="001D6E8A" w:rsidRDefault="00CF4234">
      <w:pPr>
        <w:pStyle w:val="Subsection"/>
      </w:pPr>
      <w:r>
        <w:tab/>
      </w:r>
      <w:r>
        <w:tab/>
        <w:t>Evidence of a statement made in a proceeding before an arbitrator under this Part is admissible in an action for damages brought independently of the Act.</w:t>
      </w:r>
    </w:p>
    <w:p w:rsidR="001D6E8A" w:rsidRDefault="00CF4234">
      <w:pPr>
        <w:pStyle w:val="Heading2"/>
      </w:pPr>
      <w:bookmarkStart w:id="143" w:name="_Toc224722619"/>
      <w:bookmarkStart w:id="144" w:name="_Toc224722635"/>
      <w:bookmarkStart w:id="145" w:name="_Toc227722306"/>
      <w:bookmarkStart w:id="146" w:name="_Toc231019646"/>
      <w:bookmarkStart w:id="147" w:name="_Toc231037067"/>
      <w:bookmarkStart w:id="148" w:name="_Toc231100726"/>
      <w:bookmarkStart w:id="149" w:name="_Toc231100894"/>
      <w:bookmarkStart w:id="150" w:name="_Toc231101052"/>
      <w:bookmarkStart w:id="151" w:name="_Toc231104679"/>
      <w:bookmarkStart w:id="152" w:name="_Toc231111570"/>
      <w:bookmarkStart w:id="153" w:name="_Toc231192113"/>
      <w:bookmarkStart w:id="154" w:name="_Toc231898437"/>
      <w:bookmarkStart w:id="155" w:name="_Toc231898538"/>
      <w:bookmarkStart w:id="156" w:name="_Toc231966697"/>
      <w:bookmarkStart w:id="157" w:name="_Toc231985773"/>
      <w:bookmarkStart w:id="158" w:name="_Toc231986037"/>
      <w:bookmarkStart w:id="159" w:name="_Toc231986057"/>
      <w:bookmarkStart w:id="160" w:name="_Toc231986213"/>
      <w:bookmarkStart w:id="161" w:name="_Toc232224471"/>
      <w:bookmarkStart w:id="162" w:name="_Toc232224546"/>
      <w:bookmarkStart w:id="163" w:name="_Toc232226802"/>
      <w:bookmarkStart w:id="164" w:name="_Toc232226883"/>
      <w:bookmarkStart w:id="165" w:name="_Toc232227343"/>
      <w:bookmarkStart w:id="166" w:name="_Toc233521758"/>
      <w:bookmarkStart w:id="167" w:name="_Toc233521905"/>
      <w:bookmarkStart w:id="168" w:name="_Toc233522743"/>
      <w:bookmarkStart w:id="169" w:name="_Toc233707794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 matters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1D6E8A" w:rsidRDefault="00CF4234">
      <w:pPr>
        <w:pStyle w:val="Heading5"/>
      </w:pPr>
      <w:bookmarkStart w:id="170" w:name="_Toc232227344"/>
      <w:bookmarkStart w:id="171" w:name="_Toc233521759"/>
      <w:bookmarkStart w:id="172" w:name="_Toc233707795"/>
      <w:r>
        <w:rPr>
          <w:rStyle w:val="CharSectno"/>
        </w:rPr>
        <w:t>16</w:t>
      </w:r>
      <w:r>
        <w:t>.</w:t>
      </w:r>
      <w:r>
        <w:tab/>
        <w:t>Approval of forms</w:t>
      </w:r>
      <w:bookmarkEnd w:id="170"/>
      <w:bookmarkEnd w:id="171"/>
      <w:bookmarkEnd w:id="172"/>
    </w:p>
    <w:p w:rsidR="001D6E8A" w:rsidRDefault="00CF4234">
      <w:pPr>
        <w:pStyle w:val="Subsection"/>
        <w:rPr>
          <w:b/>
          <w:bCs/>
        </w:rPr>
      </w:pPr>
      <w:r>
        <w:tab/>
        <w:t>(1)</w:t>
      </w:r>
      <w:r>
        <w:tab/>
        <w:t>The Police Commissioner may approve forms for use under the Act.</w:t>
      </w:r>
    </w:p>
    <w:p w:rsidR="001D6E8A" w:rsidRDefault="00CF4234">
      <w:pPr>
        <w:pStyle w:val="Subsection"/>
      </w:pPr>
      <w:r>
        <w:tab/>
        <w:t>(2)</w:t>
      </w:r>
      <w:r>
        <w:tab/>
        <w:t>An approved form may be a statutory declaration.</w:t>
      </w:r>
    </w:p>
    <w:p w:rsidR="001D6E8A" w:rsidRDefault="001D6E8A">
      <w:pPr>
        <w:sectPr w:rsidR="001D6E8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73" w:name="_Toc113695922"/>
    </w:p>
    <w:p w:rsidR="001D6E8A" w:rsidRDefault="00CF4234">
      <w:pPr>
        <w:pStyle w:val="nHeading2"/>
      </w:pPr>
      <w:bookmarkStart w:id="174" w:name="_Toc233521907"/>
      <w:bookmarkStart w:id="175" w:name="_Toc233522745"/>
      <w:bookmarkStart w:id="176" w:name="_Toc233707796"/>
      <w:r>
        <w:t>Notes</w:t>
      </w:r>
      <w:bookmarkEnd w:id="173"/>
      <w:bookmarkEnd w:id="174"/>
      <w:bookmarkEnd w:id="175"/>
      <w:bookmarkEnd w:id="176"/>
    </w:p>
    <w:p w:rsidR="001D6E8A" w:rsidRDefault="00CF4234">
      <w:pPr>
        <w:pStyle w:val="nSubsection"/>
        <w:rPr>
          <w:snapToGrid w:val="0"/>
        </w:rPr>
      </w:pPr>
      <w:bookmarkStart w:id="177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(Medical and Other Expenses for Former Officers) Regulations 2009</w:t>
      </w:r>
      <w:r>
        <w:rPr>
          <w:snapToGrid w:val="0"/>
        </w:rPr>
        <w:t xml:space="preserve">.  The following table contains information about those regulations. </w:t>
      </w:r>
    </w:p>
    <w:p w:rsidR="001D6E8A" w:rsidRDefault="00CF4234">
      <w:pPr>
        <w:pStyle w:val="nHeading3"/>
      </w:pPr>
      <w:bookmarkStart w:id="178" w:name="_Toc233707797"/>
      <w:r>
        <w:t>Compilation table</w:t>
      </w:r>
      <w:bookmarkEnd w:id="177"/>
      <w:bookmarkEnd w:id="17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D6E8A">
        <w:trPr>
          <w:tblHeader/>
        </w:trPr>
        <w:tc>
          <w:tcPr>
            <w:tcW w:w="3118" w:type="dxa"/>
          </w:tcPr>
          <w:p w:rsidR="001D6E8A" w:rsidRDefault="00CF42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1D6E8A" w:rsidRDefault="00CF42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1D6E8A" w:rsidRDefault="00CF42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D6E8A">
        <w:tc>
          <w:tcPr>
            <w:tcW w:w="3118" w:type="dxa"/>
          </w:tcPr>
          <w:p w:rsidR="001D6E8A" w:rsidRDefault="00CF4234">
            <w:pPr>
              <w:pStyle w:val="nTable"/>
              <w:spacing w:after="40"/>
              <w:rPr>
                <w:bCs/>
                <w:i/>
                <w:iCs/>
                <w:sz w:val="19"/>
              </w:rPr>
            </w:pPr>
            <w:r>
              <w:rPr>
                <w:bCs/>
                <w:i/>
                <w:iCs/>
                <w:sz w:val="19"/>
              </w:rPr>
              <w:t>Police (Medical and Other Expenses for Former Officers) Regulations 2009</w:t>
            </w:r>
          </w:p>
        </w:tc>
        <w:tc>
          <w:tcPr>
            <w:tcW w:w="1276" w:type="dxa"/>
          </w:tcPr>
          <w:p w:rsidR="001D6E8A" w:rsidRDefault="00CF4234"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23 Jun 2009 p. 2513</w:t>
            </w:r>
            <w:r>
              <w:rPr>
                <w:bCs/>
                <w:sz w:val="19"/>
              </w:rPr>
              <w:noBreakHyphen/>
              <w:t>23</w:t>
            </w:r>
          </w:p>
        </w:tc>
        <w:tc>
          <w:tcPr>
            <w:tcW w:w="2693" w:type="dxa"/>
          </w:tcPr>
          <w:p w:rsidR="001D6E8A" w:rsidRDefault="00CF4234"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napToGrid w:val="0"/>
                <w:spacing w:val="-2"/>
                <w:sz w:val="19"/>
                <w:lang w:val="en-US"/>
              </w:rPr>
              <w:t xml:space="preserve">1 Jul 2009 (see r. 2 and </w:t>
            </w:r>
            <w:r>
              <w:rPr>
                <w:bCs/>
                <w:i/>
                <w:iCs/>
                <w:snapToGrid w:val="0"/>
                <w:spacing w:val="-2"/>
                <w:sz w:val="19"/>
                <w:lang w:val="en-US"/>
              </w:rPr>
              <w:t xml:space="preserve">Gazette </w:t>
            </w:r>
            <w:r>
              <w:rPr>
                <w:bCs/>
                <w:snapToGrid w:val="0"/>
                <w:spacing w:val="-2"/>
                <w:sz w:val="19"/>
                <w:lang w:val="en-US"/>
              </w:rPr>
              <w:t>23 Jun 2009 p. 2424)</w:t>
            </w:r>
          </w:p>
        </w:tc>
      </w:tr>
    </w:tbl>
    <w:p w:rsidR="001D6E8A" w:rsidRDefault="001D6E8A"/>
    <w:p w:rsidR="001D6E8A" w:rsidRDefault="001D6E8A">
      <w:pPr>
        <w:sectPr w:rsidR="001D6E8A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D6E8A" w:rsidRDefault="001D6E8A"/>
    <w:sectPr w:rsidR="001D6E8A"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7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8A" w:rsidRDefault="00CF4234">
      <w:pPr>
        <w:rPr>
          <w:b/>
          <w:sz w:val="28"/>
        </w:rPr>
      </w:pPr>
      <w:r>
        <w:rPr>
          <w:b/>
          <w:sz w:val="28"/>
        </w:rPr>
        <w:t>Endnotes</w:t>
      </w:r>
    </w:p>
    <w:p w:rsidR="001D6E8A" w:rsidRDefault="00CF423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1D6E8A" w:rsidRDefault="001D6E8A"/>
  </w:endnote>
  <w:endnote w:type="continuationSeparator" w:id="0">
    <w:p w:rsidR="001D6E8A" w:rsidRDefault="001D6E8A">
      <w:pPr>
        <w:pStyle w:val="Footer"/>
      </w:pPr>
    </w:p>
    <w:p w:rsidR="001D6E8A" w:rsidRDefault="001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03D6B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03D6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03D6B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03D6B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Footer"/>
      <w:tabs>
        <w:tab w:val="clear" w:pos="4153"/>
        <w:tab w:val="right" w:pos="7088"/>
      </w:tabs>
      <w:rPr>
        <w:rStyle w:val="PageNumber"/>
      </w:rPr>
    </w:pPr>
  </w:p>
  <w:p w:rsidR="001D6E8A" w:rsidRDefault="00CF42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03D6B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03D6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D6E8A" w:rsidRDefault="00CF42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8A" w:rsidRDefault="00CF4234">
      <w:r>
        <w:separator/>
      </w:r>
    </w:p>
  </w:footnote>
  <w:footnote w:type="continuationSeparator" w:id="0">
    <w:p w:rsidR="001D6E8A" w:rsidRDefault="00CF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CF423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03D6B">
      <w:rPr>
        <w:i/>
        <w:noProof/>
      </w:rPr>
      <w:t>Police (Medical and Other Expenses for Former Officers) Regulations 2009</w:t>
    </w:r>
    <w:r>
      <w:rPr>
        <w:i/>
      </w:rPr>
      <w:fldChar w:fldCharType="end"/>
    </w:r>
  </w:p>
  <w:p w:rsidR="001D6E8A" w:rsidRDefault="00CF423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D6E8A" w:rsidRDefault="00CF423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D6E8A" w:rsidRDefault="001D6E8A">
    <w:pPr>
      <w:pStyle w:val="headerpart"/>
    </w:pPr>
  </w:p>
  <w:p w:rsidR="001D6E8A" w:rsidRDefault="001D6E8A">
    <w:pPr>
      <w:pBdr>
        <w:bottom w:val="single" w:sz="6" w:space="1" w:color="auto"/>
      </w:pBdr>
      <w:rPr>
        <w:b/>
      </w:rPr>
    </w:pPr>
  </w:p>
  <w:p w:rsidR="001D6E8A" w:rsidRDefault="001D6E8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ActNameRight"/>
            <w:ind w:right="17"/>
          </w:pPr>
          <w:fldSimple w:instr=" Styleref &quot;Name of Act/Reg&quot; ">
            <w:r w:rsidR="00D03D6B">
              <w:rPr>
                <w:noProof/>
              </w:rPr>
              <w:t>Police (Medical and Other Expenses for Former Officers) Regulations 2009</w:t>
            </w:r>
          </w:fldSimple>
        </w:p>
      </w:tc>
    </w:tr>
    <w:tr w:rsidR="001D6E8A">
      <w:tc>
        <w:tcPr>
          <w:tcW w:w="5715" w:type="dxa"/>
        </w:tcPr>
        <w:p w:rsidR="001D6E8A" w:rsidRDefault="001D6E8A">
          <w:pPr>
            <w:pStyle w:val="HeaderTextRight"/>
          </w:pPr>
        </w:p>
      </w:tc>
      <w:tc>
        <w:tcPr>
          <w:tcW w:w="1548" w:type="dxa"/>
        </w:tcPr>
        <w:p w:rsidR="001D6E8A" w:rsidRDefault="001D6E8A">
          <w:pPr>
            <w:pStyle w:val="HeaderNumberRight"/>
            <w:ind w:right="17"/>
          </w:pPr>
        </w:p>
      </w:tc>
    </w:tr>
    <w:tr w:rsidR="001D6E8A">
      <w:tc>
        <w:tcPr>
          <w:tcW w:w="5715" w:type="dxa"/>
        </w:tcPr>
        <w:p w:rsidR="001D6E8A" w:rsidRDefault="001D6E8A">
          <w:pPr>
            <w:pStyle w:val="HeaderTextRight"/>
          </w:pPr>
        </w:p>
      </w:tc>
      <w:tc>
        <w:tcPr>
          <w:tcW w:w="1548" w:type="dxa"/>
        </w:tcPr>
        <w:p w:rsidR="001D6E8A" w:rsidRDefault="001D6E8A">
          <w:pPr>
            <w:pStyle w:val="HeaderNumberRight"/>
            <w:ind w:right="17"/>
          </w:pPr>
        </w:p>
      </w:tc>
    </w:tr>
    <w:tr w:rsidR="001D6E8A">
      <w:trPr>
        <w:cantSplit/>
      </w:trPr>
      <w:tc>
        <w:tcPr>
          <w:tcW w:w="7258" w:type="dxa"/>
          <w:gridSpan w:val="2"/>
        </w:tcPr>
        <w:p w:rsidR="001D6E8A" w:rsidRDefault="001D6E8A">
          <w:pPr>
            <w:pStyle w:val="HeaderSectionRight"/>
            <w:ind w:right="17"/>
          </w:pPr>
        </w:p>
      </w:tc>
    </w:tr>
  </w:tbl>
  <w:p w:rsidR="001D6E8A" w:rsidRDefault="001D6E8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ActNameLeft"/>
          </w:pPr>
          <w:fldSimple w:instr=" Styleref &quot;Name of Act/Reg&quot; ">
            <w:r w:rsidR="00D03D6B">
              <w:rPr>
                <w:noProof/>
              </w:rPr>
              <w:t>Police (Medical and Other Expenses for Former Officers) Regulations 2009</w:t>
            </w:r>
          </w:fldSimple>
        </w:p>
      </w:tc>
    </w:tr>
    <w:tr w:rsidR="001D6E8A">
      <w:tc>
        <w:tcPr>
          <w:tcW w:w="1548" w:type="dxa"/>
        </w:tcPr>
        <w:p w:rsidR="001D6E8A" w:rsidRDefault="001D6E8A">
          <w:pPr>
            <w:pStyle w:val="HeaderNumberLeft"/>
          </w:pPr>
        </w:p>
      </w:tc>
      <w:tc>
        <w:tcPr>
          <w:tcW w:w="5715" w:type="dxa"/>
        </w:tcPr>
        <w:p w:rsidR="001D6E8A" w:rsidRDefault="001D6E8A">
          <w:pPr>
            <w:pStyle w:val="HeaderTextLeft"/>
          </w:pPr>
        </w:p>
      </w:tc>
    </w:tr>
    <w:tr w:rsidR="001D6E8A">
      <w:tc>
        <w:tcPr>
          <w:tcW w:w="1548" w:type="dxa"/>
        </w:tcPr>
        <w:p w:rsidR="001D6E8A" w:rsidRDefault="001D6E8A">
          <w:pPr>
            <w:pStyle w:val="HeaderNumberLeft"/>
          </w:pPr>
        </w:p>
      </w:tc>
      <w:tc>
        <w:tcPr>
          <w:tcW w:w="5715" w:type="dxa"/>
        </w:tcPr>
        <w:p w:rsidR="001D6E8A" w:rsidRDefault="001D6E8A">
          <w:pPr>
            <w:pStyle w:val="HeaderTextLeft"/>
          </w:pPr>
        </w:p>
      </w:tc>
    </w:tr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D6E8A" w:rsidRDefault="001D6E8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ActNameRight"/>
            <w:ind w:right="17"/>
          </w:pPr>
          <w:fldSimple w:instr=" Styleref &quot;Name of Act/Reg&quot; ">
            <w:r w:rsidR="00D03D6B">
              <w:rPr>
                <w:noProof/>
              </w:rPr>
              <w:t>Police (Medical and Other Expenses for Former Officers) Regulations 2009</w:t>
            </w:r>
          </w:fldSimple>
        </w:p>
      </w:tc>
    </w:tr>
    <w:tr w:rsidR="001D6E8A">
      <w:tc>
        <w:tcPr>
          <w:tcW w:w="5715" w:type="dxa"/>
        </w:tcPr>
        <w:p w:rsidR="001D6E8A" w:rsidRDefault="001D6E8A">
          <w:pPr>
            <w:pStyle w:val="HeaderTextRight"/>
          </w:pPr>
        </w:p>
      </w:tc>
      <w:tc>
        <w:tcPr>
          <w:tcW w:w="1548" w:type="dxa"/>
        </w:tcPr>
        <w:p w:rsidR="001D6E8A" w:rsidRDefault="001D6E8A">
          <w:pPr>
            <w:pStyle w:val="HeaderNumberRight"/>
            <w:ind w:right="17"/>
          </w:pPr>
        </w:p>
      </w:tc>
    </w:tr>
    <w:tr w:rsidR="001D6E8A">
      <w:tc>
        <w:tcPr>
          <w:tcW w:w="5715" w:type="dxa"/>
        </w:tcPr>
        <w:p w:rsidR="001D6E8A" w:rsidRDefault="001D6E8A">
          <w:pPr>
            <w:pStyle w:val="HeaderTextRight"/>
          </w:pPr>
        </w:p>
      </w:tc>
      <w:tc>
        <w:tcPr>
          <w:tcW w:w="1548" w:type="dxa"/>
        </w:tcPr>
        <w:p w:rsidR="001D6E8A" w:rsidRDefault="001D6E8A">
          <w:pPr>
            <w:pStyle w:val="HeaderNumberRight"/>
            <w:ind w:right="17"/>
          </w:pPr>
        </w:p>
      </w:tc>
    </w:tr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D6E8A" w:rsidRDefault="001D6E8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ActNameLeft"/>
          </w:pPr>
          <w:fldSimple w:instr=" Styleref &quot;Name of Act/Reg&quot; ">
            <w:r w:rsidR="00D03D6B">
              <w:rPr>
                <w:noProof/>
              </w:rPr>
              <w:t>Police (Medical and Other Expenses for Former Officers) Regulations 2009</w:t>
            </w:r>
          </w:fldSimple>
        </w:p>
      </w:tc>
    </w:tr>
    <w:tr w:rsidR="001D6E8A">
      <w:tc>
        <w:tcPr>
          <w:tcW w:w="1548" w:type="dxa"/>
        </w:tcPr>
        <w:p w:rsidR="001D6E8A" w:rsidRDefault="00CF423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D6E8A" w:rsidRDefault="00CF423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D6E8A">
      <w:tc>
        <w:tcPr>
          <w:tcW w:w="1548" w:type="dxa"/>
        </w:tcPr>
        <w:p w:rsidR="001D6E8A" w:rsidRDefault="00CF423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D6E8A" w:rsidRDefault="00CF423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SectionLeft"/>
          </w:pPr>
          <w:r>
            <w:t xml:space="preserve">r. </w:t>
          </w:r>
          <w:fldSimple w:instr=" styleref CharSectno ">
            <w:r w:rsidR="00D03D6B">
              <w:rPr>
                <w:noProof/>
              </w:rPr>
              <w:t>1</w:t>
            </w:r>
          </w:fldSimple>
        </w:p>
      </w:tc>
    </w:tr>
  </w:tbl>
  <w:p w:rsidR="001D6E8A" w:rsidRDefault="001D6E8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ActNameRight"/>
            <w:ind w:right="17"/>
          </w:pPr>
          <w:fldSimple w:instr=" Styleref &quot;Name of Act/Reg&quot; ">
            <w:r w:rsidR="00D03D6B">
              <w:rPr>
                <w:noProof/>
              </w:rPr>
              <w:t>Police (Medical and Other Expenses for Former Officers) Regulations 2009</w:t>
            </w:r>
          </w:fldSimple>
        </w:p>
      </w:tc>
    </w:tr>
    <w:tr w:rsidR="001D6E8A">
      <w:tc>
        <w:tcPr>
          <w:tcW w:w="5715" w:type="dxa"/>
        </w:tcPr>
        <w:p w:rsidR="001D6E8A" w:rsidRDefault="00CF423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D6E8A" w:rsidRDefault="00CF423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D6E8A">
      <w:tc>
        <w:tcPr>
          <w:tcW w:w="5715" w:type="dxa"/>
        </w:tcPr>
        <w:p w:rsidR="001D6E8A" w:rsidRDefault="00CF423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D6E8A" w:rsidRDefault="00CF423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D03D6B">
              <w:rPr>
                <w:noProof/>
              </w:rPr>
              <w:t>1</w:t>
            </w:r>
          </w:fldSimple>
        </w:p>
      </w:tc>
    </w:tr>
  </w:tbl>
  <w:p w:rsidR="001D6E8A" w:rsidRDefault="001D6E8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A" w:rsidRDefault="001D6E8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D6E8A">
      <w:trPr>
        <w:cantSplit/>
      </w:trPr>
      <w:tc>
        <w:tcPr>
          <w:tcW w:w="7258" w:type="dxa"/>
          <w:gridSpan w:val="2"/>
        </w:tcPr>
        <w:p w:rsidR="001D6E8A" w:rsidRDefault="00CF4234">
          <w:pPr>
            <w:pStyle w:val="HeaderActNameLeft"/>
          </w:pPr>
          <w:fldSimple w:instr=" Styleref &quot;Name of Act/Reg&quot; ">
            <w:r w:rsidR="00D03D6B">
              <w:rPr>
                <w:noProof/>
              </w:rPr>
              <w:t>Police (Medical and Other Expenses for Former Officers) Regulations 2009</w:t>
            </w:r>
          </w:fldSimple>
        </w:p>
      </w:tc>
    </w:tr>
    <w:tr w:rsidR="001D6E8A">
      <w:tc>
        <w:tcPr>
          <w:tcW w:w="1548" w:type="dxa"/>
        </w:tcPr>
        <w:p w:rsidR="001D6E8A" w:rsidRDefault="001D6E8A">
          <w:pPr>
            <w:pStyle w:val="HeaderNumberLeft"/>
          </w:pPr>
        </w:p>
      </w:tc>
      <w:tc>
        <w:tcPr>
          <w:tcW w:w="5715" w:type="dxa"/>
        </w:tcPr>
        <w:p w:rsidR="001D6E8A" w:rsidRDefault="001D6E8A">
          <w:pPr>
            <w:pStyle w:val="HeaderTextLeft"/>
          </w:pPr>
        </w:p>
      </w:tc>
    </w:tr>
    <w:tr w:rsidR="001D6E8A">
      <w:tc>
        <w:tcPr>
          <w:tcW w:w="1548" w:type="dxa"/>
        </w:tcPr>
        <w:p w:rsidR="001D6E8A" w:rsidRDefault="001D6E8A">
          <w:pPr>
            <w:pStyle w:val="HeaderNumberLeft"/>
          </w:pPr>
        </w:p>
      </w:tc>
      <w:tc>
        <w:tcPr>
          <w:tcW w:w="5715" w:type="dxa"/>
        </w:tcPr>
        <w:p w:rsidR="001D6E8A" w:rsidRDefault="001D6E8A">
          <w:pPr>
            <w:pStyle w:val="HeaderTextLeft"/>
          </w:pPr>
        </w:p>
      </w:tc>
    </w:tr>
    <w:tr w:rsidR="001D6E8A">
      <w:trPr>
        <w:cantSplit/>
      </w:trPr>
      <w:tc>
        <w:tcPr>
          <w:tcW w:w="7258" w:type="dxa"/>
          <w:gridSpan w:val="2"/>
        </w:tcPr>
        <w:p w:rsidR="001D6E8A" w:rsidRDefault="001D6E8A">
          <w:pPr>
            <w:pStyle w:val="HeaderSectionRight"/>
            <w:ind w:right="17"/>
            <w:jc w:val="left"/>
          </w:pPr>
        </w:p>
      </w:tc>
    </w:tr>
  </w:tbl>
  <w:p w:rsidR="001D6E8A" w:rsidRDefault="001D6E8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E31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A5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CA2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2AA7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8F7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CFB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020E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0885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23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05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960E55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20663F6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4"/>
    <w:rsid w:val="001C1B6C"/>
    <w:rsid w:val="001D6E8A"/>
    <w:rsid w:val="005D4D41"/>
    <w:rsid w:val="00CF4234"/>
    <w:rsid w:val="00D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7621</Characters>
  <Application>Microsoft Office Word</Application>
  <DocSecurity>0</DocSecurity>
  <Lines>230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 matters</vt:lpstr>
      <vt:lpstr>    Part 2 — Claims procedure</vt:lpstr>
      <vt:lpstr>    Part 3 — Dispute resolution</vt:lpstr>
      <vt:lpstr>    Part 4 — Miscellaneous matters</vt:lpstr>
      <vt:lpstr>    Notes</vt:lpstr>
    </vt:vector>
  </TitlesOfParts>
  <Company>Parliamentary Counsel's Office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(Medical and Other Expenses for Former Officers) Regulations 2009 - 00-a0-01</dc:title>
  <dc:subject>Subsidiary Legislation</dc:subject>
  <dc:creator>Clare Dias</dc:creator>
  <cp:keywords/>
  <dc:description>V1.1</dc:description>
  <cp:lastModifiedBy>svcMRProcess</cp:lastModifiedBy>
  <cp:revision>4</cp:revision>
  <cp:lastPrinted>2009-06-08T04:27:00Z</cp:lastPrinted>
  <dcterms:created xsi:type="dcterms:W3CDTF">2013-02-17T07:58:00Z</dcterms:created>
  <dcterms:modified xsi:type="dcterms:W3CDTF">2013-02-17T07:58:00Z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Jun 2009 p 2513-23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AsAtDate">
    <vt:lpwstr>01 Jul 2009</vt:lpwstr>
  </property>
  <property fmtid="{D5CDD505-2E9C-101B-9397-08002B2CF9AE}" pid="6" name="Suffix">
    <vt:lpwstr>00-a0-01</vt:lpwstr>
  </property>
  <property fmtid="{D5CDD505-2E9C-101B-9397-08002B2CF9AE}" pid="7" name="OwlsUID">
    <vt:i4>41415</vt:i4>
  </property>
</Properties>
</file>