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Debt Collectors Licensing Act 1964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Debt Collectors Licensing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_Toc238008872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Forms</w:t>
      </w:r>
      <w:r>
        <w:tab/>
      </w:r>
      <w:r>
        <w:fldChar w:fldCharType="begin"/>
      </w:r>
      <w:r>
        <w:instrText xml:space="preserve"> PAGEREF _Toc238008873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corporation</w:t>
      </w:r>
      <w:r>
        <w:tab/>
      </w:r>
      <w:r>
        <w:fldChar w:fldCharType="begin"/>
      </w:r>
      <w:r>
        <w:instrText xml:space="preserve"> PAGEREF _Toc238008874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_Toc238008875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Transfer of licence</w:t>
      </w:r>
      <w:r>
        <w:tab/>
      </w:r>
      <w:r>
        <w:fldChar w:fldCharType="begin"/>
      </w:r>
      <w:r>
        <w:instrText xml:space="preserve"> PAGEREF _Toc238008876 \h </w:instrText>
      </w:r>
      <w:r>
        <w:fldChar w:fldCharType="separate"/>
      </w:r>
      <w:r>
        <w:t>2</w:t>
      </w:r>
      <w:r>
        <w:fldChar w:fldCharType="end"/>
      </w:r>
    </w:p>
    <w:p>
      <w:pPr>
        <w:pStyle w:val="TOC8"/>
        <w:rPr>
          <w:sz w:val="24"/>
          <w:szCs w:val="24"/>
        </w:rPr>
      </w:pPr>
      <w:r>
        <w:rPr>
          <w:szCs w:val="24"/>
        </w:rPr>
        <w:t>6.</w:t>
      </w:r>
      <w:r>
        <w:rPr>
          <w:szCs w:val="24"/>
        </w:rPr>
        <w:tab/>
      </w:r>
      <w:r>
        <w:rPr>
          <w:snapToGrid w:val="0"/>
          <w:szCs w:val="24"/>
        </w:rPr>
        <w:t>Lodging of application</w:t>
      </w:r>
      <w:r>
        <w:tab/>
      </w:r>
      <w:r>
        <w:fldChar w:fldCharType="begin"/>
      </w:r>
      <w:r>
        <w:instrText xml:space="preserve"> PAGEREF _Toc238008877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Duplicate licence</w:t>
      </w:r>
      <w:r>
        <w:tab/>
      </w:r>
      <w:r>
        <w:fldChar w:fldCharType="begin"/>
      </w:r>
      <w:r>
        <w:instrText xml:space="preserve"> PAGEREF _Toc238008878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Fidelity bond</w:t>
      </w:r>
      <w:r>
        <w:tab/>
      </w:r>
      <w:r>
        <w:fldChar w:fldCharType="begin"/>
      </w:r>
      <w:r>
        <w:instrText xml:space="preserve"> PAGEREF _Toc238008879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Surrender of licence</w:t>
      </w:r>
      <w:r>
        <w:tab/>
      </w:r>
      <w:r>
        <w:fldChar w:fldCharType="begin"/>
      </w:r>
      <w:r>
        <w:instrText xml:space="preserve"> PAGEREF _Toc238008880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Non</w:t>
      </w:r>
      <w:r>
        <w:rPr>
          <w:snapToGrid w:val="0"/>
          <w:szCs w:val="24"/>
        </w:rPr>
        <w:noBreakHyphen/>
        <w:t>disclosure by auditor and person appointed by Minister</w:t>
      </w:r>
      <w:r>
        <w:tab/>
      </w:r>
      <w:r>
        <w:fldChar w:fldCharType="begin"/>
      </w:r>
      <w:r>
        <w:instrText xml:space="preserve"> PAGEREF _Toc238008881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_Toc238008882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Change of address</w:t>
      </w:r>
      <w:r>
        <w:tab/>
      </w:r>
      <w:r>
        <w:fldChar w:fldCharType="begin"/>
      </w:r>
      <w:r>
        <w:instrText xml:space="preserve"> PAGEREF _Toc238008883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Charges by licensee</w:t>
      </w:r>
      <w:r>
        <w:tab/>
      </w:r>
      <w:r>
        <w:fldChar w:fldCharType="begin"/>
      </w:r>
      <w:r>
        <w:instrText xml:space="preserve"> PAGEREF _Toc238008884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_Toc238008885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Penalties</w:t>
      </w:r>
      <w:r>
        <w:tab/>
      </w:r>
      <w:r>
        <w:fldChar w:fldCharType="begin"/>
      </w:r>
      <w:r>
        <w:instrText xml:space="preserve"> PAGEREF _Toc238008886 \h </w:instrText>
      </w:r>
      <w:r>
        <w:fldChar w:fldCharType="separate"/>
      </w:r>
      <w:r>
        <w:t>7</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_Toc238008887 \h </w:instrText>
      </w:r>
      <w:r>
        <w:fldChar w:fldCharType="separate"/>
      </w:r>
      <w:r>
        <w:t>7</w:t>
      </w:r>
      <w:r>
        <w:fldChar w:fldCharType="end"/>
      </w:r>
    </w:p>
    <w:p>
      <w:pPr>
        <w:pStyle w:val="TOC2"/>
        <w:keepNext w:val="0"/>
        <w:tabs>
          <w:tab w:val="right" w:leader="dot" w:pos="7086"/>
        </w:tabs>
        <w:rPr>
          <w:b w:val="0"/>
          <w:sz w:val="24"/>
          <w:szCs w:val="24"/>
        </w:rPr>
      </w:pPr>
      <w:r>
        <w:rPr>
          <w:szCs w:val="28"/>
        </w:rPr>
        <w:t>First Schedule — Forms</w:t>
      </w:r>
    </w:p>
    <w:p>
      <w:pPr>
        <w:pStyle w:val="TOC2"/>
        <w:keepNext w:val="0"/>
        <w:tabs>
          <w:tab w:val="right" w:leader="dot" w:pos="7086"/>
        </w:tabs>
        <w:rPr>
          <w:b w:val="0"/>
          <w:sz w:val="24"/>
          <w:szCs w:val="24"/>
        </w:rPr>
      </w:pPr>
      <w:r>
        <w:rPr>
          <w:szCs w:val="28"/>
        </w:rPr>
        <w:t>Second Schedule — Fidelity Bond</w:t>
      </w:r>
    </w:p>
    <w:p>
      <w:pPr>
        <w:pStyle w:val="TOC2"/>
        <w:keepNext w:val="0"/>
        <w:tabs>
          <w:tab w:val="right" w:leader="dot" w:pos="7086"/>
        </w:tabs>
        <w:rPr>
          <w:b w:val="0"/>
          <w:sz w:val="24"/>
          <w:szCs w:val="24"/>
        </w:rPr>
      </w:pPr>
      <w:r>
        <w:rPr>
          <w:szCs w:val="28"/>
        </w:rPr>
        <w:t>Third Schedule — Prescribed offences and modified penalties</w:t>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_Toc238008892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August 2009</w:t>
            </w:r>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53176869"/>
      <w:bookmarkStart w:id="5" w:name="_Toc238008872"/>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6" w:name="endcomma"/>
      <w:bookmarkEnd w:id="6"/>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53176870"/>
      <w:bookmarkStart w:id="12" w:name="_Toc238008873"/>
      <w:r>
        <w:rPr>
          <w:rStyle w:val="CharSectno"/>
        </w:rPr>
        <w:t>2</w:t>
      </w:r>
      <w:r>
        <w:rPr>
          <w:snapToGrid w:val="0"/>
        </w:rPr>
        <w:t>.</w:t>
      </w:r>
      <w:r>
        <w:rPr>
          <w:snapToGrid w:val="0"/>
        </w:rPr>
        <w:tab/>
        <w:t>Forms</w:t>
      </w:r>
      <w:bookmarkEnd w:id="8"/>
      <w:bookmarkEnd w:id="9"/>
      <w:bookmarkEnd w:id="10"/>
      <w:bookmarkEnd w:id="11"/>
      <w:bookmarkEnd w:id="12"/>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53176871"/>
      <w:bookmarkStart w:id="17" w:name="_Toc238008874"/>
      <w:r>
        <w:rPr>
          <w:rStyle w:val="CharSectno"/>
        </w:rPr>
        <w:t>3</w:t>
      </w:r>
      <w:r>
        <w:rPr>
          <w:snapToGrid w:val="0"/>
        </w:rPr>
        <w:t>.</w:t>
      </w:r>
      <w:r>
        <w:rPr>
          <w:snapToGrid w:val="0"/>
        </w:rPr>
        <w:tab/>
        <w:t>Application by corporation</w:t>
      </w:r>
      <w:bookmarkEnd w:id="13"/>
      <w:bookmarkEnd w:id="14"/>
      <w:bookmarkEnd w:id="15"/>
      <w:bookmarkEnd w:id="16"/>
      <w:bookmarkEnd w:id="1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rPr>
          <w:snapToGrid w:val="0"/>
        </w:rPr>
      </w:pPr>
      <w:bookmarkStart w:id="18" w:name="_Toc459094046"/>
      <w:bookmarkStart w:id="19" w:name="_Toc92878610"/>
      <w:bookmarkStart w:id="20" w:name="_Toc139257803"/>
      <w:bookmarkStart w:id="21" w:name="_Toc153176872"/>
      <w:bookmarkStart w:id="22" w:name="_Toc238008875"/>
      <w:r>
        <w:rPr>
          <w:rStyle w:val="CharSectno"/>
        </w:rPr>
        <w:t>4</w:t>
      </w:r>
      <w:r>
        <w:rPr>
          <w:snapToGrid w:val="0"/>
        </w:rPr>
        <w:t>.</w:t>
      </w:r>
      <w:r>
        <w:rPr>
          <w:snapToGrid w:val="0"/>
        </w:rPr>
        <w:tab/>
        <w:t>Fees</w:t>
      </w:r>
      <w:bookmarkEnd w:id="18"/>
      <w:bookmarkEnd w:id="19"/>
      <w:bookmarkEnd w:id="20"/>
      <w:bookmarkEnd w:id="21"/>
      <w:bookmarkEnd w:id="22"/>
    </w:p>
    <w:p>
      <w:pPr>
        <w:pStyle w:val="Subsection"/>
        <w:rPr>
          <w:snapToGrid w:val="0"/>
        </w:rPr>
      </w:pPr>
      <w:r>
        <w:rPr>
          <w:snapToGrid w:val="0"/>
        </w:rPr>
        <w:tab/>
      </w:r>
      <w:r>
        <w:rPr>
          <w:snapToGrid w:val="0"/>
        </w:rPr>
        <w:tab/>
        <w:t>The following fees are payable for the matters specified — </w:t>
      </w:r>
    </w:p>
    <w:tbl>
      <w:tblPr>
        <w:tblW w:w="6309" w:type="dxa"/>
        <w:tblInd w:w="879" w:type="dxa"/>
        <w:tblLayout w:type="fixed"/>
        <w:tblLook w:val="0000" w:firstRow="0" w:lastRow="0" w:firstColumn="0" w:lastColumn="0" w:noHBand="0" w:noVBand="0"/>
      </w:tblPr>
      <w:tblGrid>
        <w:gridCol w:w="5183"/>
        <w:gridCol w:w="1126"/>
      </w:tblGrid>
      <w:tr>
        <w:tc>
          <w:tcPr>
            <w:tcW w:w="5183" w:type="dxa"/>
          </w:tcPr>
          <w:p>
            <w:pPr>
              <w:pStyle w:val="TableNAm"/>
              <w:rPr>
                <w:snapToGrid w:val="0"/>
              </w:rPr>
            </w:pPr>
          </w:p>
        </w:tc>
        <w:tc>
          <w:tcPr>
            <w:tcW w:w="1126" w:type="dxa"/>
          </w:tcPr>
          <w:p>
            <w:pPr>
              <w:pStyle w:val="TableNAm"/>
              <w:tabs>
                <w:tab w:val="clear" w:pos="567"/>
              </w:tabs>
              <w:ind w:left="58"/>
              <w:jc w:val="center"/>
              <w:rPr>
                <w:snapToGrid w:val="0"/>
              </w:rPr>
            </w:pPr>
            <w:r>
              <w:rPr>
                <w:snapToGrid w:val="0"/>
              </w:rPr>
              <w:t>$</w:t>
            </w:r>
          </w:p>
        </w:tc>
      </w:tr>
      <w:tr>
        <w:tc>
          <w:tcPr>
            <w:tcW w:w="5183" w:type="dxa"/>
          </w:tcPr>
          <w:p>
            <w:pPr>
              <w:pStyle w:val="TableNAm"/>
              <w:rPr>
                <w:snapToGrid w:val="0"/>
              </w:rPr>
            </w:pPr>
            <w:r>
              <w:rPr>
                <w:snapToGrid w:val="0"/>
              </w:rPr>
              <w:t>For the issue or renewal of a licence .......................</w:t>
            </w:r>
          </w:p>
        </w:tc>
        <w:tc>
          <w:tcPr>
            <w:tcW w:w="1126" w:type="dxa"/>
          </w:tcPr>
          <w:p>
            <w:pPr>
              <w:pStyle w:val="TableNAm"/>
              <w:tabs>
                <w:tab w:val="clear" w:pos="567"/>
              </w:tabs>
              <w:ind w:right="227"/>
              <w:jc w:val="right"/>
              <w:rPr>
                <w:snapToGrid w:val="0"/>
              </w:rPr>
            </w:pPr>
            <w:r>
              <w:rPr>
                <w:snapToGrid w:val="0"/>
              </w:rPr>
              <w:t>490</w:t>
            </w:r>
          </w:p>
        </w:tc>
      </w:tr>
      <w:tr>
        <w:tc>
          <w:tcPr>
            <w:tcW w:w="5183" w:type="dxa"/>
          </w:tcPr>
          <w:p>
            <w:pPr>
              <w:pStyle w:val="TableNAm"/>
              <w:rPr>
                <w:snapToGrid w:val="0"/>
              </w:rPr>
            </w:pPr>
            <w:r>
              <w:rPr>
                <w:snapToGrid w:val="0"/>
              </w:rPr>
              <w:t>For the transfer of a licence .....................................</w:t>
            </w:r>
          </w:p>
        </w:tc>
        <w:tc>
          <w:tcPr>
            <w:tcW w:w="1126" w:type="dxa"/>
          </w:tcPr>
          <w:p>
            <w:pPr>
              <w:pStyle w:val="TableNAm"/>
              <w:tabs>
                <w:tab w:val="clear" w:pos="567"/>
              </w:tabs>
              <w:ind w:right="227"/>
              <w:jc w:val="right"/>
              <w:rPr>
                <w:snapToGrid w:val="0"/>
              </w:rPr>
            </w:pPr>
            <w:r>
              <w:rPr>
                <w:snapToGrid w:val="0"/>
              </w:rPr>
              <w:t>275</w:t>
            </w:r>
          </w:p>
        </w:tc>
      </w:tr>
      <w:tr>
        <w:tc>
          <w:tcPr>
            <w:tcW w:w="5183" w:type="dxa"/>
          </w:tcPr>
          <w:p>
            <w:pPr>
              <w:pStyle w:val="TableNAm"/>
              <w:rPr>
                <w:snapToGrid w:val="0"/>
              </w:rPr>
            </w:pPr>
            <w:r>
              <w:rPr>
                <w:snapToGrid w:val="0"/>
              </w:rPr>
              <w:t>For a duplicate licence .............................................</w:t>
            </w:r>
          </w:p>
        </w:tc>
        <w:tc>
          <w:tcPr>
            <w:tcW w:w="1126" w:type="dxa"/>
          </w:tcPr>
          <w:p>
            <w:pPr>
              <w:pStyle w:val="TableNAm"/>
              <w:tabs>
                <w:tab w:val="clear" w:pos="567"/>
              </w:tabs>
              <w:ind w:right="227"/>
              <w:jc w:val="right"/>
              <w:rPr>
                <w:snapToGrid w:val="0"/>
              </w:rPr>
            </w:pPr>
            <w:r>
              <w:rPr>
                <w:snapToGrid w:val="0"/>
              </w:rPr>
              <w:t>30</w:t>
            </w:r>
          </w:p>
        </w:tc>
      </w:tr>
      <w:tr>
        <w:tc>
          <w:tcPr>
            <w:tcW w:w="5183" w:type="dxa"/>
          </w:tcPr>
          <w:p>
            <w:pPr>
              <w:pStyle w:val="TableNAm"/>
              <w:rPr>
                <w:snapToGrid w:val="0"/>
              </w:rPr>
            </w:pPr>
            <w:r>
              <w:rPr>
                <w:snapToGrid w:val="0"/>
              </w:rPr>
              <w:t>For an inspection of the register kept under section 12 of the Act ................................................</w:t>
            </w:r>
          </w:p>
        </w:tc>
        <w:tc>
          <w:tcPr>
            <w:tcW w:w="1126" w:type="dxa"/>
          </w:tcPr>
          <w:p>
            <w:pPr>
              <w:pStyle w:val="TableNAm"/>
              <w:tabs>
                <w:tab w:val="clear" w:pos="567"/>
              </w:tabs>
              <w:ind w:right="227"/>
              <w:jc w:val="right"/>
              <w:rPr>
                <w:snapToGrid w:val="0"/>
              </w:rPr>
            </w:pPr>
            <w:r>
              <w:rPr>
                <w:snapToGrid w:val="0"/>
              </w:rPr>
              <w:br/>
              <w:t>10</w:t>
            </w:r>
          </w:p>
        </w:tc>
      </w:tr>
    </w:tbl>
    <w:p>
      <w:pPr>
        <w:pStyle w:val="Footnotesection"/>
      </w:pPr>
      <w:r>
        <w:tab/>
        <w:t>[Regulation 4 inserted in Gazette 30 Jun 1989 p. 1974; amended in Gazette 1 Aug 1990 p. 3658; 13 Dec 1991 p. 6157; 14 Aug 1992 p. 4023; 27 Jun 2006 p. 2254; 15 Jun 2007 p. 2772; 17 Jun 2008 p. 2549; 23 Jun 2009 p. 2437.]</w:t>
      </w:r>
    </w:p>
    <w:p>
      <w:pPr>
        <w:pStyle w:val="Heading5"/>
        <w:rPr>
          <w:snapToGrid w:val="0"/>
        </w:rPr>
      </w:pPr>
      <w:bookmarkStart w:id="23" w:name="_Toc459094047"/>
      <w:bookmarkStart w:id="24" w:name="_Toc92878611"/>
      <w:bookmarkStart w:id="25" w:name="_Toc139257804"/>
      <w:bookmarkStart w:id="26" w:name="_Toc153176873"/>
      <w:bookmarkStart w:id="27" w:name="_Toc238008876"/>
      <w:r>
        <w:rPr>
          <w:rStyle w:val="CharSectno"/>
        </w:rPr>
        <w:t>5</w:t>
      </w:r>
      <w:r>
        <w:rPr>
          <w:snapToGrid w:val="0"/>
        </w:rPr>
        <w:t>.</w:t>
      </w:r>
      <w:r>
        <w:rPr>
          <w:snapToGrid w:val="0"/>
        </w:rPr>
        <w:tab/>
        <w:t xml:space="preserve">Transfer of </w:t>
      </w:r>
      <w:bookmarkEnd w:id="23"/>
      <w:r>
        <w:rPr>
          <w:snapToGrid w:val="0"/>
        </w:rPr>
        <w:t>licence</w:t>
      </w:r>
      <w:bookmarkEnd w:id="24"/>
      <w:bookmarkEnd w:id="25"/>
      <w:bookmarkEnd w:id="26"/>
      <w:bookmarkEnd w:id="2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8" w:name="_Toc92878612"/>
      <w:bookmarkStart w:id="29" w:name="_Toc139257805"/>
      <w:bookmarkStart w:id="30" w:name="_Toc153176874"/>
      <w:bookmarkStart w:id="31" w:name="_Toc238008877"/>
      <w:bookmarkStart w:id="32" w:name="_Toc459094049"/>
      <w:r>
        <w:rPr>
          <w:rStyle w:val="CharSectno"/>
        </w:rPr>
        <w:t>6</w:t>
      </w:r>
      <w:r>
        <w:t>.</w:t>
      </w:r>
      <w:r>
        <w:tab/>
      </w:r>
      <w:r>
        <w:rPr>
          <w:snapToGrid w:val="0"/>
        </w:rPr>
        <w:t>Lodging of application</w:t>
      </w:r>
      <w:bookmarkEnd w:id="28"/>
      <w:bookmarkEnd w:id="29"/>
      <w:bookmarkEnd w:id="30"/>
      <w:bookmarkEnd w:id="31"/>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3" w:name="_Toc92878613"/>
      <w:bookmarkStart w:id="34" w:name="_Toc139257806"/>
      <w:bookmarkStart w:id="35" w:name="_Toc153176875"/>
      <w:bookmarkStart w:id="36" w:name="_Toc238008878"/>
      <w:r>
        <w:rPr>
          <w:rStyle w:val="CharSectno"/>
        </w:rPr>
        <w:t>7</w:t>
      </w:r>
      <w:r>
        <w:rPr>
          <w:snapToGrid w:val="0"/>
        </w:rPr>
        <w:t>.</w:t>
      </w:r>
      <w:r>
        <w:rPr>
          <w:snapToGrid w:val="0"/>
        </w:rPr>
        <w:tab/>
        <w:t xml:space="preserve">Duplicate </w:t>
      </w:r>
      <w:bookmarkEnd w:id="32"/>
      <w:r>
        <w:rPr>
          <w:snapToGrid w:val="0"/>
        </w:rPr>
        <w:t>licence</w:t>
      </w:r>
      <w:bookmarkEnd w:id="33"/>
      <w:bookmarkEnd w:id="34"/>
      <w:bookmarkEnd w:id="35"/>
      <w:bookmarkEnd w:id="36"/>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37"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8" w:name="_Toc92878614"/>
      <w:bookmarkStart w:id="39" w:name="_Toc139257807"/>
      <w:bookmarkStart w:id="40" w:name="_Toc153176876"/>
      <w:bookmarkStart w:id="41" w:name="_Toc238008879"/>
      <w:r>
        <w:rPr>
          <w:rStyle w:val="CharSectno"/>
        </w:rPr>
        <w:t>8</w:t>
      </w:r>
      <w:r>
        <w:rPr>
          <w:snapToGrid w:val="0"/>
        </w:rPr>
        <w:t>.</w:t>
      </w:r>
      <w:r>
        <w:rPr>
          <w:snapToGrid w:val="0"/>
        </w:rPr>
        <w:tab/>
        <w:t>Fidelity bond</w:t>
      </w:r>
      <w:bookmarkEnd w:id="37"/>
      <w:bookmarkEnd w:id="38"/>
      <w:bookmarkEnd w:id="39"/>
      <w:bookmarkEnd w:id="40"/>
      <w:bookmarkEnd w:id="4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42" w:name="_Toc459094051"/>
      <w:r>
        <w:tab/>
        <w:t>[Regulation 8 amended in Gazette 30 Dec 2004 p. 6916.]</w:t>
      </w:r>
    </w:p>
    <w:p>
      <w:pPr>
        <w:pStyle w:val="Heading5"/>
        <w:rPr>
          <w:snapToGrid w:val="0"/>
        </w:rPr>
      </w:pPr>
      <w:bookmarkStart w:id="43" w:name="_Toc92878615"/>
      <w:bookmarkStart w:id="44" w:name="_Toc139257808"/>
      <w:bookmarkStart w:id="45" w:name="_Toc153176877"/>
      <w:bookmarkStart w:id="46" w:name="_Toc238008880"/>
      <w:r>
        <w:rPr>
          <w:rStyle w:val="CharSectno"/>
        </w:rPr>
        <w:t>9</w:t>
      </w:r>
      <w:r>
        <w:rPr>
          <w:snapToGrid w:val="0"/>
        </w:rPr>
        <w:t>.</w:t>
      </w:r>
      <w:r>
        <w:rPr>
          <w:snapToGrid w:val="0"/>
        </w:rPr>
        <w:tab/>
        <w:t xml:space="preserve">Surrender of </w:t>
      </w:r>
      <w:bookmarkEnd w:id="42"/>
      <w:r>
        <w:rPr>
          <w:snapToGrid w:val="0"/>
        </w:rPr>
        <w:t>licence</w:t>
      </w:r>
      <w:bookmarkEnd w:id="43"/>
      <w:bookmarkEnd w:id="44"/>
      <w:bookmarkEnd w:id="45"/>
      <w:bookmarkEnd w:id="46"/>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7" w:name="_Toc459094052"/>
      <w:r>
        <w:tab/>
        <w:t>[Regulation 9 amended in Gazette 30 Dec 2004 p. 6916.]</w:t>
      </w:r>
    </w:p>
    <w:p>
      <w:pPr>
        <w:pStyle w:val="Heading5"/>
        <w:rPr>
          <w:snapToGrid w:val="0"/>
        </w:rPr>
      </w:pPr>
      <w:bookmarkStart w:id="48" w:name="_Toc92878616"/>
      <w:bookmarkStart w:id="49" w:name="_Toc139257809"/>
      <w:bookmarkStart w:id="50" w:name="_Toc153176878"/>
      <w:bookmarkStart w:id="51" w:name="_Toc238008881"/>
      <w:r>
        <w:rPr>
          <w:rStyle w:val="CharSectno"/>
        </w:rPr>
        <w:t>10</w:t>
      </w:r>
      <w:r>
        <w:rPr>
          <w:snapToGrid w:val="0"/>
        </w:rPr>
        <w:t>.</w:t>
      </w:r>
      <w:r>
        <w:rPr>
          <w:snapToGrid w:val="0"/>
        </w:rPr>
        <w:tab/>
        <w:t>Non</w:t>
      </w:r>
      <w:r>
        <w:rPr>
          <w:snapToGrid w:val="0"/>
        </w:rPr>
        <w:noBreakHyphen/>
        <w:t>disclosure by auditor and person appointed by Minister</w:t>
      </w:r>
      <w:bookmarkEnd w:id="47"/>
      <w:bookmarkEnd w:id="48"/>
      <w:bookmarkEnd w:id="49"/>
      <w:bookmarkEnd w:id="50"/>
      <w:bookmarkEnd w:id="51"/>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52" w:name="_Toc459094053"/>
      <w:bookmarkStart w:id="53" w:name="_Toc92878617"/>
      <w:bookmarkStart w:id="54" w:name="_Toc139257810"/>
      <w:bookmarkStart w:id="55" w:name="_Toc153176879"/>
      <w:bookmarkStart w:id="56" w:name="_Toc238008882"/>
      <w:r>
        <w:rPr>
          <w:rStyle w:val="CharSectno"/>
        </w:rPr>
        <w:t>11</w:t>
      </w:r>
      <w:r>
        <w:rPr>
          <w:snapToGrid w:val="0"/>
        </w:rPr>
        <w:t>.</w:t>
      </w:r>
      <w:r>
        <w:rPr>
          <w:snapToGrid w:val="0"/>
        </w:rPr>
        <w:tab/>
        <w:t>Offence</w:t>
      </w:r>
      <w:bookmarkEnd w:id="52"/>
      <w:bookmarkEnd w:id="53"/>
      <w:bookmarkEnd w:id="54"/>
      <w:bookmarkEnd w:id="55"/>
      <w:bookmarkEnd w:id="56"/>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7" w:name="_Toc459094054"/>
      <w:bookmarkStart w:id="58" w:name="_Toc92878618"/>
      <w:bookmarkStart w:id="59" w:name="_Toc139257811"/>
      <w:bookmarkStart w:id="60" w:name="_Toc153176880"/>
      <w:bookmarkStart w:id="61" w:name="_Toc238008883"/>
      <w:r>
        <w:rPr>
          <w:rStyle w:val="CharSectno"/>
        </w:rPr>
        <w:t>12</w:t>
      </w:r>
      <w:r>
        <w:rPr>
          <w:snapToGrid w:val="0"/>
        </w:rPr>
        <w:t>.</w:t>
      </w:r>
      <w:r>
        <w:rPr>
          <w:snapToGrid w:val="0"/>
        </w:rPr>
        <w:tab/>
        <w:t>Change of address</w:t>
      </w:r>
      <w:bookmarkEnd w:id="57"/>
      <w:bookmarkEnd w:id="58"/>
      <w:bookmarkEnd w:id="59"/>
      <w:bookmarkEnd w:id="60"/>
      <w:bookmarkEnd w:id="61"/>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62" w:name="_Toc459094055"/>
      <w:r>
        <w:tab/>
        <w:t>[Regulation 12 amended in Gazette 30 Dec 2004 p. 6916.]</w:t>
      </w:r>
    </w:p>
    <w:p>
      <w:pPr>
        <w:pStyle w:val="Heading5"/>
        <w:rPr>
          <w:snapToGrid w:val="0"/>
        </w:rPr>
      </w:pPr>
      <w:bookmarkStart w:id="63" w:name="_Toc92878619"/>
      <w:bookmarkStart w:id="64" w:name="_Toc139257812"/>
      <w:bookmarkStart w:id="65" w:name="_Toc153176881"/>
      <w:bookmarkStart w:id="66" w:name="_Toc238008884"/>
      <w:r>
        <w:rPr>
          <w:rStyle w:val="CharSectno"/>
        </w:rPr>
        <w:t>13</w:t>
      </w:r>
      <w:r>
        <w:rPr>
          <w:snapToGrid w:val="0"/>
        </w:rPr>
        <w:t>.</w:t>
      </w:r>
      <w:r>
        <w:rPr>
          <w:snapToGrid w:val="0"/>
        </w:rPr>
        <w:tab/>
        <w:t>Charges by licensee</w:t>
      </w:r>
      <w:bookmarkEnd w:id="62"/>
      <w:bookmarkEnd w:id="63"/>
      <w:bookmarkEnd w:id="64"/>
      <w:bookmarkEnd w:id="65"/>
      <w:bookmarkEnd w:id="66"/>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7" w:name="_Toc459094056"/>
      <w:bookmarkStart w:id="68" w:name="_Toc92878620"/>
      <w:bookmarkStart w:id="69" w:name="_Toc139257813"/>
      <w:bookmarkStart w:id="70" w:name="_Toc153176882"/>
      <w:bookmarkStart w:id="71" w:name="_Toc238008885"/>
      <w:r>
        <w:rPr>
          <w:rStyle w:val="CharSectno"/>
        </w:rPr>
        <w:t>14</w:t>
      </w:r>
      <w:r>
        <w:rPr>
          <w:snapToGrid w:val="0"/>
        </w:rPr>
        <w:t>.</w:t>
      </w:r>
      <w:r>
        <w:rPr>
          <w:snapToGrid w:val="0"/>
        </w:rPr>
        <w:tab/>
        <w:t>Exemptions</w:t>
      </w:r>
      <w:bookmarkEnd w:id="67"/>
      <w:bookmarkEnd w:id="68"/>
      <w:bookmarkEnd w:id="69"/>
      <w:bookmarkEnd w:id="70"/>
      <w:bookmarkEnd w:id="71"/>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72" w:name="_Toc459094057"/>
      <w:bookmarkStart w:id="73" w:name="_Toc92878621"/>
      <w:bookmarkStart w:id="74" w:name="_Toc139257814"/>
      <w:bookmarkStart w:id="75" w:name="_Toc153176883"/>
      <w:bookmarkStart w:id="76" w:name="_Toc238008886"/>
      <w:r>
        <w:rPr>
          <w:rStyle w:val="CharSectno"/>
        </w:rPr>
        <w:t>15</w:t>
      </w:r>
      <w:r>
        <w:rPr>
          <w:snapToGrid w:val="0"/>
        </w:rPr>
        <w:t>.</w:t>
      </w:r>
      <w:r>
        <w:rPr>
          <w:snapToGrid w:val="0"/>
        </w:rPr>
        <w:tab/>
        <w:t>Penalties</w:t>
      </w:r>
      <w:bookmarkEnd w:id="72"/>
      <w:bookmarkEnd w:id="73"/>
      <w:bookmarkEnd w:id="74"/>
      <w:bookmarkEnd w:id="75"/>
      <w:bookmarkEnd w:id="76"/>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7" w:name="_Toc153176884"/>
      <w:bookmarkStart w:id="78" w:name="_Toc238008887"/>
      <w:r>
        <w:rPr>
          <w:rStyle w:val="CharSectno"/>
        </w:rPr>
        <w:t>16</w:t>
      </w:r>
      <w:r>
        <w:t>.</w:t>
      </w:r>
      <w:r>
        <w:tab/>
        <w:t>Infringement notices</w:t>
      </w:r>
      <w:bookmarkEnd w:id="77"/>
      <w:bookmarkEnd w:id="7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9" w:name="_Toc92694634"/>
      <w:bookmarkStart w:id="80" w:name="_Toc92878576"/>
      <w:bookmarkStart w:id="81" w:name="_Toc92878622"/>
      <w:bookmarkStart w:id="82" w:name="_Toc139257815"/>
      <w:bookmarkStart w:id="83" w:name="_Toc139257849"/>
      <w:bookmarkStart w:id="84" w:name="_Toc146624698"/>
      <w:bookmarkStart w:id="85" w:name="_Toc146685527"/>
      <w:bookmarkStart w:id="86" w:name="_Toc148339289"/>
      <w:bookmarkStart w:id="87" w:name="_Toc148344865"/>
      <w:bookmarkStart w:id="88" w:name="_Toc148344902"/>
      <w:bookmarkStart w:id="89" w:name="_Toc149706397"/>
      <w:bookmarkStart w:id="90" w:name="_Toc150157319"/>
      <w:bookmarkStart w:id="91" w:name="_Toc153176885"/>
      <w:bookmarkStart w:id="92" w:name="_Toc156290769"/>
      <w:bookmarkStart w:id="93" w:name="_Toc156357298"/>
      <w:bookmarkStart w:id="94" w:name="_Toc170721809"/>
      <w:bookmarkStart w:id="95" w:name="_Toc202599574"/>
      <w:bookmarkStart w:id="96" w:name="_Toc233694940"/>
      <w:bookmarkStart w:id="97" w:name="_Toc235608343"/>
      <w:bookmarkStart w:id="98" w:name="_Toc236196588"/>
      <w:bookmarkStart w:id="99" w:name="_Toc236205066"/>
      <w:bookmarkStart w:id="100" w:name="_Toc238008888"/>
      <w:r>
        <w:rPr>
          <w:rStyle w:val="CharSchNo"/>
        </w:rPr>
        <w:t>First Schedule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 xml:space="preserve">Perth  WA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219 St George’s Terrace,  Perth  WA</w:t>
            </w:r>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Locked Bag 14  Cloisters Square</w:t>
            </w:r>
          </w:p>
          <w:p>
            <w:pPr>
              <w:pStyle w:val="yTableNAm"/>
              <w:tabs>
                <w:tab w:val="clear" w:pos="567"/>
                <w:tab w:val="left" w:pos="612"/>
              </w:tabs>
              <w:spacing w:before="0"/>
              <w:rPr>
                <w:sz w:val="20"/>
              </w:rPr>
            </w:pPr>
            <w:r>
              <w:rPr>
                <w:sz w:val="20"/>
              </w:rPr>
              <w:tab/>
              <w:t>Perth  WA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01" w:name="_Toc92694635"/>
      <w:bookmarkStart w:id="102" w:name="_Toc92878577"/>
      <w:bookmarkStart w:id="103" w:name="_Toc92878623"/>
      <w:bookmarkStart w:id="104" w:name="_Toc139257816"/>
      <w:bookmarkStart w:id="105" w:name="_Toc139257850"/>
      <w:bookmarkStart w:id="106" w:name="_Toc146624699"/>
      <w:bookmarkStart w:id="107" w:name="_Toc146685528"/>
      <w:bookmarkStart w:id="108" w:name="_Toc148339290"/>
      <w:bookmarkStart w:id="109" w:name="_Toc148344866"/>
      <w:bookmarkStart w:id="110" w:name="_Toc148344903"/>
      <w:bookmarkStart w:id="111" w:name="_Toc149706398"/>
      <w:bookmarkStart w:id="112" w:name="_Toc150157320"/>
      <w:bookmarkStart w:id="113" w:name="_Toc153176886"/>
      <w:bookmarkStart w:id="114" w:name="_Toc156290770"/>
      <w:bookmarkStart w:id="115" w:name="_Toc156357299"/>
      <w:bookmarkStart w:id="116" w:name="_Toc170721810"/>
      <w:bookmarkStart w:id="117" w:name="_Toc202599575"/>
      <w:bookmarkStart w:id="118" w:name="_Toc233694941"/>
      <w:bookmarkStart w:id="119" w:name="_Toc235608344"/>
      <w:bookmarkStart w:id="120" w:name="_Toc236196589"/>
      <w:bookmarkStart w:id="121" w:name="_Toc236205067"/>
      <w:bookmarkStart w:id="122" w:name="_Toc238008889"/>
      <w:r>
        <w:rPr>
          <w:rStyle w:val="CharSchNo"/>
        </w:rPr>
        <w:t>Second Schedule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23" w:name="_Toc146624700"/>
      <w:bookmarkStart w:id="124" w:name="_Toc146685529"/>
      <w:bookmarkStart w:id="125" w:name="_Toc148339291"/>
      <w:bookmarkStart w:id="126" w:name="_Toc148344867"/>
      <w:bookmarkStart w:id="127" w:name="_Toc148344904"/>
      <w:bookmarkStart w:id="128" w:name="_Toc149706399"/>
      <w:bookmarkStart w:id="129" w:name="_Toc150157321"/>
      <w:bookmarkStart w:id="130" w:name="_Toc153176887"/>
      <w:bookmarkStart w:id="131" w:name="_Toc156290771"/>
      <w:bookmarkStart w:id="132" w:name="_Toc156357300"/>
      <w:bookmarkStart w:id="133" w:name="_Toc170721811"/>
      <w:bookmarkStart w:id="134" w:name="_Toc202599576"/>
      <w:bookmarkStart w:id="135" w:name="_Toc233694942"/>
      <w:bookmarkStart w:id="136" w:name="_Toc235608345"/>
      <w:bookmarkStart w:id="137" w:name="_Toc236196590"/>
      <w:bookmarkStart w:id="138" w:name="_Toc236205068"/>
      <w:bookmarkStart w:id="139" w:name="_Toc238008890"/>
      <w:r>
        <w:rPr>
          <w:rStyle w:val="CharSchNo"/>
        </w:rPr>
        <w:t>Third Schedule</w:t>
      </w:r>
      <w:r>
        <w:t> — </w:t>
      </w:r>
      <w:r>
        <w:rPr>
          <w:rStyle w:val="CharSchText"/>
        </w:rPr>
        <w:t>Prescribed offences and modified penalties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40" w:name="_Toc92694636"/>
      <w:bookmarkStart w:id="141" w:name="_Toc92878578"/>
      <w:bookmarkStart w:id="142" w:name="_Toc92878624"/>
      <w:bookmarkStart w:id="143" w:name="_Toc92878671"/>
      <w:bookmarkStart w:id="144" w:name="_Toc139257817"/>
      <w:bookmarkStart w:id="145" w:name="_Toc139257851"/>
      <w:bookmarkStart w:id="146" w:name="_Toc146624701"/>
      <w:bookmarkStart w:id="147" w:name="_Toc146685530"/>
      <w:bookmarkStart w:id="148" w:name="_Toc148339292"/>
      <w:bookmarkStart w:id="149" w:name="_Toc148344868"/>
      <w:bookmarkStart w:id="150" w:name="_Toc148344905"/>
      <w:bookmarkStart w:id="151" w:name="_Toc149706400"/>
      <w:bookmarkStart w:id="152" w:name="_Toc150157322"/>
      <w:bookmarkStart w:id="153" w:name="_Toc153176888"/>
      <w:bookmarkStart w:id="154" w:name="_Toc156290772"/>
      <w:bookmarkStart w:id="155" w:name="_Toc156357301"/>
      <w:bookmarkStart w:id="156" w:name="_Toc170721812"/>
      <w:bookmarkStart w:id="157" w:name="_Toc202599577"/>
      <w:bookmarkStart w:id="158" w:name="_Toc233694943"/>
      <w:bookmarkStart w:id="159" w:name="_Toc235608346"/>
      <w:bookmarkStart w:id="160" w:name="_Toc236196591"/>
      <w:bookmarkStart w:id="161" w:name="_Toc236205069"/>
      <w:bookmarkStart w:id="162" w:name="_Toc238008891"/>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reprint is a compilation as at 21 August 2009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 w:name="_Toc238008892"/>
      <w:r>
        <w:rPr>
          <w:snapToGrid w:val="0"/>
        </w:rPr>
        <w:t>Compilation table</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164" w:name="_Toc236205071"/>
      <w:bookmarkStart w:id="165" w:name="_Toc238008893"/>
      <w:r>
        <w:rPr>
          <w:sz w:val="28"/>
        </w:rPr>
        <w:t>Defined Terms</w:t>
      </w:r>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6" w:name="DefinedTerms"/>
      <w:bookmarkEnd w:id="166"/>
      <w:r>
        <w:t>the Act</w:t>
      </w:r>
      <w:r>
        <w:tab/>
        <w:t>1(2)</w:t>
      </w:r>
    </w:p>
    <w:p>
      <w:pPr>
        <w:pStyle w:val="DefinedTerms"/>
      </w:pPr>
    </w:p>
    <w:p>
      <w:pPr>
        <w:rPr>
          <w:sz w:val="16"/>
        </w:rPr>
      </w:pPr>
      <w:bookmarkStart w:id="167" w:name="UpToHere"/>
    </w:p>
    <w:bookmarkEnd w:id="167"/>
    <w:p/>
    <w:p/>
    <w:p/>
    <w:p/>
    <w:p/>
    <w:p/>
    <w:p/>
    <w:p/>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31"/>
    <w:docVar w:name="WAFER_20151210093131" w:val="RemoveTrackChanges"/>
    <w:docVar w:name="WAFER_20151210093131_GUID" w:val="e72771f6-494c-470d-9efc-33bbab99c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4543</Words>
  <Characters>24810</Characters>
  <Application>Microsoft Office Word</Application>
  <DocSecurity>0</DocSecurity>
  <Lines>827</Lines>
  <Paragraphs>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28888</CharactersWithSpaces>
  <SharedDoc>false</SharedDoc>
  <HLinks>
    <vt:vector size="18" baseType="variant">
      <vt:variant>
        <vt:i4>3014716</vt:i4>
      </vt:variant>
      <vt:variant>
        <vt:i4>2716</vt:i4>
      </vt:variant>
      <vt:variant>
        <vt:i4>1025</vt:i4>
      </vt:variant>
      <vt:variant>
        <vt:i4>1</vt:i4>
      </vt:variant>
      <vt:variant>
        <vt:lpwstr>C:\Program Files\PCO DLL\Support\Crest.wpg</vt:lpwstr>
      </vt:variant>
      <vt:variant>
        <vt:lpwstr/>
      </vt:variant>
      <vt:variant>
        <vt:i4>5439608</vt:i4>
      </vt:variant>
      <vt:variant>
        <vt:i4>27045</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1964 - 04-a0-02</dc:title>
  <dc:subject/>
  <dc:creator/>
  <cp:keywords/>
  <dc:description/>
  <cp:lastModifiedBy>svcMRProcess</cp:lastModifiedBy>
  <cp:revision>4</cp:revision>
  <cp:lastPrinted>2009-08-14T02:45:00Z</cp:lastPrinted>
  <dcterms:created xsi:type="dcterms:W3CDTF">2015-12-10T22:34:00Z</dcterms:created>
  <dcterms:modified xsi:type="dcterms:W3CDTF">2015-12-10T22:34:00Z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AsAtDate">
    <vt:lpwstr>21 Aug 2009</vt:lpwstr>
  </property>
  <property fmtid="{D5CDD505-2E9C-101B-9397-08002B2CF9AE}" pid="8" name="Suffix">
    <vt:lpwstr>04-a0-02</vt:lpwstr>
  </property>
</Properties>
</file>