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_Toc239759632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_Toc239759633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_Toc239759634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_Toc239759635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_Toc239759636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_Toc239759637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_Toc239759638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_Toc239759639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_Toc239759640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_Toc239759641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_Toc239759642 \h </w:instrText>
      </w:r>
      <w:r>
        <w:fldChar w:fldCharType="separate"/>
      </w:r>
      <w:r>
        <w:t>9</w:t>
      </w:r>
      <w:r>
        <w:fldChar w:fldCharType="end"/>
      </w:r>
    </w:p>
    <w:p>
      <w:pPr>
        <w:pStyle w:val="TOC8"/>
        <w:rPr>
          <w:sz w:val="24"/>
          <w:szCs w:val="24"/>
        </w:rPr>
      </w:pPr>
      <w:r>
        <w:rPr>
          <w:szCs w:val="24"/>
        </w:rPr>
        <w:t>12.</w:t>
      </w:r>
      <w:r>
        <w:rPr>
          <w:szCs w:val="24"/>
        </w:rPr>
        <w:tab/>
        <w:t>Fees for searchable information</w:t>
      </w:r>
      <w:r>
        <w:tab/>
      </w:r>
      <w:r>
        <w:fldChar w:fldCharType="begin"/>
      </w:r>
      <w:r>
        <w:instrText xml:space="preserve"> PAGEREF _Toc239759643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_Toc239759644 \h </w:instrText>
      </w:r>
      <w:r>
        <w:fldChar w:fldCharType="separate"/>
      </w:r>
      <w:r>
        <w:t>10</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_Toc239759645 \h </w:instrText>
      </w:r>
      <w:r>
        <w:fldChar w:fldCharType="separate"/>
      </w:r>
      <w:r>
        <w:t>10</w:t>
      </w:r>
      <w:r>
        <w:fldChar w:fldCharType="end"/>
      </w:r>
    </w:p>
    <w:p>
      <w:pPr>
        <w:pStyle w:val="TOC8"/>
        <w:rPr>
          <w:sz w:val="24"/>
          <w:szCs w:val="24"/>
        </w:rPr>
      </w:pPr>
      <w:r>
        <w:rPr>
          <w:szCs w:val="24"/>
        </w:rPr>
        <w:t>15.</w:t>
      </w:r>
      <w:r>
        <w:rPr>
          <w:szCs w:val="24"/>
        </w:rPr>
        <w:tab/>
        <w:t>Transitional</w:t>
      </w:r>
      <w:r>
        <w:tab/>
      </w:r>
      <w:r>
        <w:fldChar w:fldCharType="begin"/>
      </w:r>
      <w:r>
        <w:instrText xml:space="preserve"> PAGEREF _Toc239759646 \h </w:instrText>
      </w:r>
      <w:r>
        <w:fldChar w:fldCharType="separate"/>
      </w:r>
      <w:r>
        <w:t>10</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_Toc239759652 \h </w:instrText>
      </w:r>
      <w:r>
        <w:fldChar w:fldCharType="separate"/>
      </w:r>
      <w:r>
        <w:t>21</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_Toc239759653 \h </w:instrText>
      </w:r>
      <w:r>
        <w:fldChar w:fldCharType="separate"/>
      </w:r>
      <w:r>
        <w:t>23</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_Toc239759654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_Toc239759656 \h </w:instrText>
      </w:r>
      <w:r>
        <w:fldChar w:fldCharType="separate"/>
      </w:r>
      <w:r>
        <w:t>28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23975963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23975963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239759634"/>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239759635"/>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239759636"/>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239759637"/>
      <w:r>
        <w:rPr>
          <w:rStyle w:val="CharSectno"/>
        </w:rPr>
        <w:t>6</w:t>
      </w:r>
      <w:r>
        <w:t>.</w:t>
      </w:r>
      <w:r>
        <w:tab/>
        <w:t>Fees subject to conditions or waiver</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239759638"/>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239759639"/>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Heading5"/>
        <w:rPr>
          <w:snapToGrid w:val="0"/>
        </w:rPr>
      </w:pPr>
      <w:bookmarkStart w:id="76" w:name="_Toc61252563"/>
      <w:bookmarkStart w:id="77" w:name="_Toc96402835"/>
      <w:bookmarkStart w:id="78" w:name="_Toc100631324"/>
      <w:bookmarkStart w:id="79" w:name="_Toc102451453"/>
      <w:bookmarkStart w:id="80" w:name="_Toc239759640"/>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239759641"/>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239759642"/>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239759643"/>
      <w:bookmarkStart w:id="94" w:name="_Toc96398500"/>
      <w:bookmarkStart w:id="95" w:name="_Toc100631328"/>
      <w:bookmarkStart w:id="96" w:name="_Toc102451457"/>
      <w:r>
        <w:rPr>
          <w:rStyle w:val="CharSectno"/>
        </w:rPr>
        <w:t>12</w:t>
      </w:r>
      <w:r>
        <w:t>.</w:t>
      </w:r>
      <w:r>
        <w:tab/>
        <w:t>Fees for searchable information</w:t>
      </w:r>
      <w:bookmarkEnd w:id="93"/>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239759644"/>
      <w:r>
        <w:rPr>
          <w:rStyle w:val="CharSectno"/>
        </w:rPr>
        <w:t>13</w:t>
      </w:r>
      <w:r>
        <w:t>.</w:t>
      </w:r>
      <w:r>
        <w:tab/>
        <w:t>Resolution of disputes as to fees</w:t>
      </w:r>
      <w:bookmarkEnd w:id="94"/>
      <w:bookmarkEnd w:id="95"/>
      <w:bookmarkEnd w:id="96"/>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239759645"/>
      <w:r>
        <w:rPr>
          <w:rStyle w:val="CharSectno"/>
        </w:rPr>
        <w:t>14</w:t>
      </w:r>
      <w:r>
        <w:t>.</w:t>
      </w:r>
      <w:r>
        <w:tab/>
        <w:t>Recovery of unpaid fees</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239759646"/>
      <w:r>
        <w:rPr>
          <w:rStyle w:val="CharSectno"/>
        </w:rPr>
        <w:t>15</w:t>
      </w:r>
      <w:r>
        <w:t>.</w:t>
      </w:r>
      <w:r>
        <w:tab/>
        <w:t>Transitional</w:t>
      </w:r>
      <w:bookmarkEnd w:id="101"/>
      <w:bookmarkEnd w:id="102"/>
      <w:bookmarkEnd w:id="103"/>
      <w:bookmarkEnd w:id="104"/>
      <w:bookmarkEnd w:id="105"/>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100631335"/>
      <w:bookmarkStart w:id="112" w:name="_Toc102451464"/>
      <w:bookmarkStart w:id="113" w:name="_Toc139104719"/>
      <w:bookmarkStart w:id="114" w:name="_Toc139276717"/>
      <w:bookmarkStart w:id="115" w:name="_Toc171051736"/>
      <w:bookmarkStart w:id="116" w:name="_Toc198631556"/>
      <w:bookmarkStart w:id="117" w:name="_Toc202521836"/>
      <w:bookmarkStart w:id="118" w:name="_Toc203535231"/>
      <w:bookmarkStart w:id="119" w:name="_Toc207168616"/>
      <w:bookmarkStart w:id="120" w:name="_Toc210114992"/>
      <w:bookmarkStart w:id="121" w:name="_Toc210119120"/>
      <w:bookmarkStart w:id="122" w:name="_Toc219794096"/>
      <w:bookmarkStart w:id="123" w:name="_Toc219794293"/>
      <w:bookmarkStart w:id="124" w:name="_Toc222114926"/>
      <w:bookmarkStart w:id="125" w:name="_Toc222212438"/>
      <w:bookmarkStart w:id="126" w:name="_Toc224024223"/>
      <w:bookmarkStart w:id="127" w:name="_Toc224024308"/>
      <w:bookmarkStart w:id="128" w:name="_Toc232310091"/>
      <w:bookmarkEnd w:id="107"/>
      <w:bookmarkEnd w:id="108"/>
      <w:r>
        <w:rPr>
          <w:rStyle w:val="CharSchNo"/>
        </w:rPr>
        <w:t>Schedule 1</w:t>
      </w:r>
      <w:r>
        <w:t> — </w:t>
      </w:r>
      <w:r>
        <w:rPr>
          <w:rStyle w:val="CharSchText"/>
        </w:rPr>
        <w:t>Fees</w:t>
      </w:r>
      <w:bookmarkEnd w:id="109"/>
      <w:bookmarkEnd w:id="110"/>
    </w:p>
    <w:p>
      <w:pPr>
        <w:pStyle w:val="yShoulderClause"/>
      </w:pPr>
      <w:r>
        <w:t>[r. 4]</w:t>
      </w:r>
    </w:p>
    <w:p>
      <w:pPr>
        <w:pStyle w:val="yFootnoteheading"/>
      </w:pPr>
      <w:r>
        <w:tab/>
        <w:t>[Heading inserted in Gazette 4 Sep 2009 p. 3473.]</w:t>
      </w:r>
    </w:p>
    <w:p>
      <w:pPr>
        <w:pStyle w:val="yHeading3"/>
        <w:rPr>
          <w:rStyle w:val="CharSDivText"/>
        </w:rPr>
      </w:pPr>
      <w:bookmarkStart w:id="129" w:name="_Toc239746325"/>
      <w:bookmarkStart w:id="130" w:name="_Toc239759648"/>
      <w:r>
        <w:rPr>
          <w:rStyle w:val="CharSDivNo"/>
        </w:rPr>
        <w:t>Division 1</w:t>
      </w:r>
      <w:r>
        <w:t> — </w:t>
      </w:r>
      <w:r>
        <w:rPr>
          <w:rStyle w:val="CharSDivText"/>
        </w:rPr>
        <w:t>General</w:t>
      </w:r>
      <w:bookmarkEnd w:id="129"/>
      <w:bookmarkEnd w:id="130"/>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t>44.50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t>1.15</w:t>
            </w:r>
          </w:p>
          <w:p>
            <w:pPr>
              <w:pStyle w:val="yTableNAm"/>
              <w:jc w:val="center"/>
            </w:pPr>
            <w:r>
              <w:br/>
              <w:t>1.25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t>26.00</w:t>
            </w:r>
          </w:p>
          <w:p>
            <w:pPr>
              <w:pStyle w:val="yTableNAm"/>
              <w:jc w:val="center"/>
            </w:pPr>
            <w:r>
              <w:br/>
            </w:r>
            <w:r>
              <w:br/>
              <w:t>26.00</w:t>
            </w:r>
          </w:p>
          <w:p>
            <w:pPr>
              <w:pStyle w:val="yTableNAm"/>
              <w:jc w:val="center"/>
            </w:pPr>
            <w:r>
              <w:br/>
              <w:t>64.00</w:t>
            </w:r>
          </w:p>
        </w:tc>
      </w:tr>
      <w:tr>
        <w:trPr>
          <w:cantSplit/>
        </w:trPr>
        <w:tc>
          <w:tcPr>
            <w:tcW w:w="6662" w:type="dxa"/>
            <w:gridSpan w:val="3"/>
          </w:tcPr>
          <w:p>
            <w:pPr>
              <w:pStyle w:val="yTableNAm"/>
            </w:pPr>
            <w:r>
              <w:t>NOTE</w:t>
            </w:r>
            <w:r>
              <w:br/>
              <w:t xml:space="preserve">Item 4(a) does not apply in relation to information provided under the </w:t>
            </w:r>
            <w:r>
              <w:rPr>
                <w:i/>
                <w:iCs/>
              </w:rPr>
              <w:t>Magistrates Court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r>
              <w:rPr>
                <w:i/>
                <w:iCs/>
              </w:rPr>
              <w:t>Magistrates Court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t>1.15</w:t>
            </w:r>
          </w:p>
          <w:p>
            <w:pPr>
              <w:pStyle w:val="yTableNAm"/>
              <w:jc w:val="center"/>
            </w:pPr>
            <w:r>
              <w:br/>
              <w:t>37 346.00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t>38.00</w:t>
            </w:r>
          </w:p>
          <w:p>
            <w:pPr>
              <w:pStyle w:val="yTableNAm"/>
              <w:jc w:val="center"/>
            </w:pPr>
            <w:r>
              <w:br/>
            </w:r>
            <w:r>
              <w:br/>
            </w:r>
            <w:r>
              <w:br/>
            </w:r>
            <w:r>
              <w:br/>
            </w:r>
            <w:r>
              <w:br/>
              <w:t>64.00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t>9.00</w:t>
            </w:r>
          </w:p>
          <w:p>
            <w:pPr>
              <w:pStyle w:val="yTableNAm"/>
              <w:jc w:val="center"/>
            </w:pPr>
            <w:r>
              <w:br/>
              <w:t>1.15</w:t>
            </w:r>
          </w:p>
          <w:p>
            <w:pPr>
              <w:pStyle w:val="yTableNAm"/>
              <w:jc w:val="center"/>
            </w:pPr>
            <w:r>
              <w:br/>
              <w:t>12.50</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t>5.05</w:t>
            </w:r>
          </w:p>
          <w:p>
            <w:pPr>
              <w:pStyle w:val="yTableNAm"/>
              <w:jc w:val="center"/>
            </w:pPr>
            <w:r>
              <w:br/>
            </w:r>
            <w:r>
              <w:br/>
            </w:r>
            <w:r>
              <w:br/>
            </w:r>
            <w:r>
              <w:br/>
              <w:t>12.50</w:t>
            </w:r>
          </w:p>
          <w:p>
            <w:pPr>
              <w:pStyle w:val="yTableNAm"/>
              <w:jc w:val="center"/>
            </w:pPr>
            <w:r>
              <w:br/>
            </w:r>
            <w:r>
              <w:br/>
            </w:r>
            <w:r>
              <w:br/>
            </w:r>
            <w:r>
              <w:br/>
              <w:t>1.50</w:t>
            </w:r>
          </w:p>
        </w:tc>
      </w:tr>
      <w:tr>
        <w:trPr>
          <w:cantSplit/>
        </w:trPr>
        <w:tc>
          <w:tcPr>
            <w:tcW w:w="6662" w:type="dxa"/>
            <w:gridSpan w:val="3"/>
          </w:tcPr>
          <w:p>
            <w:pPr>
              <w:pStyle w:val="yTableNAm"/>
            </w:pPr>
            <w:r>
              <w:t>NOTE 1</w:t>
            </w:r>
            <w:r>
              <w:br/>
              <w:t>A minimum fee of $17.95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w:t>
      </w:r>
    </w:p>
    <w:p>
      <w:pPr>
        <w:pStyle w:val="yHeading3"/>
        <w:keepLines/>
        <w:rPr>
          <w:rStyle w:val="CharSDivText"/>
        </w:rPr>
      </w:pPr>
      <w:bookmarkStart w:id="131" w:name="_Toc239746326"/>
      <w:bookmarkStart w:id="132" w:name="_Toc239759649"/>
      <w:r>
        <w:rPr>
          <w:rStyle w:val="CharSDivNo"/>
        </w:rPr>
        <w:t>Division 2</w:t>
      </w:r>
      <w:r>
        <w:rPr>
          <w:b w:val="0"/>
        </w:rPr>
        <w:t> — </w:t>
      </w:r>
      <w:r>
        <w:rPr>
          <w:rStyle w:val="CharSDivText"/>
        </w:rPr>
        <w:t>Civil jurisdiction</w:t>
      </w:r>
      <w:bookmarkEnd w:id="131"/>
      <w:bookmarkEnd w:id="132"/>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rPr>
            </w:pPr>
            <w:r>
              <w:rPr>
                <w:sz w:val="18"/>
              </w:rPr>
              <w:t>74.50</w:t>
            </w:r>
          </w:p>
        </w:tc>
        <w:tc>
          <w:tcPr>
            <w:tcW w:w="806" w:type="dxa"/>
            <w:tcBorders>
              <w:top w:val="single" w:sz="4" w:space="0" w:color="auto"/>
            </w:tcBorders>
            <w:vAlign w:val="bottom"/>
          </w:tcPr>
          <w:p>
            <w:pPr>
              <w:pStyle w:val="yTableNAm"/>
              <w:keepNext/>
              <w:keepLines/>
              <w:jc w:val="center"/>
              <w:rPr>
                <w:sz w:val="18"/>
              </w:rPr>
            </w:pPr>
            <w:r>
              <w:rPr>
                <w:sz w:val="18"/>
              </w:rPr>
              <w:t>112.50</w:t>
            </w:r>
          </w:p>
        </w:tc>
        <w:tc>
          <w:tcPr>
            <w:tcW w:w="850" w:type="dxa"/>
            <w:tcBorders>
              <w:top w:val="single" w:sz="4" w:space="0" w:color="auto"/>
            </w:tcBorders>
            <w:vAlign w:val="bottom"/>
          </w:tcPr>
          <w:p>
            <w:pPr>
              <w:pStyle w:val="yTableNAm"/>
              <w:keepNext/>
              <w:keepLines/>
              <w:jc w:val="center"/>
              <w:rPr>
                <w:sz w:val="18"/>
              </w:rPr>
            </w:pPr>
            <w:r>
              <w:rPr>
                <w:sz w:val="18"/>
              </w:rPr>
              <w:t>190.50</w:t>
            </w:r>
          </w:p>
        </w:tc>
        <w:tc>
          <w:tcPr>
            <w:tcW w:w="851" w:type="dxa"/>
            <w:tcBorders>
              <w:top w:val="single" w:sz="4" w:space="0" w:color="auto"/>
            </w:tcBorders>
            <w:vAlign w:val="bottom"/>
          </w:tcPr>
          <w:p>
            <w:pPr>
              <w:pStyle w:val="yTableNAm"/>
              <w:keepNext/>
              <w:keepLines/>
              <w:jc w:val="center"/>
              <w:rPr>
                <w:sz w:val="18"/>
              </w:rPr>
            </w:pPr>
            <w:r>
              <w:rPr>
                <w:sz w:val="18"/>
              </w:rPr>
              <w:t>287.00</w:t>
            </w:r>
          </w:p>
        </w:tc>
        <w:tc>
          <w:tcPr>
            <w:tcW w:w="850" w:type="dxa"/>
            <w:tcBorders>
              <w:top w:val="single" w:sz="4" w:space="0" w:color="auto"/>
            </w:tcBorders>
            <w:vAlign w:val="bottom"/>
          </w:tcPr>
          <w:p>
            <w:pPr>
              <w:pStyle w:val="yTableNAm"/>
              <w:keepNext/>
              <w:keepLines/>
              <w:jc w:val="center"/>
              <w:rPr>
                <w:sz w:val="18"/>
              </w:rPr>
            </w:pPr>
            <w:r>
              <w:rPr>
                <w:sz w:val="18"/>
              </w:rPr>
              <w:t>304.00</w:t>
            </w:r>
          </w:p>
        </w:tc>
        <w:tc>
          <w:tcPr>
            <w:tcW w:w="851" w:type="dxa"/>
            <w:tcBorders>
              <w:top w:val="single" w:sz="4" w:space="0" w:color="auto"/>
            </w:tcBorders>
            <w:vAlign w:val="bottom"/>
          </w:tcPr>
          <w:p>
            <w:pPr>
              <w:pStyle w:val="yTableNAm"/>
              <w:keepNext/>
              <w:keepLines/>
              <w:jc w:val="center"/>
              <w:rPr>
                <w:sz w:val="18"/>
              </w:rPr>
            </w:pPr>
            <w:r>
              <w:rPr>
                <w:sz w:val="18"/>
              </w:rPr>
              <w:t>456.00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rPr>
            </w:pPr>
            <w:r>
              <w:rPr>
                <w:sz w:val="18"/>
              </w:rPr>
              <w:t>48.50</w:t>
            </w:r>
          </w:p>
        </w:tc>
        <w:tc>
          <w:tcPr>
            <w:tcW w:w="851" w:type="dxa"/>
            <w:gridSpan w:val="2"/>
            <w:vAlign w:val="bottom"/>
          </w:tcPr>
          <w:p>
            <w:pPr>
              <w:pStyle w:val="yTableNAm"/>
              <w:jc w:val="center"/>
              <w:rPr>
                <w:sz w:val="18"/>
              </w:rPr>
            </w:pPr>
            <w:r>
              <w:rPr>
                <w:sz w:val="18"/>
              </w:rPr>
              <w:t>73.00</w:t>
            </w:r>
          </w:p>
        </w:tc>
        <w:tc>
          <w:tcPr>
            <w:tcW w:w="850" w:type="dxa"/>
            <w:vAlign w:val="bottom"/>
          </w:tcPr>
          <w:p>
            <w:pPr>
              <w:pStyle w:val="yTableNAm"/>
              <w:jc w:val="center"/>
              <w:rPr>
                <w:sz w:val="18"/>
              </w:rPr>
            </w:pPr>
            <w:r>
              <w:rPr>
                <w:sz w:val="18"/>
              </w:rPr>
              <w:t>88.50</w:t>
            </w:r>
          </w:p>
        </w:tc>
        <w:tc>
          <w:tcPr>
            <w:tcW w:w="851" w:type="dxa"/>
            <w:vAlign w:val="bottom"/>
          </w:tcPr>
          <w:p>
            <w:pPr>
              <w:pStyle w:val="yTableNAm"/>
              <w:jc w:val="center"/>
              <w:rPr>
                <w:sz w:val="18"/>
              </w:rPr>
            </w:pPr>
            <w:r>
              <w:rPr>
                <w:sz w:val="18"/>
              </w:rPr>
              <w:t>114.00</w:t>
            </w:r>
          </w:p>
        </w:tc>
        <w:tc>
          <w:tcPr>
            <w:tcW w:w="850" w:type="dxa"/>
            <w:vAlign w:val="bottom"/>
          </w:tcPr>
          <w:p>
            <w:pPr>
              <w:pStyle w:val="yTableNAm"/>
              <w:jc w:val="center"/>
              <w:rPr>
                <w:sz w:val="18"/>
              </w:rPr>
            </w:pPr>
            <w:r>
              <w:rPr>
                <w:sz w:val="18"/>
              </w:rPr>
              <w:t>141.00</w:t>
            </w:r>
          </w:p>
        </w:tc>
        <w:tc>
          <w:tcPr>
            <w:tcW w:w="851" w:type="dxa"/>
            <w:vAlign w:val="bottom"/>
          </w:tcPr>
          <w:p>
            <w:pPr>
              <w:pStyle w:val="yTableNAm"/>
              <w:jc w:val="center"/>
              <w:rPr>
                <w:sz w:val="18"/>
              </w:rPr>
            </w:pPr>
            <w:r>
              <w:rPr>
                <w:sz w:val="18"/>
              </w:rPr>
              <w:t>182.00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t>25.00</w:t>
            </w:r>
          </w:p>
        </w:tc>
        <w:tc>
          <w:tcPr>
            <w:tcW w:w="851" w:type="dxa"/>
            <w:gridSpan w:val="2"/>
          </w:tcPr>
          <w:p>
            <w:pPr>
              <w:pStyle w:val="yTableNAm"/>
              <w:jc w:val="center"/>
              <w:rPr>
                <w:sz w:val="18"/>
              </w:rPr>
            </w:pPr>
            <w:r>
              <w:rPr>
                <w:sz w:val="18"/>
              </w:rPr>
              <w:br/>
              <w:t>49.50</w:t>
            </w:r>
          </w:p>
        </w:tc>
        <w:tc>
          <w:tcPr>
            <w:tcW w:w="850" w:type="dxa"/>
          </w:tcPr>
          <w:p>
            <w:pPr>
              <w:pStyle w:val="yTableNAm"/>
              <w:jc w:val="center"/>
              <w:rPr>
                <w:sz w:val="18"/>
              </w:rPr>
            </w:pPr>
            <w:r>
              <w:rPr>
                <w:sz w:val="18"/>
              </w:rPr>
              <w:br/>
              <w:t>37.50</w:t>
            </w:r>
          </w:p>
        </w:tc>
        <w:tc>
          <w:tcPr>
            <w:tcW w:w="851" w:type="dxa"/>
          </w:tcPr>
          <w:p>
            <w:pPr>
              <w:pStyle w:val="yTableNAm"/>
              <w:jc w:val="center"/>
              <w:rPr>
                <w:sz w:val="18"/>
              </w:rPr>
            </w:pPr>
            <w:r>
              <w:rPr>
                <w:sz w:val="18"/>
              </w:rPr>
              <w:br/>
              <w:t>75.50</w:t>
            </w:r>
          </w:p>
        </w:tc>
        <w:tc>
          <w:tcPr>
            <w:tcW w:w="850" w:type="dxa"/>
          </w:tcPr>
          <w:p>
            <w:pPr>
              <w:pStyle w:val="yTableNAm"/>
              <w:jc w:val="center"/>
              <w:rPr>
                <w:sz w:val="18"/>
              </w:rPr>
            </w:pPr>
            <w:r>
              <w:rPr>
                <w:sz w:val="18"/>
              </w:rPr>
              <w:br/>
              <w:t>50.50</w:t>
            </w:r>
          </w:p>
        </w:tc>
        <w:tc>
          <w:tcPr>
            <w:tcW w:w="851" w:type="dxa"/>
          </w:tcPr>
          <w:p>
            <w:pPr>
              <w:pStyle w:val="yTableNAm"/>
              <w:jc w:val="center"/>
              <w:rPr>
                <w:sz w:val="18"/>
              </w:rPr>
            </w:pPr>
            <w:r>
              <w:rPr>
                <w:sz w:val="18"/>
              </w:rPr>
              <w:br/>
              <w:t>101.00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t>118.50</w:t>
            </w:r>
          </w:p>
        </w:tc>
        <w:tc>
          <w:tcPr>
            <w:tcW w:w="851" w:type="dxa"/>
            <w:gridSpan w:val="2"/>
          </w:tcPr>
          <w:p>
            <w:pPr>
              <w:pStyle w:val="yTableNAm"/>
              <w:jc w:val="center"/>
              <w:rPr>
                <w:sz w:val="18"/>
              </w:rPr>
            </w:pPr>
            <w:r>
              <w:rPr>
                <w:sz w:val="18"/>
              </w:rPr>
              <w:br/>
              <w:t>177.50</w:t>
            </w:r>
          </w:p>
        </w:tc>
        <w:tc>
          <w:tcPr>
            <w:tcW w:w="850" w:type="dxa"/>
          </w:tcPr>
          <w:p>
            <w:pPr>
              <w:pStyle w:val="yTableNAm"/>
              <w:jc w:val="center"/>
              <w:rPr>
                <w:sz w:val="18"/>
              </w:rPr>
            </w:pPr>
            <w:r>
              <w:rPr>
                <w:sz w:val="18"/>
              </w:rPr>
              <w:br/>
              <w:t>215.00</w:t>
            </w:r>
          </w:p>
        </w:tc>
        <w:tc>
          <w:tcPr>
            <w:tcW w:w="851" w:type="dxa"/>
          </w:tcPr>
          <w:p>
            <w:pPr>
              <w:pStyle w:val="yTableNAm"/>
              <w:jc w:val="center"/>
              <w:rPr>
                <w:sz w:val="18"/>
              </w:rPr>
            </w:pPr>
            <w:r>
              <w:rPr>
                <w:sz w:val="18"/>
              </w:rPr>
              <w:br/>
              <w:t>321.00</w:t>
            </w:r>
          </w:p>
        </w:tc>
        <w:tc>
          <w:tcPr>
            <w:tcW w:w="850" w:type="dxa"/>
          </w:tcPr>
          <w:p>
            <w:pPr>
              <w:pStyle w:val="yTableNAm"/>
              <w:jc w:val="center"/>
              <w:rPr>
                <w:sz w:val="18"/>
              </w:rPr>
            </w:pPr>
            <w:r>
              <w:rPr>
                <w:sz w:val="18"/>
              </w:rPr>
              <w:br/>
              <w:t>240.00</w:t>
            </w:r>
          </w:p>
        </w:tc>
        <w:tc>
          <w:tcPr>
            <w:tcW w:w="851" w:type="dxa"/>
          </w:tcPr>
          <w:p>
            <w:pPr>
              <w:pStyle w:val="yTableNAm"/>
              <w:jc w:val="center"/>
              <w:rPr>
                <w:sz w:val="18"/>
              </w:rPr>
            </w:pPr>
            <w:r>
              <w:rPr>
                <w:sz w:val="18"/>
              </w:rPr>
              <w:br/>
              <w:t>358.00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rPr>
              <w:t>68.50</w:t>
            </w:r>
          </w:p>
        </w:tc>
        <w:tc>
          <w:tcPr>
            <w:tcW w:w="851" w:type="dxa"/>
            <w:gridSpan w:val="2"/>
            <w:vAlign w:val="bottom"/>
          </w:tcPr>
          <w:p>
            <w:pPr>
              <w:pStyle w:val="yTableNAm"/>
              <w:jc w:val="center"/>
              <w:rPr>
                <w:sz w:val="18"/>
              </w:rPr>
            </w:pPr>
            <w:r>
              <w:rPr>
                <w:sz w:val="18"/>
              </w:rPr>
              <w:t>137.50</w:t>
            </w:r>
          </w:p>
        </w:tc>
        <w:tc>
          <w:tcPr>
            <w:tcW w:w="850" w:type="dxa"/>
            <w:vAlign w:val="bottom"/>
          </w:tcPr>
          <w:p>
            <w:pPr>
              <w:pStyle w:val="yTableNAm"/>
              <w:jc w:val="center"/>
              <w:rPr>
                <w:sz w:val="18"/>
              </w:rPr>
            </w:pPr>
            <w:r>
              <w:rPr>
                <w:sz w:val="18"/>
              </w:rPr>
              <w:t>120.00</w:t>
            </w:r>
          </w:p>
        </w:tc>
        <w:tc>
          <w:tcPr>
            <w:tcW w:w="851" w:type="dxa"/>
            <w:vAlign w:val="bottom"/>
          </w:tcPr>
          <w:p>
            <w:pPr>
              <w:pStyle w:val="yTableNAm"/>
              <w:jc w:val="center"/>
              <w:rPr>
                <w:sz w:val="18"/>
              </w:rPr>
            </w:pPr>
            <w:r>
              <w:rPr>
                <w:sz w:val="18"/>
              </w:rPr>
              <w:t>240.00</w:t>
            </w:r>
          </w:p>
        </w:tc>
        <w:tc>
          <w:tcPr>
            <w:tcW w:w="850" w:type="dxa"/>
            <w:vAlign w:val="bottom"/>
          </w:tcPr>
          <w:p>
            <w:pPr>
              <w:pStyle w:val="yTableNAm"/>
              <w:jc w:val="center"/>
              <w:rPr>
                <w:sz w:val="18"/>
              </w:rPr>
            </w:pPr>
            <w:r>
              <w:rPr>
                <w:sz w:val="18"/>
              </w:rPr>
              <w:t>171.50</w:t>
            </w:r>
          </w:p>
        </w:tc>
        <w:tc>
          <w:tcPr>
            <w:tcW w:w="851" w:type="dxa"/>
            <w:vAlign w:val="bottom"/>
          </w:tcPr>
          <w:p>
            <w:pPr>
              <w:pStyle w:val="yTableNAm"/>
              <w:jc w:val="center"/>
              <w:rPr>
                <w:sz w:val="18"/>
              </w:rPr>
            </w:pPr>
            <w:r>
              <w:rPr>
                <w:sz w:val="18"/>
              </w:rPr>
              <w:t>343.00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rPr>
              <w:t>68.50</w:t>
            </w:r>
          </w:p>
        </w:tc>
        <w:tc>
          <w:tcPr>
            <w:tcW w:w="851" w:type="dxa"/>
            <w:gridSpan w:val="2"/>
            <w:vAlign w:val="bottom"/>
          </w:tcPr>
          <w:p>
            <w:pPr>
              <w:pStyle w:val="yTableNAm"/>
              <w:jc w:val="center"/>
              <w:rPr>
                <w:sz w:val="18"/>
              </w:rPr>
            </w:pPr>
            <w:r>
              <w:rPr>
                <w:sz w:val="18"/>
              </w:rPr>
              <w:t>137.50</w:t>
            </w:r>
          </w:p>
        </w:tc>
        <w:tc>
          <w:tcPr>
            <w:tcW w:w="850" w:type="dxa"/>
            <w:vAlign w:val="bottom"/>
          </w:tcPr>
          <w:p>
            <w:pPr>
              <w:pStyle w:val="yTableNAm"/>
              <w:jc w:val="center"/>
              <w:rPr>
                <w:sz w:val="18"/>
              </w:rPr>
            </w:pPr>
            <w:r>
              <w:rPr>
                <w:sz w:val="18"/>
              </w:rPr>
              <w:t>120.00</w:t>
            </w:r>
          </w:p>
        </w:tc>
        <w:tc>
          <w:tcPr>
            <w:tcW w:w="851" w:type="dxa"/>
            <w:vAlign w:val="bottom"/>
          </w:tcPr>
          <w:p>
            <w:pPr>
              <w:pStyle w:val="yTableNAm"/>
              <w:jc w:val="center"/>
              <w:rPr>
                <w:sz w:val="18"/>
              </w:rPr>
            </w:pPr>
            <w:r>
              <w:rPr>
                <w:sz w:val="18"/>
              </w:rPr>
              <w:t>240.00</w:t>
            </w:r>
          </w:p>
        </w:tc>
        <w:tc>
          <w:tcPr>
            <w:tcW w:w="850" w:type="dxa"/>
            <w:vAlign w:val="bottom"/>
          </w:tcPr>
          <w:p>
            <w:pPr>
              <w:pStyle w:val="yTableNAm"/>
              <w:jc w:val="center"/>
              <w:rPr>
                <w:sz w:val="18"/>
              </w:rPr>
            </w:pPr>
            <w:r>
              <w:rPr>
                <w:sz w:val="18"/>
              </w:rPr>
              <w:t>171.50</w:t>
            </w:r>
          </w:p>
        </w:tc>
        <w:tc>
          <w:tcPr>
            <w:tcW w:w="851" w:type="dxa"/>
            <w:vAlign w:val="bottom"/>
          </w:tcPr>
          <w:p>
            <w:pPr>
              <w:pStyle w:val="yTableNAm"/>
              <w:jc w:val="center"/>
              <w:rPr>
                <w:sz w:val="18"/>
              </w:rPr>
            </w:pPr>
            <w:r>
              <w:rPr>
                <w:sz w:val="18"/>
              </w:rPr>
              <w:t>343.00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62.50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93.50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75.50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113.00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101.50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153.50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rPr>
              <w:t>62.50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rPr>
              <w:t>93.50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75.50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113.00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101.50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153.50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rPr>
            </w:pPr>
            <w:r>
              <w:rPr>
                <w:sz w:val="18"/>
              </w:rPr>
              <w:t>81.50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rPr>
            </w:pPr>
            <w:r>
              <w:rPr>
                <w:sz w:val="18"/>
              </w:rPr>
              <w:t>81.50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rPr>
            </w:pPr>
            <w:r>
              <w:rPr>
                <w:sz w:val="18"/>
              </w:rPr>
              <w:br/>
            </w:r>
            <w:r>
              <w:rPr>
                <w:sz w:val="18"/>
              </w:rPr>
              <w:br/>
              <w:t>21.50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155.00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rPr>
            </w:pPr>
            <w:r>
              <w:rPr>
                <w:sz w:val="18"/>
              </w:rPr>
              <w:t>74.50</w:t>
            </w:r>
          </w:p>
        </w:tc>
      </w:tr>
    </w:tbl>
    <w:p>
      <w:pPr>
        <w:pStyle w:val="yFootnotesection"/>
      </w:pPr>
      <w:r>
        <w:tab/>
        <w:t>[Division 2 inserted in Gazette 4 Sep 2009 p. 3475-8.]</w:t>
      </w:r>
    </w:p>
    <w:p>
      <w:pPr>
        <w:pStyle w:val="yHeading3"/>
      </w:pPr>
      <w:bookmarkStart w:id="133" w:name="_Toc239746327"/>
      <w:bookmarkStart w:id="134" w:name="_Toc239759650"/>
      <w:r>
        <w:rPr>
          <w:rStyle w:val="CharSDivNo"/>
        </w:rPr>
        <w:t>Division 3</w:t>
      </w:r>
      <w:r>
        <w:rPr>
          <w:b w:val="0"/>
        </w:rPr>
        <w:t> — </w:t>
      </w:r>
      <w:r>
        <w:rPr>
          <w:rStyle w:val="CharSDivText"/>
        </w:rPr>
        <w:t>Criminal jurisdiction</w:t>
      </w:r>
      <w:bookmarkEnd w:id="133"/>
      <w:bookmarkEnd w:id="134"/>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pPr>
            <w:r>
              <w:br/>
              <w:t>62.50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pPr>
            <w:r>
              <w:br/>
              <w:t>12.00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pPr>
            <w:r>
              <w:t>62.50</w:t>
            </w:r>
          </w:p>
          <w:p>
            <w:pPr>
              <w:pStyle w:val="yTableNAm"/>
              <w:jc w:val="center"/>
            </w:pPr>
            <w:r>
              <w:t>81.50</w:t>
            </w:r>
          </w:p>
        </w:tc>
      </w:tr>
    </w:tbl>
    <w:p>
      <w:pPr>
        <w:pStyle w:val="yFootnotesection"/>
      </w:pPr>
      <w:r>
        <w:tab/>
        <w:t>[Division 3 inserted in Gazette 4 Sep 2009 p. 3478</w:t>
      </w:r>
      <w:r>
        <w:noBreakHyphen/>
        <w:t>9.]</w:t>
      </w:r>
    </w:p>
    <w:p>
      <w:pPr>
        <w:pStyle w:val="yScheduleHeading"/>
      </w:pPr>
      <w:bookmarkStart w:id="135" w:name="_Toc239746328"/>
      <w:bookmarkStart w:id="136" w:name="_Toc239759651"/>
      <w:r>
        <w:rPr>
          <w:rStyle w:val="CharSchNo"/>
        </w:rPr>
        <w:t>Schedule 2</w:t>
      </w:r>
      <w:r>
        <w:rPr>
          <w:rStyle w:val="CharSDivNo"/>
        </w:rPr>
        <w:t> </w:t>
      </w:r>
      <w:r>
        <w:t>—</w:t>
      </w:r>
      <w:r>
        <w:rPr>
          <w:rStyle w:val="CharSDivText"/>
        </w:rPr>
        <w:t> </w:t>
      </w:r>
      <w:r>
        <w:rPr>
          <w:rStyle w:val="CharSchText"/>
        </w:rPr>
        <w:t>Forms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5"/>
      <w:bookmarkEnd w:id="136"/>
    </w:p>
    <w:p>
      <w:pPr>
        <w:pStyle w:val="yShoulderClause"/>
      </w:pPr>
      <w:r>
        <w:t>[r. 4(6), 8(6), 13(2)]</w:t>
      </w:r>
    </w:p>
    <w:p>
      <w:pPr>
        <w:pStyle w:val="yHeading5"/>
      </w:pPr>
      <w:bookmarkStart w:id="137" w:name="_Toc96398510"/>
      <w:bookmarkStart w:id="138" w:name="_Toc96417044"/>
      <w:bookmarkStart w:id="139" w:name="_Toc100631336"/>
      <w:bookmarkStart w:id="140" w:name="_Toc102451465"/>
      <w:bookmarkStart w:id="141" w:name="_Toc222114927"/>
      <w:bookmarkStart w:id="142" w:name="_Toc239759652"/>
      <w:r>
        <w:t>1.</w:t>
      </w:r>
      <w:r>
        <w:tab/>
        <w:t>Declaration that a person is a small business or a non</w:t>
      </w:r>
      <w:r>
        <w:noBreakHyphen/>
        <w:t>profit association</w:t>
      </w:r>
      <w:bookmarkEnd w:id="137"/>
      <w:bookmarkEnd w:id="138"/>
      <w:bookmarkEnd w:id="139"/>
      <w:bookmarkEnd w:id="140"/>
      <w:bookmarkEnd w:id="141"/>
      <w:bookmarkEnd w:id="142"/>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143" w:name="_Toc96398511"/>
      <w:bookmarkStart w:id="144" w:name="_Toc96417045"/>
      <w:bookmarkStart w:id="145" w:name="_Toc100631337"/>
      <w:bookmarkStart w:id="146" w:name="_Toc102451466"/>
      <w:bookmarkStart w:id="147" w:name="_Toc222114928"/>
      <w:bookmarkStart w:id="148" w:name="_Toc239759653"/>
      <w:r>
        <w:t>2.</w:t>
      </w:r>
      <w:r>
        <w:tab/>
        <w:t>Application to remit fees</w:t>
      </w:r>
      <w:bookmarkEnd w:id="143"/>
      <w:bookmarkEnd w:id="144"/>
      <w:bookmarkEnd w:id="145"/>
      <w:bookmarkEnd w:id="146"/>
      <w:bookmarkEnd w:id="147"/>
      <w:bookmarkEnd w:id="14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49" w:name="_Toc100631338"/>
      <w:bookmarkStart w:id="150" w:name="_Toc102451467"/>
      <w:bookmarkStart w:id="151" w:name="_Toc222114929"/>
      <w:bookmarkStart w:id="152" w:name="_Toc239759654"/>
      <w:r>
        <w:t>3.</w:t>
      </w:r>
      <w:r>
        <w:tab/>
        <w:t>Application for determination of dispute about fees</w:t>
      </w:r>
      <w:bookmarkEnd w:id="149"/>
      <w:bookmarkEnd w:id="150"/>
      <w:bookmarkEnd w:id="151"/>
      <w:bookmarkEnd w:id="15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53" w:name="_Toc102451468"/>
      <w:bookmarkStart w:id="154" w:name="_Toc139104723"/>
      <w:bookmarkStart w:id="155" w:name="_Toc139276721"/>
      <w:bookmarkStart w:id="156" w:name="_Toc171051740"/>
      <w:bookmarkStart w:id="157" w:name="_Toc198631560"/>
      <w:bookmarkStart w:id="158" w:name="_Toc202521840"/>
      <w:bookmarkStart w:id="159" w:name="_Toc203535235"/>
      <w:bookmarkStart w:id="160" w:name="_Toc207168620"/>
      <w:bookmarkStart w:id="161" w:name="_Toc210114996"/>
      <w:bookmarkStart w:id="162" w:name="_Toc210119124"/>
      <w:bookmarkStart w:id="163" w:name="_Toc219794100"/>
      <w:bookmarkStart w:id="164" w:name="_Toc219794297"/>
      <w:bookmarkStart w:id="165" w:name="_Toc222114930"/>
      <w:bookmarkStart w:id="166" w:name="_Toc222212442"/>
      <w:bookmarkStart w:id="167" w:name="_Toc224024227"/>
      <w:bookmarkStart w:id="168" w:name="_Toc224024312"/>
      <w:bookmarkStart w:id="169" w:name="_Toc232310095"/>
      <w:bookmarkStart w:id="170" w:name="_Toc239746332"/>
      <w:bookmarkStart w:id="171" w:name="_Toc239759655"/>
      <w:r>
        <w:t>Notes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Magistrates Court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172" w:name="_Toc239759656"/>
      <w: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Borders>
              <w:bottom w:val="single" w:sz="4" w:space="0" w:color="auto"/>
            </w:tcBorders>
          </w:tcPr>
          <w:p>
            <w:pPr>
              <w:pStyle w:val="nTable"/>
              <w:spacing w:after="40"/>
              <w:rPr>
                <w:i/>
                <w:sz w:val="19"/>
              </w:rPr>
            </w:pPr>
            <w:r>
              <w:rPr>
                <w:i/>
                <w:sz w:val="19"/>
              </w:rPr>
              <w:t>Magistrates Court (Fees) Amendment Regulations (No. 2) 2009</w:t>
            </w:r>
          </w:p>
        </w:tc>
        <w:tc>
          <w:tcPr>
            <w:tcW w:w="1276" w:type="dxa"/>
            <w:tcBorders>
              <w:bottom w:val="single" w:sz="4" w:space="0" w:color="auto"/>
            </w:tcBorders>
          </w:tcPr>
          <w:p>
            <w:pPr>
              <w:pStyle w:val="nTable"/>
              <w:spacing w:after="40"/>
              <w:rPr>
                <w:sz w:val="19"/>
              </w:rPr>
            </w:pPr>
            <w:r>
              <w:rPr>
                <w:sz w:val="19"/>
              </w:rPr>
              <w:t>4 Sep 2009 p. 3472-9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bl>
    <w:p>
      <w:bookmarkStart w:id="173" w:name="UpToHere"/>
      <w:bookmarkEnd w:id="173"/>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4" w:name="_Toc219794299"/>
      <w:bookmarkStart w:id="175" w:name="_Toc222114932"/>
      <w:bookmarkStart w:id="176" w:name="_Toc222212444"/>
      <w:bookmarkStart w:id="177" w:name="_Toc224024229"/>
      <w:bookmarkStart w:id="178" w:name="_Toc224024314"/>
      <w:bookmarkStart w:id="179" w:name="_Toc232310097"/>
      <w:bookmarkStart w:id="180" w:name="_Toc239746334"/>
      <w:bookmarkStart w:id="181" w:name="_Toc239759657"/>
      <w:r>
        <w:rPr>
          <w:sz w:val="28"/>
        </w:rPr>
        <w:t>Defined Terms</w:t>
      </w:r>
      <w:bookmarkEnd w:id="174"/>
      <w:bookmarkEnd w:id="175"/>
      <w:bookmarkEnd w:id="176"/>
      <w:bookmarkEnd w:id="177"/>
      <w:bookmarkEnd w:id="178"/>
      <w:bookmarkEnd w:id="179"/>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2" w:name="DefinedTerms"/>
      <w:bookmarkEnd w:id="182"/>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r>
              <w:rPr>
                <w:noProof/>
              </w:rPr>
              <w:cr/>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911"/>
    <w:docVar w:name="WAFER_20151208105911" w:val="RemoveTrackChanges"/>
    <w:docVar w:name="WAFER_20151208105911_GUID" w:val="97fd2023-e999-4b56-a84d-c2a2c46bb5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6469</Words>
  <Characters>34222</Characters>
  <Application>Microsoft Office Word</Application>
  <DocSecurity>0</DocSecurity>
  <Lines>1425</Lines>
  <Paragraphs>782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39909</CharactersWithSpaces>
  <SharedDoc>false</SharedDoc>
  <HLinks>
    <vt:vector size="6" baseType="variant">
      <vt:variant>
        <vt:i4>3014716</vt:i4>
      </vt:variant>
      <vt:variant>
        <vt:i4>-1</vt:i4>
      </vt:variant>
      <vt:variant>
        <vt:i4>2081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2005 - 01-c0-03</dc:title>
  <dc:subject/>
  <dc:creator/>
  <cp:keywords/>
  <dc:description/>
  <cp:lastModifiedBy>svcMRProcess</cp:lastModifiedBy>
  <cp:revision>4</cp:revision>
  <cp:lastPrinted>2009-02-12T06:34:00Z</cp:lastPrinted>
  <dcterms:created xsi:type="dcterms:W3CDTF">2018-09-12T17:32:00Z</dcterms:created>
  <dcterms:modified xsi:type="dcterms:W3CDTF">2018-09-12T17:32:00Z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37120</vt:i4>
  </property>
  <property fmtid="{D5CDD505-2E9C-101B-9397-08002B2CF9AE}" pid="6" name="AsAtDate">
    <vt:lpwstr>05 Sep 2009</vt:lpwstr>
  </property>
  <property fmtid="{D5CDD505-2E9C-101B-9397-08002B2CF9AE}" pid="7" name="Suffix">
    <vt:lpwstr>01-c0-03</vt:lpwstr>
  </property>
  <property fmtid="{D5CDD505-2E9C-101B-9397-08002B2CF9AE}" pid="8" name="ReprintNo">
    <vt:lpwstr>1</vt:lpwstr>
  </property>
</Properties>
</file>