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Supreme Court Act 1935</w:t>
      </w:r>
    </w:p>
    <w:p>
      <w:pPr>
        <w:pStyle w:val="NameofActRegPage1"/>
        <w:spacing w:before="1800" w:after="4200"/>
      </w:pPr>
      <w:r>
        <w:fldChar w:fldCharType="begin"/>
      </w:r>
      <w:r>
        <w:instrText xml:space="preserve"> STYLEREF "Name Of Act/Reg"</w:instrText>
      </w:r>
      <w:r>
        <w:fldChar w:fldCharType="separate"/>
      </w:r>
      <w:r>
        <w:rPr>
          <w:noProof/>
        </w:rPr>
        <w:t>Supreme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_Toc244330029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_Toc244330030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_Toc244330031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_Toc244330032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_Toc244330033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_Toc244330034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_Toc244330035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_Toc244330036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_Toc244330037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5</w:t>
      </w:r>
      <w:r>
        <w:tab/>
      </w:r>
      <w:r>
        <w:fldChar w:fldCharType="begin"/>
      </w:r>
      <w:r>
        <w:instrText xml:space="preserve"> PAGEREF _Toc244330038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5</w:t>
      </w:r>
      <w:r>
        <w:tab/>
      </w:r>
      <w:r>
        <w:fldChar w:fldCharType="begin"/>
      </w:r>
      <w:r>
        <w:instrText xml:space="preserve"> PAGEREF _Toc244330039 \h </w:instrText>
      </w:r>
      <w:r>
        <w:fldChar w:fldCharType="separate"/>
      </w:r>
      <w:r>
        <w:t>11</w:t>
      </w:r>
      <w:r>
        <w:fldChar w:fldCharType="end"/>
      </w:r>
    </w:p>
    <w:p>
      <w:pPr>
        <w:pStyle w:val="TOC8"/>
        <w:rPr>
          <w:sz w:val="24"/>
          <w:szCs w:val="24"/>
        </w:rPr>
      </w:pPr>
      <w:r>
        <w:rPr>
          <w:szCs w:val="24"/>
        </w:rPr>
        <w:t>10.</w:t>
      </w:r>
      <w:r>
        <w:rPr>
          <w:szCs w:val="24"/>
        </w:rPr>
        <w:tab/>
        <w:t>Schedule 1 Division 2 item 6 or Division 2 item 7 fee</w:t>
      </w:r>
      <w:r>
        <w:tab/>
      </w:r>
      <w:r>
        <w:fldChar w:fldCharType="begin"/>
      </w:r>
      <w:r>
        <w:instrText xml:space="preserve"> PAGEREF _Toc244330040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_Toc244330041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 Division fees</w:t>
      </w:r>
    </w:p>
    <w:p>
      <w:pPr>
        <w:pStyle w:val="TOC4"/>
        <w:tabs>
          <w:tab w:val="right" w:leader="dot" w:pos="7086"/>
        </w:tabs>
        <w:rPr>
          <w:b w:val="0"/>
          <w:sz w:val="24"/>
          <w:szCs w:val="24"/>
        </w:rPr>
      </w:pPr>
      <w:r>
        <w:rPr>
          <w:szCs w:val="24"/>
        </w:rPr>
        <w:t>Division 2</w:t>
      </w:r>
      <w:r>
        <w:rPr>
          <w:b w:val="0"/>
          <w:szCs w:val="24"/>
        </w:rPr>
        <w:t> — </w:t>
      </w:r>
      <w:r>
        <w:rPr>
          <w:szCs w:val="24"/>
        </w:rPr>
        <w:t>Court of Appeal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_Toc244330049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p>
    <w:p>
      <w:pPr>
        <w:pStyle w:val="NameofActReg"/>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244330029"/>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24433003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244330031"/>
      <w:r>
        <w:rPr>
          <w:rStyle w:val="CharSectno"/>
        </w:rPr>
        <w:t>3</w:t>
      </w:r>
      <w:r>
        <w:t>.</w:t>
      </w:r>
      <w:r>
        <w:tab/>
        <w:t>Interpretation</w:t>
      </w:r>
      <w:bookmarkEnd w:id="21"/>
      <w:bookmarkEnd w:id="22"/>
      <w:bookmarkEnd w:id="23"/>
      <w:bookmarkEnd w:id="24"/>
      <w:bookmarkEnd w:id="25"/>
      <w:bookmarkEnd w:id="26"/>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244330032"/>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r>
        <w:tab/>
        <w:t>[Regulation 4 amended in Gazette 30 Dec 2003 p. 5693-4; 28 Apr 2005 p. 1758; 4 Sep 2009 p. 3461.]</w:t>
      </w:r>
    </w:p>
    <w:p>
      <w:pPr>
        <w:pStyle w:val="Heading5"/>
        <w:rPr>
          <w:snapToGrid w:val="0"/>
        </w:rPr>
      </w:pPr>
      <w:bookmarkStart w:id="48" w:name="_Toc107626234"/>
      <w:bookmarkStart w:id="49" w:name="_Toc145814154"/>
      <w:bookmarkStart w:id="50" w:name="_Toc244330033"/>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w:t>
      </w:r>
    </w:p>
    <w:p>
      <w:pPr>
        <w:pStyle w:val="Heading5"/>
      </w:pPr>
      <w:bookmarkStart w:id="58" w:name="_Toc107626235"/>
      <w:bookmarkStart w:id="59" w:name="_Toc145814155"/>
      <w:bookmarkStart w:id="60" w:name="_Toc244330034"/>
      <w:r>
        <w:t>5A.</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244330035"/>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244330036"/>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2" w:name="_Toc107626238"/>
      <w:bookmarkStart w:id="83" w:name="_Toc145814158"/>
      <w:bookmarkStart w:id="84" w:name="_Toc244330037"/>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244330038"/>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91" w:name="_Toc107626240"/>
      <w:bookmarkStart w:id="92" w:name="_Toc145814160"/>
      <w:bookmarkStart w:id="93" w:name="_Toc244330039"/>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 amended in Gazette 4 Sep 2009 p. 3462.]</w:t>
      </w:r>
    </w:p>
    <w:p>
      <w:pPr>
        <w:pStyle w:val="Heading5"/>
      </w:pPr>
      <w:bookmarkStart w:id="94" w:name="_Toc107626241"/>
      <w:bookmarkStart w:id="95" w:name="_Toc145814161"/>
      <w:bookmarkStart w:id="96" w:name="_Toc244330040"/>
      <w:r>
        <w:rPr>
          <w:rStyle w:val="CharSectno"/>
        </w:rPr>
        <w:t>10</w:t>
      </w:r>
      <w:r>
        <w:t>.</w:t>
      </w:r>
      <w:r>
        <w:tab/>
        <w:t>Schedule 1 Division 2 item 6</w:t>
      </w:r>
      <w:bookmarkStart w:id="97" w:name="UpToHere"/>
      <w:bookmarkEnd w:id="97"/>
      <w:r>
        <w:t xml:space="preserve">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pPr>
      <w:bookmarkStart w:id="98" w:name="_Toc533218890"/>
      <w:bookmarkStart w:id="99" w:name="_Toc533480356"/>
      <w:r>
        <w:tab/>
        <w:t>[Regulation 10 amended in Gazette 23 Jun 2005 p. 2695; 4 Sep 2009 p. 3462.]</w:t>
      </w:r>
    </w:p>
    <w:p>
      <w:pPr>
        <w:pStyle w:val="Heading5"/>
      </w:pPr>
      <w:bookmarkStart w:id="100" w:name="_Toc107626242"/>
      <w:bookmarkStart w:id="101" w:name="_Toc145814162"/>
      <w:bookmarkStart w:id="102" w:name="_Toc244330041"/>
      <w:r>
        <w:t>11.</w:t>
      </w:r>
      <w:r>
        <w:tab/>
        <w:t>Recovery of unpaid fees</w:t>
      </w:r>
      <w:bookmarkEnd w:id="100"/>
      <w:bookmarkEnd w:id="101"/>
      <w:bookmarkEnd w:id="102"/>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bookmarkEnd w:id="98"/>
    <w:bookmarkEnd w:id="99"/>
    <w:p>
      <w:pPr>
        <w:pStyle w:val="Ednotesection"/>
      </w:pPr>
      <w:r>
        <w:t>[</w:t>
      </w:r>
      <w:r>
        <w:rPr>
          <w:b/>
          <w:bCs/>
        </w:rPr>
        <w:t>12.</w:t>
      </w:r>
      <w:r>
        <w:tab/>
        <w:t>Deleted in Gazette 4 Sep 2009 p. 3462.]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3" w:name="_Toc533480357"/>
    </w:p>
    <w:p>
      <w:pPr>
        <w:pStyle w:val="yScheduleHeading"/>
      </w:pPr>
      <w:bookmarkStart w:id="104" w:name="_Toc239758528"/>
      <w:bookmarkStart w:id="105" w:name="_Toc239761852"/>
      <w:bookmarkStart w:id="106" w:name="_Toc244330042"/>
      <w:bookmarkStart w:id="107" w:name="_Toc533218894"/>
      <w:bookmarkStart w:id="108" w:name="_Toc533480360"/>
      <w:bookmarkStart w:id="109" w:name="_Toc107626249"/>
      <w:bookmarkStart w:id="110" w:name="_Toc139175209"/>
      <w:bookmarkStart w:id="111" w:name="_Toc139365940"/>
      <w:bookmarkStart w:id="112" w:name="_Toc141847811"/>
      <w:bookmarkStart w:id="113" w:name="_Toc142382645"/>
      <w:bookmarkStart w:id="114" w:name="_Toc144009328"/>
      <w:bookmarkStart w:id="115" w:name="_Toc144009444"/>
      <w:bookmarkStart w:id="116" w:name="_Toc144010742"/>
      <w:bookmarkStart w:id="117" w:name="_Toc144616506"/>
      <w:bookmarkStart w:id="118" w:name="_Toc145814169"/>
      <w:bookmarkStart w:id="119" w:name="_Toc170790395"/>
      <w:bookmarkStart w:id="120" w:name="_Toc171051025"/>
      <w:bookmarkStart w:id="121" w:name="_Toc202265391"/>
      <w:bookmarkStart w:id="122" w:name="_Toc232310903"/>
      <w:bookmarkEnd w:id="103"/>
      <w:r>
        <w:rPr>
          <w:rStyle w:val="CharSchNo"/>
        </w:rPr>
        <w:t>Schedule 1</w:t>
      </w:r>
      <w:r>
        <w:t> — </w:t>
      </w:r>
      <w:r>
        <w:rPr>
          <w:rStyle w:val="CharSchText"/>
        </w:rPr>
        <w:t>Fees</w:t>
      </w:r>
      <w:bookmarkEnd w:id="104"/>
      <w:bookmarkEnd w:id="105"/>
      <w:bookmarkEnd w:id="106"/>
    </w:p>
    <w:p>
      <w:pPr>
        <w:pStyle w:val="yShoulderClause"/>
      </w:pPr>
      <w:r>
        <w:t>[r. 4]</w:t>
      </w:r>
    </w:p>
    <w:p>
      <w:pPr>
        <w:pStyle w:val="yFootnoteheading"/>
      </w:pPr>
      <w:r>
        <w:tab/>
        <w:t>[Heading inserted in Gazette 4 Sep 2009 p. 3462.]</w:t>
      </w:r>
    </w:p>
    <w:p>
      <w:pPr>
        <w:pStyle w:val="yHeading3"/>
      </w:pPr>
      <w:bookmarkStart w:id="123" w:name="_Toc239758529"/>
      <w:bookmarkStart w:id="124" w:name="_Toc239761853"/>
      <w:bookmarkStart w:id="125" w:name="_Toc244330043"/>
      <w:r>
        <w:rPr>
          <w:rStyle w:val="CharSDivNo"/>
        </w:rPr>
        <w:t>Division 1</w:t>
      </w:r>
      <w:r>
        <w:rPr>
          <w:b w:val="0"/>
        </w:rPr>
        <w:t> — </w:t>
      </w:r>
      <w:r>
        <w:rPr>
          <w:rStyle w:val="CharSDivText"/>
        </w:rPr>
        <w:t>General Division fees</w:t>
      </w:r>
      <w:bookmarkEnd w:id="123"/>
      <w:bookmarkEnd w:id="124"/>
      <w:bookmarkEnd w:id="125"/>
    </w:p>
    <w:p>
      <w:pPr>
        <w:pStyle w:val="yFootnoteheading"/>
      </w:pPr>
      <w:r>
        <w:tab/>
        <w:t>[Heading inserted in Gazette 4 Sep 2009 p. 3462.]</w:t>
      </w:r>
    </w:p>
    <w:tbl>
      <w:tblPr>
        <w:tblW w:w="70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t>768.00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1 153.00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ind w:left="1081" w:hanging="1081"/>
            </w:pPr>
            <w:r>
              <w:tab/>
              <w:t>(i)</w:t>
            </w:r>
            <w:r>
              <w:tab/>
              <w:t>to extend a period of time fixed by law, including an application to extend time before proceedings are commenced; or</w:t>
            </w:r>
          </w:p>
          <w:p>
            <w:pPr>
              <w:pStyle w:val="yTableNAm"/>
              <w:tabs>
                <w:tab w:val="left" w:pos="1081"/>
              </w:tabs>
              <w:ind w:left="1081" w:hanging="1081"/>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pPr>
            <w:r>
              <w:tab/>
              <w:t>(vi)</w:t>
            </w:r>
            <w:r>
              <w:tab/>
              <w:t>for inclusion in the Expedited list of the Court; or</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t>768.00</w:t>
            </w:r>
          </w:p>
          <w:p>
            <w:pPr>
              <w:pStyle w:val="yTableNAm"/>
              <w:tabs>
                <w:tab w:val="clear" w:pos="567"/>
              </w:tabs>
              <w:ind w:right="206"/>
              <w:jc w:val="right"/>
            </w:pPr>
            <w:r>
              <w:br/>
              <w:t>768.00</w:t>
            </w:r>
          </w:p>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br/>
            </w:r>
            <w:r>
              <w:br/>
              <w:t>256.00</w:t>
            </w:r>
          </w:p>
          <w:p>
            <w:pPr>
              <w:pStyle w:val="yTableNAm"/>
              <w:tabs>
                <w:tab w:val="clear" w:pos="567"/>
              </w:tabs>
              <w:ind w:right="206"/>
              <w:jc w:val="right"/>
            </w:pPr>
            <w:r>
              <w:br/>
            </w:r>
            <w:r>
              <w:br/>
              <w:t>256.00</w:t>
            </w:r>
          </w:p>
        </w:tc>
        <w:tc>
          <w:tcPr>
            <w:tcW w:w="1239" w:type="dxa"/>
          </w:tcPr>
          <w:p>
            <w:pPr>
              <w:pStyle w:val="yTableNAm"/>
              <w:tabs>
                <w:tab w:val="clear" w:pos="567"/>
              </w:tabs>
              <w:ind w:right="203"/>
              <w:jc w:val="right"/>
            </w:pPr>
          </w:p>
          <w:p>
            <w:pPr>
              <w:pStyle w:val="yTableNAm"/>
              <w:tabs>
                <w:tab w:val="clear" w:pos="567"/>
              </w:tabs>
              <w:ind w:right="203"/>
              <w:jc w:val="right"/>
            </w:pPr>
            <w:r>
              <w:t>1 153.00</w:t>
            </w:r>
          </w:p>
          <w:p>
            <w:pPr>
              <w:pStyle w:val="yTableNAm"/>
              <w:tabs>
                <w:tab w:val="clear" w:pos="567"/>
              </w:tabs>
              <w:ind w:right="203"/>
              <w:jc w:val="right"/>
            </w:pPr>
            <w:r>
              <w:br/>
              <w:t>1 153.00</w:t>
            </w:r>
          </w:p>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br/>
            </w:r>
            <w:r>
              <w:br/>
              <w:t>386.00</w:t>
            </w:r>
          </w:p>
          <w:p>
            <w:pPr>
              <w:pStyle w:val="yTableNAm"/>
              <w:tabs>
                <w:tab w:val="clear" w:pos="567"/>
              </w:tabs>
              <w:ind w:right="203"/>
              <w:jc w:val="right"/>
            </w:pPr>
            <w:r>
              <w:br/>
            </w:r>
            <w:r>
              <w:br/>
              <w:t>386.00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t>514.00</w:t>
            </w:r>
          </w:p>
        </w:tc>
        <w:tc>
          <w:tcPr>
            <w:tcW w:w="1239" w:type="dxa"/>
          </w:tcPr>
          <w:p>
            <w:pPr>
              <w:pStyle w:val="yTableNAm"/>
            </w:pPr>
            <w:r>
              <w:br/>
              <w:t>771.00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t>768.00</w:t>
            </w:r>
          </w:p>
        </w:tc>
        <w:tc>
          <w:tcPr>
            <w:tcW w:w="1239" w:type="dxa"/>
          </w:tcPr>
          <w:p>
            <w:pPr>
              <w:pStyle w:val="yTableNAm"/>
              <w:tabs>
                <w:tab w:val="clear" w:pos="567"/>
              </w:tabs>
              <w:ind w:right="203"/>
              <w:jc w:val="right"/>
            </w:pPr>
            <w:r>
              <w:br/>
            </w:r>
            <w:r>
              <w:br/>
              <w:t>1 153.00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1 028.00</w:t>
            </w:r>
          </w:p>
        </w:tc>
      </w:tr>
      <w:tr>
        <w:tc>
          <w:tcPr>
            <w:tcW w:w="709" w:type="dxa"/>
          </w:tcPr>
          <w:p>
            <w:pPr>
              <w:pStyle w:val="yTableNAm"/>
            </w:pPr>
            <w:r>
              <w:t>6.</w:t>
            </w:r>
          </w:p>
        </w:tc>
        <w:tc>
          <w:tcPr>
            <w:tcW w:w="3827" w:type="dxa"/>
          </w:tcPr>
          <w:p>
            <w:pPr>
              <w:pStyle w:val="yTableNAm"/>
              <w:tabs>
                <w:tab w:val="left" w:leader="dot" w:pos="3839"/>
              </w:tabs>
            </w:pPr>
            <w:r>
              <w:t xml:space="preserve">Daily hearing fee before a Court constituted by a master or one or more judges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No fee is payable if the proceedings are of an interlocutory nature.</w:t>
            </w:r>
          </w:p>
          <w:p>
            <w:pPr>
              <w:pStyle w:val="yTableNAm"/>
              <w:tabs>
                <w:tab w:val="clear" w:pos="567"/>
                <w:tab w:val="left" w:pos="481"/>
              </w:tabs>
              <w:ind w:left="481" w:hanging="481"/>
              <w:rPr>
                <w:sz w:val="20"/>
              </w:rPr>
            </w:pPr>
            <w:r>
              <w:rPr>
                <w:sz w:val="20"/>
              </w:rPr>
              <w:t>(2)</w:t>
            </w:r>
            <w:r>
              <w:rPr>
                <w:sz w:val="20"/>
              </w:rPr>
              <w:tab/>
              <w:t>The fee is to be paid in respect of any number of hearing days greater than the number of hearing days for which a fee has been paid under item 5.</w:t>
            </w:r>
          </w:p>
          <w:p>
            <w:pPr>
              <w:pStyle w:val="yTableNAm"/>
              <w:tabs>
                <w:tab w:val="clear" w:pos="567"/>
                <w:tab w:val="left" w:pos="481"/>
              </w:tabs>
              <w:ind w:left="481" w:hanging="481"/>
              <w:rPr>
                <w:sz w:val="20"/>
              </w:rPr>
            </w:pPr>
            <w:r>
              <w:rPr>
                <w:sz w:val="20"/>
              </w:rPr>
              <w:t>(3)</w:t>
            </w:r>
            <w:r>
              <w:rPr>
                <w:sz w:val="20"/>
              </w:rPr>
              <w:tab/>
              <w:t>The fee is payable for each additional day or part of a day that the hearing proceeds beyond the date or dates allocated referred to in item 5.</w:t>
            </w:r>
          </w:p>
          <w:p>
            <w:pPr>
              <w:pStyle w:val="yTableNAm"/>
              <w:tabs>
                <w:tab w:val="clear" w:pos="567"/>
                <w:tab w:val="left" w:pos="481"/>
              </w:tabs>
              <w:ind w:left="481" w:hanging="481"/>
              <w:rPr>
                <w:sz w:val="20"/>
              </w:rPr>
            </w:pPr>
            <w:r>
              <w:rPr>
                <w:sz w:val="20"/>
              </w:rPr>
              <w:t>(4)</w:t>
            </w:r>
            <w:r>
              <w:rPr>
                <w:sz w:val="20"/>
              </w:rPr>
              <w:tab/>
              <w:t>If the Court allocates a half day or less for the continuation of the hearing, a fee equal to half the prescribed amount is payable for that period.</w:t>
            </w:r>
          </w:p>
          <w:p>
            <w:pPr>
              <w:pStyle w:val="yTableNAm"/>
              <w:tabs>
                <w:tab w:val="clear" w:pos="567"/>
                <w:tab w:val="left" w:pos="481"/>
              </w:tabs>
              <w:ind w:left="481" w:hanging="481"/>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br/>
            </w:r>
            <w:r>
              <w:br/>
              <w:t>514.00</w:t>
            </w:r>
          </w:p>
        </w:tc>
        <w:tc>
          <w:tcPr>
            <w:tcW w:w="1239" w:type="dxa"/>
          </w:tcPr>
          <w:p>
            <w:pPr>
              <w:pStyle w:val="yTableNAm"/>
              <w:tabs>
                <w:tab w:val="clear" w:pos="567"/>
              </w:tabs>
              <w:ind w:right="203"/>
              <w:jc w:val="right"/>
            </w:pPr>
            <w:r>
              <w:br/>
            </w:r>
            <w:r>
              <w:br/>
              <w:t>1 028.00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ind w:left="1081" w:hanging="1081"/>
            </w:pPr>
            <w:r>
              <w:tab/>
              <w:t>(i)</w:t>
            </w:r>
            <w:r>
              <w:tab/>
              <w:t>interlocutory application or summons returnable; or</w:t>
            </w:r>
          </w:p>
          <w:p>
            <w:pPr>
              <w:pStyle w:val="yTableNAm"/>
              <w:tabs>
                <w:tab w:val="left" w:pos="1081"/>
              </w:tabs>
              <w:ind w:left="1081" w:hanging="1081"/>
            </w:pPr>
            <w:r>
              <w:tab/>
              <w:t>(ii)</w:t>
            </w:r>
            <w:r>
              <w:tab/>
              <w:t>application for assessment of damages; or</w:t>
            </w:r>
          </w:p>
          <w:p>
            <w:pPr>
              <w:pStyle w:val="yTableNAm"/>
              <w:tabs>
                <w:tab w:val="left" w:pos="1081"/>
              </w:tabs>
              <w:ind w:left="1081" w:hanging="1081"/>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t>180.50</w:t>
            </w:r>
          </w:p>
        </w:tc>
        <w:tc>
          <w:tcPr>
            <w:tcW w:w="1239" w:type="dxa"/>
          </w:tcPr>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t>270.00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The % rate is to be applied to the amount at which the bill is drawn.</w:t>
            </w:r>
          </w:p>
          <w:p>
            <w:pPr>
              <w:pStyle w:val="yTableNAm"/>
              <w:tabs>
                <w:tab w:val="clear" w:pos="567"/>
                <w:tab w:val="left" w:pos="481"/>
              </w:tabs>
              <w:ind w:left="481" w:hanging="481"/>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ind w:left="481" w:hanging="481"/>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ind w:left="961" w:hanging="961"/>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ind w:left="961" w:hanging="961"/>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ind w:left="961" w:hanging="961"/>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t>180.50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t>270.00</w:t>
            </w:r>
          </w:p>
          <w:p>
            <w:pPr>
              <w:pStyle w:val="yTableNAm"/>
              <w:tabs>
                <w:tab w:val="clear" w:pos="567"/>
              </w:tabs>
              <w:ind w:right="203"/>
              <w:jc w:val="right"/>
            </w:pPr>
            <w:r>
              <w:br/>
              <w:t>2.5%</w:t>
            </w:r>
          </w:p>
        </w:tc>
      </w:tr>
      <w:tr>
        <w:tc>
          <w:tcPr>
            <w:tcW w:w="709" w:type="dxa"/>
          </w:tcPr>
          <w:p>
            <w:pPr>
              <w:pStyle w:val="yTableNAm"/>
            </w:pPr>
            <w:r>
              <w:t>10.</w:t>
            </w:r>
          </w:p>
        </w:tc>
        <w:tc>
          <w:tcPr>
            <w:tcW w:w="3827" w:type="dxa"/>
          </w:tcPr>
          <w:p>
            <w:pPr>
              <w:pStyle w:val="yTableNAm"/>
              <w:tabs>
                <w:tab w:val="left" w:leader="dot" w:pos="3839"/>
              </w:tabs>
            </w:pPr>
            <w:r>
              <w:t xml:space="preserve">For searching any proceeding or record other than a search made by or on behalf of a party to the proceeding </w:t>
            </w:r>
            <w:r>
              <w:tab/>
            </w:r>
          </w:p>
          <w:p>
            <w:pPr>
              <w:pStyle w:val="yTableNAm"/>
              <w:rPr>
                <w:sz w:val="20"/>
              </w:rPr>
            </w:pPr>
            <w:r>
              <w:rPr>
                <w:sz w:val="20"/>
              </w:rPr>
              <w:t>NOTE:</w:t>
            </w:r>
          </w:p>
          <w:p>
            <w:pPr>
              <w:pStyle w:val="yTableNAm"/>
              <w:rPr>
                <w:sz w:val="20"/>
              </w:rPr>
            </w:pPr>
            <w:r>
              <w:rPr>
                <w:sz w:val="20"/>
              </w:rPr>
              <w:t>But if the search is made by a recognised service approved by the Attorney General:  $1.00.</w:t>
            </w:r>
          </w:p>
        </w:tc>
        <w:tc>
          <w:tcPr>
            <w:tcW w:w="1276" w:type="dxa"/>
          </w:tcPr>
          <w:p>
            <w:pPr>
              <w:pStyle w:val="yTableNAm"/>
              <w:tabs>
                <w:tab w:val="clear" w:pos="567"/>
              </w:tabs>
              <w:ind w:right="206"/>
              <w:jc w:val="right"/>
            </w:pPr>
            <w:r>
              <w:br/>
            </w:r>
            <w:r>
              <w:br/>
              <w:t>26.00</w:t>
            </w:r>
          </w:p>
        </w:tc>
        <w:tc>
          <w:tcPr>
            <w:tcW w:w="1239" w:type="dxa"/>
          </w:tcPr>
          <w:p>
            <w:pPr>
              <w:pStyle w:val="yTableNAm"/>
              <w:tabs>
                <w:tab w:val="clear" w:pos="567"/>
              </w:tabs>
              <w:ind w:right="203"/>
              <w:jc w:val="right"/>
            </w:pPr>
            <w:r>
              <w:br/>
            </w:r>
            <w:r>
              <w:br/>
              <w:t>26.00</w:t>
            </w:r>
          </w:p>
        </w:tc>
      </w:tr>
      <w:tr>
        <w:tc>
          <w:tcPr>
            <w:tcW w:w="709" w:type="dxa"/>
          </w:tcPr>
          <w:p>
            <w:pPr>
              <w:pStyle w:val="yTableNAm"/>
            </w:pPr>
            <w:r>
              <w:t>11.</w:t>
            </w:r>
          </w:p>
        </w:tc>
        <w:tc>
          <w:tcPr>
            <w:tcW w:w="3827" w:type="dxa"/>
          </w:tcPr>
          <w:p>
            <w:pPr>
              <w:pStyle w:val="yTableNAm"/>
              <w:tabs>
                <w:tab w:val="clear" w:pos="567"/>
                <w:tab w:val="left" w:pos="481"/>
                <w:tab w:val="left" w:leader="dot" w:pos="3841"/>
              </w:tabs>
              <w:ind w:left="481" w:hanging="481"/>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ind w:left="481" w:hanging="481"/>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ind w:right="206"/>
              <w:jc w:val="right"/>
            </w:pPr>
            <w:r>
              <w:br/>
            </w:r>
            <w:r>
              <w:br/>
            </w:r>
            <w:r>
              <w:br/>
            </w:r>
            <w:r>
              <w:br/>
              <w:t>38.00</w:t>
            </w:r>
          </w:p>
          <w:p>
            <w:pPr>
              <w:pStyle w:val="yTableNAm"/>
              <w:tabs>
                <w:tab w:val="clear" w:pos="567"/>
              </w:tabs>
              <w:ind w:right="206"/>
              <w:jc w:val="right"/>
            </w:pPr>
            <w:r>
              <w:br/>
            </w:r>
            <w:r>
              <w:br/>
            </w:r>
            <w:r>
              <w:br/>
            </w:r>
            <w:r>
              <w:br/>
            </w:r>
            <w:r>
              <w:br/>
            </w:r>
            <w:r>
              <w:br/>
            </w:r>
            <w:r>
              <w:br/>
              <w:t>64.00</w:t>
            </w:r>
          </w:p>
        </w:tc>
        <w:tc>
          <w:tcPr>
            <w:tcW w:w="1239" w:type="dxa"/>
          </w:tcPr>
          <w:p>
            <w:pPr>
              <w:pStyle w:val="yTableNAm"/>
              <w:tabs>
                <w:tab w:val="clear" w:pos="567"/>
              </w:tabs>
              <w:ind w:right="203"/>
              <w:jc w:val="right"/>
            </w:pPr>
            <w:r>
              <w:br/>
            </w:r>
            <w:r>
              <w:br/>
            </w:r>
            <w:r>
              <w:br/>
            </w:r>
            <w:r>
              <w:br/>
              <w:t>38.00</w:t>
            </w:r>
          </w:p>
          <w:p>
            <w:pPr>
              <w:pStyle w:val="yTableNAm"/>
              <w:tabs>
                <w:tab w:val="clear" w:pos="567"/>
              </w:tabs>
              <w:ind w:right="203"/>
              <w:jc w:val="right"/>
            </w:pPr>
            <w:r>
              <w:br/>
            </w:r>
            <w:r>
              <w:br/>
            </w:r>
            <w:r>
              <w:br/>
            </w:r>
            <w:r>
              <w:br/>
            </w:r>
            <w:r>
              <w:br/>
            </w:r>
            <w:r>
              <w:br/>
            </w:r>
            <w:r>
              <w:br/>
              <w:t>64.00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p>
            <w:pPr>
              <w:pStyle w:val="yTableNAm"/>
              <w:tabs>
                <w:tab w:val="clear" w:pos="567"/>
              </w:tabs>
              <w:ind w:right="206"/>
              <w:jc w:val="right"/>
            </w:pPr>
            <w:r>
              <w:br/>
            </w:r>
            <w:r>
              <w:br/>
            </w:r>
            <w:r>
              <w:br/>
            </w:r>
            <w:r>
              <w:br/>
              <w:t>51.50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9.00</w:t>
            </w:r>
          </w:p>
          <w:p>
            <w:pPr>
              <w:pStyle w:val="yTableNAm"/>
              <w:tabs>
                <w:tab w:val="clear" w:pos="567"/>
              </w:tabs>
              <w:ind w:right="203"/>
              <w:jc w:val="right"/>
            </w:pPr>
            <w:r>
              <w:br/>
            </w:r>
            <w:r>
              <w:br/>
              <w:t>1.15</w:t>
            </w:r>
          </w:p>
          <w:p>
            <w:pPr>
              <w:pStyle w:val="yTableNAm"/>
              <w:tabs>
                <w:tab w:val="clear" w:pos="567"/>
              </w:tabs>
              <w:ind w:right="203"/>
              <w:jc w:val="right"/>
            </w:pPr>
            <w:r>
              <w:br/>
            </w:r>
            <w:r>
              <w:br/>
              <w:t>12.50</w:t>
            </w:r>
          </w:p>
          <w:p>
            <w:pPr>
              <w:pStyle w:val="yTableNAm"/>
              <w:tabs>
                <w:tab w:val="clear" w:pos="567"/>
              </w:tabs>
              <w:ind w:right="203"/>
              <w:jc w:val="right"/>
            </w:pPr>
            <w:r>
              <w:br/>
              <w:t>27.00</w:t>
            </w:r>
          </w:p>
          <w:p>
            <w:pPr>
              <w:pStyle w:val="yTableNAm"/>
              <w:tabs>
                <w:tab w:val="clear" w:pos="567"/>
              </w:tabs>
              <w:ind w:right="203"/>
              <w:jc w:val="right"/>
            </w:pPr>
            <w:r>
              <w:br/>
            </w:r>
            <w:r>
              <w:br/>
            </w:r>
            <w:r>
              <w:br/>
            </w:r>
            <w:r>
              <w:br/>
              <w:t>51.50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t>12.50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5.05</w:t>
            </w:r>
          </w:p>
          <w:p>
            <w:pPr>
              <w:pStyle w:val="yTableNAm"/>
              <w:tabs>
                <w:tab w:val="clear" w:pos="567"/>
              </w:tabs>
              <w:ind w:right="203"/>
              <w:jc w:val="right"/>
            </w:pPr>
            <w:r>
              <w:br/>
            </w:r>
            <w:r>
              <w:br/>
            </w:r>
            <w:r>
              <w:br/>
            </w:r>
            <w:r>
              <w:br/>
              <w:t>12.50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t>215.50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w:t>
      </w:r>
    </w:p>
    <w:p>
      <w:pPr>
        <w:pStyle w:val="yHeading3"/>
      </w:pPr>
      <w:bookmarkStart w:id="126" w:name="_Toc239758530"/>
      <w:bookmarkStart w:id="127" w:name="_Toc239761854"/>
      <w:bookmarkStart w:id="128" w:name="_Toc244330044"/>
      <w:r>
        <w:rPr>
          <w:rStyle w:val="CharSDivNo"/>
        </w:rPr>
        <w:t>Division 2</w:t>
      </w:r>
      <w:r>
        <w:rPr>
          <w:b w:val="0"/>
        </w:rPr>
        <w:t> — </w:t>
      </w:r>
      <w:r>
        <w:rPr>
          <w:rStyle w:val="CharSDivText"/>
        </w:rPr>
        <w:t>Court of Appeal fees</w:t>
      </w:r>
      <w:bookmarkEnd w:id="126"/>
      <w:bookmarkEnd w:id="127"/>
      <w:bookmarkEnd w:id="128"/>
    </w:p>
    <w:p>
      <w:pPr>
        <w:pStyle w:val="yFootnoteheading"/>
      </w:pPr>
      <w:r>
        <w:tab/>
        <w:t>[Heading inserted in Gazette 4 Sep 2009 p. 3467.]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t>128.00</w:t>
            </w:r>
          </w:p>
        </w:tc>
        <w:tc>
          <w:tcPr>
            <w:tcW w:w="1240" w:type="dxa"/>
          </w:tcPr>
          <w:p>
            <w:pPr>
              <w:pStyle w:val="yTableNAm"/>
              <w:tabs>
                <w:tab w:val="clear" w:pos="567"/>
              </w:tabs>
              <w:ind w:right="204"/>
              <w:jc w:val="right"/>
            </w:pPr>
            <w:r>
              <w:t>256.00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yTableNAm"/>
              <w:tabs>
                <w:tab w:val="clear" w:pos="567"/>
              </w:tabs>
              <w:ind w:right="206"/>
              <w:jc w:val="right"/>
            </w:pPr>
            <w:r>
              <w:t>1 931.00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3 862.00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t>256.00</w:t>
            </w:r>
          </w:p>
        </w:tc>
        <w:tc>
          <w:tcPr>
            <w:tcW w:w="1240" w:type="dxa"/>
          </w:tcPr>
          <w:p>
            <w:pPr>
              <w:pStyle w:val="yTableNAm"/>
              <w:tabs>
                <w:tab w:val="clear" w:pos="567"/>
              </w:tabs>
              <w:ind w:right="204"/>
              <w:jc w:val="right"/>
            </w:pPr>
            <w:r>
              <w:br/>
            </w:r>
            <w:r>
              <w:br/>
            </w:r>
            <w:r>
              <w:br/>
            </w:r>
            <w:r>
              <w:br/>
              <w:t>386.00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t>180.50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t>270.00</w:t>
            </w:r>
          </w:p>
        </w:tc>
      </w:tr>
      <w:tr>
        <w:tc>
          <w:tcPr>
            <w:tcW w:w="709" w:type="dxa"/>
          </w:tcPr>
          <w:p>
            <w:pPr>
              <w:pStyle w:val="yTableNAm"/>
            </w:pPr>
            <w:r>
              <w:t>5.</w:t>
            </w:r>
          </w:p>
        </w:tc>
        <w:tc>
          <w:tcPr>
            <w:tcW w:w="3827" w:type="dxa"/>
          </w:tcPr>
          <w:p>
            <w:pPr>
              <w:pStyle w:val="yTableNAm"/>
              <w:tabs>
                <w:tab w:val="left" w:leader="dot" w:pos="4343"/>
              </w:tabs>
              <w:ind w:left="1081" w:hanging="1081"/>
            </w:pPr>
            <w:r>
              <w:t xml:space="preserve">Setting down fee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This fee is payable when the appeal book is filed.</w:t>
            </w:r>
          </w:p>
          <w:p>
            <w:pPr>
              <w:pStyle w:val="yTableNAm"/>
              <w:tabs>
                <w:tab w:val="clear" w:pos="567"/>
              </w:tabs>
              <w:ind w:left="481" w:hanging="481"/>
            </w:pPr>
            <w:r>
              <w:rPr>
                <w:sz w:val="20"/>
              </w:rPr>
              <w:t>(2)</w:t>
            </w:r>
            <w:r>
              <w:rPr>
                <w:sz w:val="20"/>
              </w:rPr>
              <w:tab/>
              <w:t>This fee includes the fee for the first day of hearing.</w:t>
            </w:r>
          </w:p>
        </w:tc>
        <w:tc>
          <w:tcPr>
            <w:tcW w:w="1276" w:type="dxa"/>
          </w:tcPr>
          <w:p>
            <w:pPr>
              <w:pStyle w:val="yTableNAm"/>
              <w:tabs>
                <w:tab w:val="clear" w:pos="567"/>
              </w:tabs>
              <w:ind w:right="206"/>
              <w:jc w:val="right"/>
            </w:pPr>
            <w:r>
              <w:t>643.00</w:t>
            </w:r>
          </w:p>
        </w:tc>
        <w:tc>
          <w:tcPr>
            <w:tcW w:w="1240" w:type="dxa"/>
          </w:tcPr>
          <w:p>
            <w:pPr>
              <w:pStyle w:val="yTableNAm"/>
              <w:tabs>
                <w:tab w:val="clear" w:pos="567"/>
              </w:tabs>
              <w:ind w:right="204"/>
              <w:jc w:val="right"/>
            </w:pPr>
            <w:r>
              <w:t>965.00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t>514.00</w:t>
            </w:r>
          </w:p>
        </w:tc>
        <w:tc>
          <w:tcPr>
            <w:tcW w:w="1240" w:type="dxa"/>
          </w:tcPr>
          <w:p>
            <w:pPr>
              <w:pStyle w:val="yTableNAm"/>
              <w:tabs>
                <w:tab w:val="clear" w:pos="567"/>
              </w:tabs>
              <w:ind w:right="204"/>
              <w:jc w:val="right"/>
            </w:pPr>
            <w:r>
              <w:br/>
              <w:t>1 028.00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This fee is not payable in relation to an application for, or to amend or cancel an interim order.</w:t>
            </w:r>
          </w:p>
          <w:p>
            <w:pPr>
              <w:pStyle w:val="yTableNAm"/>
              <w:tabs>
                <w:tab w:val="clear" w:pos="567"/>
              </w:tabs>
              <w:ind w:left="481" w:hanging="481"/>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ind w:left="481" w:hanging="481"/>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ind w:left="481" w:hanging="481"/>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t>514.00</w:t>
            </w:r>
          </w:p>
        </w:tc>
        <w:tc>
          <w:tcPr>
            <w:tcW w:w="1240" w:type="dxa"/>
          </w:tcPr>
          <w:p>
            <w:pPr>
              <w:pStyle w:val="yTableNAm"/>
              <w:tabs>
                <w:tab w:val="clear" w:pos="567"/>
              </w:tabs>
              <w:ind w:right="204"/>
              <w:jc w:val="right"/>
            </w:pPr>
            <w:r>
              <w:t>1 028.00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26.00</w:t>
            </w:r>
          </w:p>
        </w:tc>
        <w:tc>
          <w:tcPr>
            <w:tcW w:w="1240" w:type="dxa"/>
          </w:tcPr>
          <w:p>
            <w:pPr>
              <w:pStyle w:val="yTableNAm"/>
              <w:tabs>
                <w:tab w:val="clear" w:pos="567"/>
              </w:tabs>
              <w:ind w:right="204"/>
              <w:jc w:val="right"/>
            </w:pPr>
            <w:r>
              <w:br/>
            </w:r>
            <w:r>
              <w:br/>
              <w:t>26.00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9.00</w:t>
            </w:r>
          </w:p>
          <w:p>
            <w:pPr>
              <w:pStyle w:val="yTableNAm"/>
              <w:tabs>
                <w:tab w:val="clear" w:pos="567"/>
              </w:tabs>
              <w:ind w:right="204"/>
              <w:jc w:val="right"/>
            </w:pPr>
            <w:r>
              <w:br/>
            </w:r>
            <w:r>
              <w:br/>
              <w:t>1.15</w:t>
            </w:r>
          </w:p>
          <w:p>
            <w:pPr>
              <w:pStyle w:val="yTableNAm"/>
              <w:tabs>
                <w:tab w:val="clear" w:pos="567"/>
              </w:tabs>
              <w:ind w:right="204"/>
              <w:jc w:val="right"/>
            </w:pPr>
            <w:r>
              <w:br/>
            </w:r>
            <w:r>
              <w:br/>
              <w:t>12.50</w:t>
            </w:r>
          </w:p>
          <w:p>
            <w:pPr>
              <w:pStyle w:val="yTableNAm"/>
              <w:tabs>
                <w:tab w:val="clear" w:pos="567"/>
              </w:tabs>
              <w:ind w:right="204"/>
              <w:jc w:val="right"/>
            </w:pPr>
            <w:r>
              <w:br/>
              <w:t>27.00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t>12.50</w:t>
            </w:r>
          </w:p>
          <w:p>
            <w:pPr>
              <w:pStyle w:val="yTableNAm"/>
              <w:tabs>
                <w:tab w:val="clear" w:pos="567"/>
              </w:tabs>
              <w:ind w:right="206"/>
              <w:jc w:val="right"/>
            </w:pPr>
            <w:r>
              <w:br/>
            </w:r>
            <w:r>
              <w:br/>
            </w:r>
            <w:r>
              <w:br/>
            </w:r>
            <w:r>
              <w:br/>
            </w:r>
            <w:r>
              <w:br/>
              <w:t>1.50</w:t>
            </w:r>
          </w:p>
        </w:tc>
        <w:tc>
          <w:tcPr>
            <w:tcW w:w="1240" w:type="dxa"/>
          </w:tcPr>
          <w:p>
            <w:pPr>
              <w:pStyle w:val="yTableNAm"/>
              <w:tabs>
                <w:tab w:val="clear" w:pos="567"/>
              </w:tabs>
              <w:ind w:right="204"/>
              <w:jc w:val="right"/>
            </w:pPr>
            <w:r>
              <w:br/>
              <w:t>  5.05</w:t>
            </w:r>
          </w:p>
          <w:p>
            <w:pPr>
              <w:pStyle w:val="yTableNAm"/>
              <w:tabs>
                <w:tab w:val="clear" w:pos="567"/>
              </w:tabs>
              <w:ind w:right="204"/>
              <w:jc w:val="right"/>
            </w:pPr>
            <w:r>
              <w:br/>
            </w:r>
            <w:r>
              <w:br/>
            </w:r>
            <w:r>
              <w:br/>
            </w:r>
            <w:r>
              <w:br/>
              <w:t>12.50</w:t>
            </w:r>
          </w:p>
          <w:p>
            <w:pPr>
              <w:pStyle w:val="yTableNAm"/>
              <w:tabs>
                <w:tab w:val="clear" w:pos="567"/>
              </w:tabs>
              <w:ind w:right="204"/>
              <w:jc w:val="right"/>
            </w:pPr>
            <w:r>
              <w:br/>
            </w:r>
            <w:r>
              <w:br/>
            </w:r>
            <w:r>
              <w:br/>
            </w:r>
            <w:r>
              <w:br/>
            </w:r>
            <w:r>
              <w:br/>
              <w:t>1.50</w:t>
            </w:r>
          </w:p>
        </w:tc>
      </w:tr>
    </w:tbl>
    <w:p>
      <w:pPr>
        <w:pStyle w:val="yFootnotesection"/>
      </w:pPr>
      <w:r>
        <w:tab/>
        <w:t>[Division 2 inserted in Gazette 4 Sep 2009 p. 3467-70.]</w:t>
      </w:r>
    </w:p>
    <w:p>
      <w:pPr>
        <w:pStyle w:val="yScheduleHeading"/>
      </w:pPr>
      <w:bookmarkStart w:id="129" w:name="_Toc239758531"/>
      <w:bookmarkStart w:id="130" w:name="_Toc239761855"/>
      <w:bookmarkStart w:id="131" w:name="_Toc244330045"/>
      <w:r>
        <w:rPr>
          <w:rStyle w:val="CharSchNo"/>
        </w:rPr>
        <w:t>Schedule 2</w:t>
      </w:r>
      <w:r>
        <w:rPr>
          <w:rStyle w:val="CharSDivNo"/>
        </w:rPr>
        <w:t> </w:t>
      </w:r>
      <w:r>
        <w:t>—</w:t>
      </w:r>
      <w:r>
        <w:rPr>
          <w:rStyle w:val="CharSDivText"/>
        </w:rPr>
        <w:t> </w:t>
      </w:r>
      <w:r>
        <w:rPr>
          <w:rStyle w:val="CharSchText"/>
        </w:rPr>
        <w:t>Sheriff’s fees</w:t>
      </w:r>
      <w:bookmarkEnd w:id="129"/>
      <w:bookmarkEnd w:id="130"/>
      <w:bookmarkEnd w:id="131"/>
    </w:p>
    <w:p>
      <w:pPr>
        <w:pStyle w:val="yShoulderClause"/>
      </w:pPr>
      <w:r>
        <w:t>[r. 4]</w:t>
      </w:r>
    </w:p>
    <w:p>
      <w:pPr>
        <w:pStyle w:val="yFootnoteheading"/>
      </w:pPr>
      <w:r>
        <w:tab/>
        <w:t>[Heading inserted in Gazette 4 Sep 2009 p. 3470.]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ind w:left="481" w:hanging="481"/>
            </w:pPr>
            <w:r>
              <w:t>(a)</w:t>
            </w:r>
            <w:r>
              <w:tab/>
              <w:t xml:space="preserve">for arresting the person </w:t>
            </w:r>
            <w:r>
              <w:tab/>
            </w:r>
          </w:p>
          <w:p>
            <w:pPr>
              <w:pStyle w:val="yTableNAm"/>
              <w:tabs>
                <w:tab w:val="clear" w:pos="567"/>
                <w:tab w:val="left" w:leader="dot" w:pos="5041"/>
              </w:tabs>
              <w:ind w:left="481" w:hanging="481"/>
            </w:pPr>
            <w:r>
              <w:t>(b)</w:t>
            </w:r>
            <w:r>
              <w:tab/>
              <w:t xml:space="preserve">for conveying the person to a court or a custodial place and releasing the person from arrest or custody </w:t>
            </w:r>
            <w:r>
              <w:tab/>
            </w:r>
          </w:p>
          <w:p>
            <w:pPr>
              <w:pStyle w:val="yTableNAm"/>
              <w:tabs>
                <w:tab w:val="clear" w:pos="567"/>
                <w:tab w:val="left" w:leader="dot" w:pos="5041"/>
              </w:tabs>
              <w:ind w:left="481" w:hanging="481"/>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rPr>
                <w:sz w:val="20"/>
              </w:rPr>
            </w:pPr>
            <w:r>
              <w:rPr>
                <w:sz w:val="20"/>
              </w:rPr>
              <w:t xml:space="preserve">The fee under par. (a) includes — </w:t>
            </w:r>
          </w:p>
          <w:p>
            <w:pPr>
              <w:pStyle w:val="yTableNAm"/>
              <w:tabs>
                <w:tab w:val="clear" w:pos="567"/>
                <w:tab w:val="left" w:leader="dot" w:pos="5041"/>
              </w:tabs>
              <w:ind w:left="481" w:hanging="481"/>
              <w:rPr>
                <w:sz w:val="20"/>
              </w:rPr>
            </w:pPr>
            <w:r>
              <w:rPr>
                <w:sz w:val="20"/>
              </w:rPr>
              <w:t>(a)</w:t>
            </w:r>
            <w:r>
              <w:rPr>
                <w:sz w:val="20"/>
              </w:rPr>
              <w:tab/>
              <w:t>receipt of the warrant; and</w:t>
            </w:r>
          </w:p>
          <w:p>
            <w:pPr>
              <w:pStyle w:val="yTableNAm"/>
              <w:tabs>
                <w:tab w:val="clear" w:pos="567"/>
                <w:tab w:val="left" w:leader="dot" w:pos="5041"/>
              </w:tabs>
              <w:ind w:left="481" w:hanging="481"/>
              <w:rPr>
                <w:sz w:val="20"/>
              </w:rPr>
            </w:pPr>
            <w:r>
              <w:rPr>
                <w:sz w:val="20"/>
              </w:rPr>
              <w:t>(b)</w:t>
            </w:r>
            <w:r>
              <w:rPr>
                <w:sz w:val="20"/>
              </w:rPr>
              <w:tab/>
              <w:t>attendances and inquiries before attempting arrest; and</w:t>
            </w:r>
          </w:p>
          <w:p>
            <w:pPr>
              <w:pStyle w:val="yTableNAm"/>
              <w:tabs>
                <w:tab w:val="clear" w:pos="567"/>
                <w:tab w:val="left" w:leader="dot" w:pos="5041"/>
              </w:tabs>
              <w:ind w:left="481" w:hanging="481"/>
              <w:rPr>
                <w:sz w:val="20"/>
              </w:rPr>
            </w:pPr>
            <w:r>
              <w:rPr>
                <w:sz w:val="20"/>
              </w:rPr>
              <w:t>(c)</w:t>
            </w:r>
            <w:r>
              <w:rPr>
                <w:sz w:val="20"/>
              </w:rPr>
              <w:tab/>
              <w:t>giving any notice; and</w:t>
            </w:r>
          </w:p>
          <w:p>
            <w:pPr>
              <w:pStyle w:val="yTableNAm"/>
              <w:tabs>
                <w:tab w:val="clear" w:pos="567"/>
                <w:tab w:val="left" w:leader="dot" w:pos="5041"/>
              </w:tabs>
              <w:ind w:left="481" w:hanging="481"/>
            </w:pPr>
            <w:r>
              <w:rPr>
                <w:sz w:val="20"/>
              </w:rPr>
              <w:t>(d)</w:t>
            </w:r>
            <w:r>
              <w:rPr>
                <w:sz w:val="20"/>
              </w:rPr>
              <w:tab/>
              <w:t>making any report.</w:t>
            </w:r>
          </w:p>
        </w:tc>
        <w:tc>
          <w:tcPr>
            <w:tcW w:w="1382" w:type="dxa"/>
          </w:tcPr>
          <w:p>
            <w:pPr>
              <w:pStyle w:val="yTableNAm"/>
              <w:ind w:right="246"/>
              <w:jc w:val="right"/>
            </w:pPr>
          </w:p>
          <w:p>
            <w:pPr>
              <w:pStyle w:val="yTableNAm"/>
              <w:ind w:right="246"/>
              <w:jc w:val="right"/>
            </w:pPr>
            <w:r>
              <w:t>81.50</w:t>
            </w:r>
          </w:p>
          <w:p>
            <w:pPr>
              <w:pStyle w:val="yTableNAm"/>
              <w:ind w:right="246"/>
              <w:jc w:val="right"/>
            </w:pPr>
            <w:r>
              <w:br/>
            </w:r>
            <w:r>
              <w:br/>
              <w:t>81.50</w:t>
            </w:r>
          </w:p>
          <w:p>
            <w:pPr>
              <w:pStyle w:val="yTableNAm"/>
              <w:ind w:right="246"/>
              <w:jc w:val="right"/>
            </w:pPr>
            <w:r>
              <w:br/>
            </w:r>
            <w:r>
              <w:br/>
            </w:r>
            <w:r>
              <w:br/>
            </w:r>
            <w:r>
              <w:br/>
              <w:t>21.50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44.50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43.00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138.50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w:t>
      </w:r>
    </w:p>
    <w:p>
      <w:pPr>
        <w:pStyle w:val="yScheduleHeading"/>
      </w:pPr>
      <w:bookmarkStart w:id="132" w:name="_Toc239758532"/>
      <w:bookmarkStart w:id="133" w:name="_Toc239761856"/>
      <w:bookmarkStart w:id="134" w:name="_Toc244330046"/>
      <w:r>
        <w:rPr>
          <w:rStyle w:val="CharSchNo"/>
        </w:rPr>
        <w:t>Schedule 3</w:t>
      </w:r>
      <w:r>
        <w:t> — </w:t>
      </w:r>
      <w:r>
        <w:rPr>
          <w:rStyle w:val="CharSchText"/>
        </w:rPr>
        <w:t>Probate fees</w:t>
      </w:r>
      <w:bookmarkEnd w:id="132"/>
      <w:bookmarkEnd w:id="133"/>
      <w:bookmarkEnd w:id="134"/>
    </w:p>
    <w:p>
      <w:pPr>
        <w:pStyle w:val="yShoulderClause"/>
      </w:pPr>
      <w:r>
        <w:t>[r. 4]</w:t>
      </w:r>
    </w:p>
    <w:p>
      <w:pPr>
        <w:pStyle w:val="yFootnoteheading"/>
      </w:pPr>
      <w:r>
        <w:tab/>
        <w:t>[Heading inserted in Gazette 4 Sep 2009 p. 3471.]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51.50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51.50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12.50</w:t>
            </w:r>
          </w:p>
        </w:tc>
      </w:tr>
      <w:tr>
        <w:tc>
          <w:tcPr>
            <w:tcW w:w="709" w:type="dxa"/>
          </w:tcPr>
          <w:p>
            <w:pPr>
              <w:pStyle w:val="yTableNAm"/>
            </w:pPr>
            <w:r>
              <w:t>5.</w:t>
            </w:r>
          </w:p>
        </w:tc>
        <w:tc>
          <w:tcPr>
            <w:tcW w:w="4961" w:type="dxa"/>
          </w:tcPr>
          <w:p>
            <w:pPr>
              <w:pStyle w:val="yTableNAm"/>
              <w:ind w:left="601" w:hanging="601"/>
            </w:pPr>
            <w:r>
              <w:t>(a)</w:t>
            </w:r>
            <w:r>
              <w:tab/>
              <w:t xml:space="preserve">For an exemplification of a grant (in addition to the fee payable under item 4(a)); </w:t>
            </w:r>
          </w:p>
          <w:p>
            <w:pPr>
              <w:pStyle w:val="yTableNAm"/>
              <w:tabs>
                <w:tab w:val="left" w:leader="dot" w:pos="5041"/>
              </w:tabs>
              <w:ind w:left="601" w:hanging="601"/>
            </w:pPr>
            <w:r>
              <w:t>(b)</w:t>
            </w:r>
            <w:r>
              <w:tab/>
              <w:t xml:space="preserve">For settling and sealing a citation or a subpoena </w:t>
            </w:r>
            <w:r>
              <w:tab/>
            </w:r>
          </w:p>
        </w:tc>
        <w:tc>
          <w:tcPr>
            <w:tcW w:w="1382" w:type="dxa"/>
          </w:tcPr>
          <w:p>
            <w:pPr>
              <w:pStyle w:val="yTableNAm"/>
              <w:ind w:right="246"/>
              <w:jc w:val="right"/>
            </w:pPr>
            <w:r>
              <w:br/>
            </w:r>
          </w:p>
          <w:p>
            <w:pPr>
              <w:pStyle w:val="yTableNAm"/>
              <w:ind w:right="246"/>
              <w:jc w:val="right"/>
            </w:pPr>
            <w:r>
              <w:br/>
              <w:t>64.00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26.00</w:t>
            </w:r>
          </w:p>
        </w:tc>
      </w:tr>
    </w:tbl>
    <w:p>
      <w:pPr>
        <w:pStyle w:val="yFootnotesection"/>
      </w:pPr>
      <w:r>
        <w:tab/>
        <w:t>[Schedule 3 inserted in Gazette 4 Sep 2009 p. 3471-2.]</w:t>
      </w:r>
    </w:p>
    <w:p>
      <w:pPr>
        <w:pStyle w:val="yScheduleHeading"/>
      </w:pPr>
      <w:bookmarkStart w:id="135" w:name="_Toc239758533"/>
      <w:bookmarkStart w:id="136" w:name="_Toc239761857"/>
      <w:bookmarkStart w:id="137" w:name="_Toc244330047"/>
      <w:r>
        <w:rPr>
          <w:rStyle w:val="CharSchNo"/>
        </w:rPr>
        <w:t>Schedule 4</w:t>
      </w:r>
      <w:r>
        <w:t xml:space="preserve"> — </w:t>
      </w:r>
      <w:r>
        <w:rPr>
          <w:rStyle w:val="CharSchText"/>
        </w:rPr>
        <w:t>Forms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35"/>
      <w:bookmarkEnd w:id="136"/>
      <w:bookmarkEnd w:id="137"/>
    </w:p>
    <w:p>
      <w:pPr>
        <w:pStyle w:val="yShoulderClause"/>
        <w:spacing w:after="120"/>
      </w:pPr>
      <w:r>
        <w:t xml:space="preserve">[r. </w:t>
      </w:r>
      <w:bookmarkStart w:id="138" w:name="_Hlt533327436"/>
      <w:r>
        <w:t>4(7)</w:t>
      </w:r>
      <w:bookmarkEnd w:id="138"/>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right="204" w:firstLine="0"/>
        <w:jc w:val="righ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9" w:name="_Toc102891015"/>
      <w:bookmarkStart w:id="140" w:name="_Toc107626250"/>
      <w:bookmarkStart w:id="141" w:name="_Toc139175210"/>
      <w:bookmarkStart w:id="142" w:name="_Toc139365941"/>
      <w:bookmarkStart w:id="143" w:name="_Toc141847812"/>
      <w:bookmarkStart w:id="144" w:name="_Toc142382646"/>
      <w:bookmarkStart w:id="145" w:name="_Toc144009329"/>
      <w:bookmarkStart w:id="146" w:name="_Toc144009445"/>
      <w:bookmarkStart w:id="147" w:name="_Toc144010743"/>
      <w:bookmarkStart w:id="148" w:name="_Toc144616507"/>
      <w:bookmarkStart w:id="149" w:name="_Toc145814170"/>
      <w:bookmarkStart w:id="150" w:name="_Toc170790396"/>
      <w:bookmarkStart w:id="151" w:name="_Toc171051026"/>
      <w:bookmarkStart w:id="152" w:name="_Toc202265392"/>
      <w:bookmarkStart w:id="153" w:name="_Toc232310904"/>
      <w:bookmarkStart w:id="154" w:name="_Toc239758534"/>
      <w:bookmarkStart w:id="155" w:name="_Toc239761858"/>
      <w:bookmarkStart w:id="156" w:name="_Toc244330048"/>
      <w:r>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57" w:name="_Toc244330049"/>
      <w:r>
        <w:t>Compilation table</w:t>
      </w:r>
      <w:bookmarkEnd w:id="157"/>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88" w:type="dxa"/>
            <w:gridSpan w:val="2"/>
          </w:tcPr>
          <w:p>
            <w:pPr>
              <w:pStyle w:val="nTable"/>
              <w:spacing w:after="40"/>
              <w:rPr>
                <w:sz w:val="19"/>
              </w:rPr>
            </w:pPr>
            <w:r>
              <w:rPr>
                <w:sz w:val="19"/>
              </w:rPr>
              <w:t>8 Feb 2008 p. 313-14</w:t>
            </w:r>
          </w:p>
        </w:tc>
        <w:tc>
          <w:tcPr>
            <w:tcW w:w="2687" w:type="dxa"/>
          </w:tcPr>
          <w:p>
            <w:pPr>
              <w:pStyle w:val="nTable"/>
              <w:spacing w:after="40"/>
              <w:rPr>
                <w:sz w:val="19"/>
              </w:rPr>
            </w:pPr>
            <w:r>
              <w:rPr>
                <w:sz w:val="19"/>
              </w:rPr>
              <w:t>r. 1 and 2: 8 Feb 2008 (see r. 2(a));</w:t>
            </w:r>
          </w:p>
          <w:p>
            <w:pPr>
              <w:pStyle w:val="nTable"/>
              <w:spacing w:before="0" w:after="40"/>
              <w:rPr>
                <w:sz w:val="19"/>
              </w:rPr>
            </w:pPr>
            <w:r>
              <w:rPr>
                <w:sz w:val="19"/>
              </w:rPr>
              <w:t xml:space="preserve">Regulations other than r. 1 and 2: 9 Feb 2008 (see r. 2(b) and </w:t>
            </w:r>
            <w:r>
              <w:rPr>
                <w:i/>
                <w:iCs/>
                <w:sz w:val="19"/>
              </w:rPr>
              <w:t>Gazette</w:t>
            </w:r>
            <w:r>
              <w:rPr>
                <w:sz w:val="19"/>
              </w:rPr>
              <w:t xml:space="preserve"> 8 Feb 2008 p. 313)</w:t>
            </w:r>
          </w:p>
        </w:tc>
      </w:tr>
      <w:tr>
        <w:trPr>
          <w:cantSplit/>
        </w:trPr>
        <w:tc>
          <w:tcPr>
            <w:tcW w:w="3122" w:type="dxa"/>
          </w:tcPr>
          <w:p>
            <w:pPr>
              <w:pStyle w:val="nTable"/>
              <w:spacing w:after="40"/>
              <w:ind w:right="113"/>
              <w:rPr>
                <w:i/>
                <w:sz w:val="19"/>
              </w:rPr>
            </w:pPr>
            <w:r>
              <w:rPr>
                <w:i/>
                <w:sz w:val="19"/>
              </w:rPr>
              <w:t>Supreme Court (Fees) Amendment Regulations (No. 2) 2008</w:t>
            </w:r>
          </w:p>
        </w:tc>
        <w:tc>
          <w:tcPr>
            <w:tcW w:w="1288" w:type="dxa"/>
            <w:gridSpan w:val="2"/>
          </w:tcPr>
          <w:p>
            <w:pPr>
              <w:pStyle w:val="nTable"/>
              <w:spacing w:after="40"/>
              <w:rPr>
                <w:sz w:val="19"/>
              </w:rPr>
            </w:pPr>
            <w:r>
              <w:rPr>
                <w:sz w:val="19"/>
              </w:rPr>
              <w:t>27 Jun 2008 p. 3059-62</w:t>
            </w:r>
          </w:p>
        </w:tc>
        <w:tc>
          <w:tcPr>
            <w:tcW w:w="2687"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3122" w:type="dxa"/>
          </w:tcPr>
          <w:p>
            <w:pPr>
              <w:pStyle w:val="nTable"/>
              <w:spacing w:after="40"/>
              <w:ind w:right="113"/>
              <w:rPr>
                <w:i/>
                <w:sz w:val="19"/>
              </w:rPr>
            </w:pPr>
            <w:r>
              <w:rPr>
                <w:i/>
                <w:sz w:val="19"/>
              </w:rPr>
              <w:t>Supreme Court (Fees) Amendment Regulations 2009</w:t>
            </w:r>
          </w:p>
        </w:tc>
        <w:tc>
          <w:tcPr>
            <w:tcW w:w="1288" w:type="dxa"/>
            <w:gridSpan w:val="2"/>
          </w:tcPr>
          <w:p>
            <w:pPr>
              <w:pStyle w:val="nTable"/>
              <w:spacing w:after="40"/>
              <w:rPr>
                <w:sz w:val="19"/>
              </w:rPr>
            </w:pPr>
            <w:r>
              <w:rPr>
                <w:sz w:val="19"/>
              </w:rPr>
              <w:t>9 Jun 2009 p. 1921</w:t>
            </w:r>
            <w:r>
              <w:rPr>
                <w:sz w:val="19"/>
              </w:rPr>
              <w:noBreakHyphen/>
              <w:t>2</w:t>
            </w:r>
          </w:p>
        </w:tc>
        <w:tc>
          <w:tcPr>
            <w:tcW w:w="2687" w:type="dxa"/>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(No. 2) 2009</w:t>
            </w:r>
          </w:p>
        </w:tc>
        <w:tc>
          <w:tcPr>
            <w:tcW w:w="1288" w:type="dxa"/>
            <w:gridSpan w:val="2"/>
            <w:tcBorders>
              <w:bottom w:val="single" w:sz="8" w:space="0" w:color="auto"/>
            </w:tcBorders>
          </w:tcPr>
          <w:p>
            <w:pPr>
              <w:pStyle w:val="nTable"/>
              <w:spacing w:after="40"/>
              <w:rPr>
                <w:sz w:val="19"/>
              </w:rPr>
            </w:pPr>
            <w:r>
              <w:rPr>
                <w:sz w:val="19"/>
              </w:rPr>
              <w:t>4 Sep 2009 p. 3461-72</w:t>
            </w:r>
          </w:p>
        </w:tc>
        <w:tc>
          <w:tcPr>
            <w:tcW w:w="2687"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8FF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A29F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0A2F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E6A0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E8AA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6D04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FC63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B0F8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36A5CA"/>
    <w:lvl w:ilvl="0">
      <w:start w:val="1"/>
      <w:numFmt w:val="decimal"/>
      <w:pStyle w:val="ListNumber"/>
      <w:lvlText w:val="%1."/>
      <w:lvlJc w:val="left"/>
      <w:pPr>
        <w:tabs>
          <w:tab w:val="num" w:pos="360"/>
        </w:tabs>
        <w:ind w:left="360" w:hanging="360"/>
      </w:pPr>
    </w:lvl>
  </w:abstractNum>
  <w:abstractNum w:abstractNumId="9">
    <w:nsid w:val="FFFFFF89"/>
    <w:multiLevelType w:val="singleLevel"/>
    <w:tmpl w:val="7EEEF3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3A03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A2CC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33"/>
    <w:docVar w:name="WAFER_20151210160633" w:val="RemoveTrackChanges"/>
    <w:docVar w:name="WAFER_20151210160633_GUID" w:val="2a40c6a1-37ec-4ab7-9750-03cae6474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7715</Words>
  <Characters>39578</Characters>
  <Application>Microsoft Office Word</Application>
  <DocSecurity>0</DocSecurity>
  <Lines>1799</Lines>
  <Paragraphs>927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2002 - 01-f0-04</dc:title>
  <dc:subject/>
  <dc:creator/>
  <cp:keywords/>
  <dc:description/>
  <cp:lastModifiedBy>svcMRProcess</cp:lastModifiedBy>
  <cp:revision>4</cp:revision>
  <cp:lastPrinted>2009-09-03T07:58:00Z</cp:lastPrinted>
  <dcterms:created xsi:type="dcterms:W3CDTF">2018-09-16T21:36:00Z</dcterms:created>
  <dcterms:modified xsi:type="dcterms:W3CDTF">2018-09-16T21:36:00Z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3576</vt:i4>
  </property>
  <property fmtid="{D5CDD505-2E9C-101B-9397-08002B2CF9AE}" pid="6" name="ReprintNo">
    <vt:lpwstr>1</vt:lpwstr>
  </property>
  <property fmtid="{D5CDD505-2E9C-101B-9397-08002B2CF9AE}" pid="7" name="AsAtDate">
    <vt:lpwstr>05 Sep 2009</vt:lpwstr>
  </property>
  <property fmtid="{D5CDD505-2E9C-101B-9397-08002B2CF9AE}" pid="8" name="Suffix">
    <vt:lpwstr>01-f0-04</vt:lpwstr>
  </property>
</Properties>
</file>