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Bills of Sale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Bills of Sale Act 1899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_Toc241048325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Date of coming into operation</w:t>
      </w:r>
      <w:r>
        <w:tab/>
      </w:r>
      <w:r>
        <w:fldChar w:fldCharType="begin"/>
      </w:r>
      <w:r>
        <w:instrText xml:space="preserve"> PAGEREF _Toc241048326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_Toc241048327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_Toc241048328 \h </w:instrText>
      </w:r>
      <w:r>
        <w:fldChar w:fldCharType="separate"/>
      </w:r>
      <w:r>
        <w:t>3</w:t>
      </w:r>
      <w:r>
        <w:fldChar w:fldCharType="end"/>
      </w:r>
    </w:p>
    <w:p>
      <w:pPr>
        <w:pStyle w:val="TOC2"/>
        <w:tabs>
          <w:tab w:val="right" w:leader="dot" w:pos="7086"/>
        </w:tabs>
        <w:rPr>
          <w:b w:val="0"/>
          <w:sz w:val="24"/>
          <w:szCs w:val="24"/>
        </w:rPr>
      </w:pPr>
      <w:r>
        <w:rPr>
          <w:szCs w:val="30"/>
        </w:rPr>
        <w:t>Part II — Registration</w:t>
      </w:r>
    </w:p>
    <w:p>
      <w:pPr>
        <w:pStyle w:val="TOC8"/>
        <w:rPr>
          <w:sz w:val="24"/>
          <w:szCs w:val="24"/>
        </w:rPr>
      </w:pPr>
      <w:r>
        <w:rPr>
          <w:szCs w:val="24"/>
        </w:rPr>
        <w:t>6</w:t>
      </w:r>
      <w:r>
        <w:rPr>
          <w:snapToGrid w:val="0"/>
          <w:szCs w:val="24"/>
        </w:rPr>
        <w:t>.</w:t>
      </w:r>
      <w:r>
        <w:rPr>
          <w:snapToGrid w:val="0"/>
          <w:szCs w:val="24"/>
        </w:rPr>
        <w:tab/>
        <w:t>Bill of sale to contain names and addresses of parties</w:t>
      </w:r>
      <w:r>
        <w:tab/>
      </w:r>
      <w:r>
        <w:fldChar w:fldCharType="begin"/>
      </w:r>
      <w:r>
        <w:instrText xml:space="preserve"> PAGEREF _Toc241048330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Future crops and progeny of stock may be included in bill of sale</w:t>
      </w:r>
      <w:r>
        <w:tab/>
      </w:r>
      <w:r>
        <w:fldChar w:fldCharType="begin"/>
      </w:r>
      <w:r>
        <w:instrText xml:space="preserve"> PAGEREF _Toc241048331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Legal interest in future and after acquired chattels to be deemed to pass to grantee of bill of sale</w:t>
      </w:r>
      <w:r>
        <w:tab/>
      </w:r>
      <w:r>
        <w:fldChar w:fldCharType="begin"/>
      </w:r>
      <w:r>
        <w:instrText xml:space="preserve"> PAGEREF _Toc241048332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Execution and registration of bill of sale</w:t>
      </w:r>
      <w:r>
        <w:tab/>
      </w:r>
      <w:r>
        <w:fldChar w:fldCharType="begin"/>
      </w:r>
      <w:r>
        <w:instrText xml:space="preserve"> PAGEREF _Toc241048333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Periods for registration</w:t>
      </w:r>
      <w:r>
        <w:tab/>
      </w:r>
      <w:r>
        <w:fldChar w:fldCharType="begin"/>
      </w:r>
      <w:r>
        <w:instrText xml:space="preserve"> PAGEREF _Toc241048334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Registrar shall file and register and keep “Register Book”</w:t>
      </w:r>
      <w:r>
        <w:tab/>
      </w:r>
      <w:r>
        <w:fldChar w:fldCharType="begin"/>
      </w:r>
      <w:r>
        <w:instrText xml:space="preserve"> PAGEREF _Toc241048335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Judge may extend time or amend error</w:t>
      </w:r>
      <w:r>
        <w:tab/>
      </w:r>
      <w:r>
        <w:fldChar w:fldCharType="begin"/>
      </w:r>
      <w:r>
        <w:instrText xml:space="preserve"> PAGEREF _Toc241048336 \h </w:instrText>
      </w:r>
      <w:r>
        <w:fldChar w:fldCharType="separate"/>
      </w:r>
      <w:r>
        <w:t>11</w:t>
      </w:r>
      <w:r>
        <w:fldChar w:fldCharType="end"/>
      </w:r>
    </w:p>
    <w:p>
      <w:pPr>
        <w:pStyle w:val="TOC8"/>
        <w:rPr>
          <w:sz w:val="24"/>
          <w:szCs w:val="24"/>
        </w:rPr>
      </w:pPr>
      <w:r>
        <w:rPr>
          <w:szCs w:val="24"/>
        </w:rPr>
        <w:t>13A</w:t>
      </w:r>
      <w:r>
        <w:rPr>
          <w:snapToGrid w:val="0"/>
          <w:szCs w:val="24"/>
        </w:rPr>
        <w:t>.</w:t>
      </w:r>
      <w:r>
        <w:rPr>
          <w:snapToGrid w:val="0"/>
          <w:szCs w:val="24"/>
        </w:rPr>
        <w:tab/>
        <w:t>Power of Registrar to extend time for registration or renewal of registration of a bill of sale</w:t>
      </w:r>
      <w:r>
        <w:tab/>
      </w:r>
      <w:r>
        <w:fldChar w:fldCharType="begin"/>
      </w:r>
      <w:r>
        <w:instrText xml:space="preserve"> PAGEREF _Toc241048337 \h </w:instrText>
      </w:r>
      <w:r>
        <w:fldChar w:fldCharType="separate"/>
      </w:r>
      <w:r>
        <w:t>12</w:t>
      </w:r>
      <w:r>
        <w:fldChar w:fldCharType="end"/>
      </w:r>
    </w:p>
    <w:p>
      <w:pPr>
        <w:pStyle w:val="TOC2"/>
        <w:tabs>
          <w:tab w:val="right" w:leader="dot" w:pos="7086"/>
        </w:tabs>
        <w:rPr>
          <w:b w:val="0"/>
          <w:sz w:val="24"/>
          <w:szCs w:val="24"/>
        </w:rPr>
      </w:pPr>
      <w:r>
        <w:rPr>
          <w:szCs w:val="30"/>
        </w:rPr>
        <w:t>Part III — Renewal of registration</w:t>
      </w:r>
    </w:p>
    <w:p>
      <w:pPr>
        <w:pStyle w:val="TOC8"/>
        <w:rPr>
          <w:sz w:val="24"/>
          <w:szCs w:val="24"/>
        </w:rPr>
      </w:pPr>
      <w:r>
        <w:rPr>
          <w:szCs w:val="24"/>
        </w:rPr>
        <w:t>14</w:t>
      </w:r>
      <w:r>
        <w:rPr>
          <w:snapToGrid w:val="0"/>
          <w:szCs w:val="24"/>
        </w:rPr>
        <w:t>.</w:t>
      </w:r>
      <w:r>
        <w:rPr>
          <w:snapToGrid w:val="0"/>
          <w:szCs w:val="24"/>
        </w:rPr>
        <w:tab/>
        <w:t>Time for renewal</w:t>
      </w:r>
      <w:r>
        <w:tab/>
      </w:r>
      <w:r>
        <w:fldChar w:fldCharType="begin"/>
      </w:r>
      <w:r>
        <w:instrText xml:space="preserve"> PAGEREF _Toc241048339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If not renewed document void</w:t>
      </w:r>
      <w:r>
        <w:tab/>
      </w:r>
      <w:r>
        <w:fldChar w:fldCharType="begin"/>
      </w:r>
      <w:r>
        <w:instrText xml:space="preserve"> PAGEREF _Toc241048340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Mode of renewal</w:t>
      </w:r>
      <w:r>
        <w:tab/>
      </w:r>
      <w:r>
        <w:fldChar w:fldCharType="begin"/>
      </w:r>
      <w:r>
        <w:instrText xml:space="preserve"> PAGEREF _Toc241048341 \h </w:instrText>
      </w:r>
      <w:r>
        <w:fldChar w:fldCharType="separate"/>
      </w:r>
      <w:r>
        <w:t>14</w:t>
      </w:r>
      <w:r>
        <w:fldChar w:fldCharType="end"/>
      </w:r>
    </w:p>
    <w:p>
      <w:pPr>
        <w:pStyle w:val="TOC8"/>
        <w:rPr>
          <w:sz w:val="24"/>
          <w:szCs w:val="24"/>
        </w:rPr>
      </w:pPr>
      <w:r>
        <w:rPr>
          <w:szCs w:val="24"/>
        </w:rPr>
        <w:t>16A</w:t>
      </w:r>
      <w:r>
        <w:rPr>
          <w:snapToGrid w:val="0"/>
          <w:szCs w:val="24"/>
        </w:rPr>
        <w:t>.</w:t>
      </w:r>
      <w:r>
        <w:rPr>
          <w:snapToGrid w:val="0"/>
          <w:szCs w:val="24"/>
        </w:rPr>
        <w:tab/>
        <w:t>Affidavit under section 16 may be made by attorney</w:t>
      </w:r>
      <w:r>
        <w:tab/>
      </w:r>
      <w:r>
        <w:fldChar w:fldCharType="begin"/>
      </w:r>
      <w:r>
        <w:instrText xml:space="preserve"> PAGEREF _Toc241048342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Registration of renewal</w:t>
      </w:r>
      <w:r>
        <w:tab/>
      </w:r>
      <w:r>
        <w:fldChar w:fldCharType="begin"/>
      </w:r>
      <w:r>
        <w:instrText xml:space="preserve"> PAGEREF _Toc241048343 \h </w:instrText>
      </w:r>
      <w:r>
        <w:fldChar w:fldCharType="separate"/>
      </w:r>
      <w:r>
        <w:t>15</w:t>
      </w:r>
      <w:r>
        <w:fldChar w:fldCharType="end"/>
      </w:r>
    </w:p>
    <w:p>
      <w:pPr>
        <w:pStyle w:val="TOC2"/>
        <w:tabs>
          <w:tab w:val="right" w:leader="dot" w:pos="7086"/>
        </w:tabs>
        <w:rPr>
          <w:b w:val="0"/>
          <w:sz w:val="24"/>
          <w:szCs w:val="24"/>
        </w:rPr>
      </w:pPr>
      <w:r>
        <w:rPr>
          <w:szCs w:val="30"/>
        </w:rPr>
        <w:t>Part IV — Bills of sale by way of security</w:t>
      </w:r>
    </w:p>
    <w:p>
      <w:pPr>
        <w:pStyle w:val="TOC8"/>
        <w:rPr>
          <w:sz w:val="24"/>
          <w:szCs w:val="24"/>
        </w:rPr>
      </w:pPr>
      <w:r>
        <w:rPr>
          <w:szCs w:val="24"/>
        </w:rPr>
        <w:t>17A</w:t>
      </w:r>
      <w:r>
        <w:rPr>
          <w:snapToGrid w:val="0"/>
          <w:szCs w:val="24"/>
        </w:rPr>
        <w:t>.</w:t>
      </w:r>
      <w:r>
        <w:rPr>
          <w:snapToGrid w:val="0"/>
          <w:szCs w:val="24"/>
        </w:rPr>
        <w:tab/>
        <w:t>Interpretation</w:t>
      </w:r>
      <w:r>
        <w:tab/>
      </w:r>
      <w:r>
        <w:fldChar w:fldCharType="begin"/>
      </w:r>
      <w:r>
        <w:instrText xml:space="preserve"> PAGEREF _Toc241048345 \h </w:instrText>
      </w:r>
      <w:r>
        <w:fldChar w:fldCharType="separate"/>
      </w:r>
      <w:r>
        <w:t>16</w:t>
      </w:r>
      <w:r>
        <w:fldChar w:fldCharType="end"/>
      </w:r>
    </w:p>
    <w:p>
      <w:pPr>
        <w:pStyle w:val="TOC8"/>
        <w:rPr>
          <w:sz w:val="24"/>
          <w:szCs w:val="24"/>
        </w:rPr>
      </w:pPr>
      <w:r>
        <w:rPr>
          <w:szCs w:val="24"/>
        </w:rPr>
        <w:t>17R</w:t>
      </w:r>
      <w:r>
        <w:rPr>
          <w:snapToGrid w:val="0"/>
          <w:szCs w:val="24"/>
        </w:rPr>
        <w:t>.</w:t>
      </w:r>
      <w:r>
        <w:rPr>
          <w:snapToGrid w:val="0"/>
          <w:szCs w:val="24"/>
        </w:rPr>
        <w:tab/>
        <w:t>Form of bill of sale — Tenth Schedule</w:t>
      </w:r>
      <w:r>
        <w:tab/>
      </w:r>
      <w:r>
        <w:fldChar w:fldCharType="begin"/>
      </w:r>
      <w:r>
        <w:instrText xml:space="preserve"> PAGEREF _Toc241048346 \h </w:instrText>
      </w:r>
      <w:r>
        <w:fldChar w:fldCharType="separate"/>
      </w:r>
      <w:r>
        <w:t>16</w:t>
      </w:r>
      <w:r>
        <w:fldChar w:fldCharType="end"/>
      </w:r>
    </w:p>
    <w:p>
      <w:pPr>
        <w:pStyle w:val="TOC8"/>
        <w:rPr>
          <w:sz w:val="24"/>
          <w:szCs w:val="24"/>
        </w:rPr>
      </w:pPr>
      <w:r>
        <w:rPr>
          <w:szCs w:val="24"/>
        </w:rPr>
        <w:t>17S</w:t>
      </w:r>
      <w:r>
        <w:rPr>
          <w:snapToGrid w:val="0"/>
          <w:szCs w:val="24"/>
        </w:rPr>
        <w:t>.</w:t>
      </w:r>
      <w:r>
        <w:rPr>
          <w:snapToGrid w:val="0"/>
          <w:szCs w:val="24"/>
        </w:rPr>
        <w:tab/>
        <w:t>Implied covenants — Eleventh Schedule</w:t>
      </w:r>
      <w:r>
        <w:tab/>
      </w:r>
      <w:r>
        <w:fldChar w:fldCharType="begin"/>
      </w:r>
      <w:r>
        <w:instrText xml:space="preserve"> PAGEREF _Toc241048347 \h </w:instrText>
      </w:r>
      <w:r>
        <w:fldChar w:fldCharType="separate"/>
      </w:r>
      <w:r>
        <w:t>16</w:t>
      </w:r>
      <w:r>
        <w:fldChar w:fldCharType="end"/>
      </w:r>
    </w:p>
    <w:p>
      <w:pPr>
        <w:pStyle w:val="TOC2"/>
        <w:tabs>
          <w:tab w:val="right" w:leader="dot" w:pos="7086"/>
        </w:tabs>
        <w:rPr>
          <w:b w:val="0"/>
          <w:sz w:val="24"/>
          <w:szCs w:val="24"/>
        </w:rPr>
      </w:pPr>
      <w:r>
        <w:rPr>
          <w:szCs w:val="30"/>
        </w:rPr>
        <w:t>Part V — Searches and office copies</w:t>
      </w:r>
    </w:p>
    <w:p>
      <w:pPr>
        <w:pStyle w:val="TOC8"/>
        <w:rPr>
          <w:sz w:val="24"/>
          <w:szCs w:val="24"/>
        </w:rPr>
      </w:pPr>
      <w:r>
        <w:rPr>
          <w:szCs w:val="24"/>
        </w:rPr>
        <w:t>18</w:t>
      </w:r>
      <w:r>
        <w:rPr>
          <w:snapToGrid w:val="0"/>
          <w:szCs w:val="24"/>
        </w:rPr>
        <w:t>.</w:t>
      </w:r>
      <w:r>
        <w:rPr>
          <w:snapToGrid w:val="0"/>
          <w:szCs w:val="24"/>
        </w:rPr>
        <w:tab/>
        <w:t>Search may be made of records</w:t>
      </w:r>
      <w:r>
        <w:tab/>
      </w:r>
      <w:r>
        <w:fldChar w:fldCharType="begin"/>
      </w:r>
      <w:r>
        <w:instrText xml:space="preserve"> PAGEREF _Toc241048349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Office copy or extract to be given</w:t>
      </w:r>
      <w:r>
        <w:tab/>
      </w:r>
      <w:r>
        <w:fldChar w:fldCharType="begin"/>
      </w:r>
      <w:r>
        <w:instrText xml:space="preserve"> PAGEREF _Toc241048350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 xml:space="preserve">Registration to be </w:t>
      </w:r>
      <w:r>
        <w:rPr>
          <w:i/>
          <w:snapToGrid w:val="0"/>
          <w:szCs w:val="24"/>
        </w:rPr>
        <w:t>prima facie</w:t>
      </w:r>
      <w:r>
        <w:rPr>
          <w:snapToGrid w:val="0"/>
          <w:szCs w:val="24"/>
        </w:rPr>
        <w:t xml:space="preserve"> evidence of due execution, etc.</w:t>
      </w:r>
      <w:r>
        <w:tab/>
      </w:r>
      <w:r>
        <w:fldChar w:fldCharType="begin"/>
      </w:r>
      <w:r>
        <w:instrText xml:space="preserve"> PAGEREF _Toc241048351 \h </w:instrText>
      </w:r>
      <w:r>
        <w:fldChar w:fldCharType="separate"/>
      </w:r>
      <w:r>
        <w:t>18</w:t>
      </w:r>
      <w:r>
        <w:fldChar w:fldCharType="end"/>
      </w:r>
    </w:p>
    <w:p>
      <w:pPr>
        <w:pStyle w:val="TOC2"/>
        <w:tabs>
          <w:tab w:val="right" w:leader="dot" w:pos="7086"/>
        </w:tabs>
        <w:rPr>
          <w:b w:val="0"/>
          <w:sz w:val="24"/>
          <w:szCs w:val="24"/>
        </w:rPr>
      </w:pPr>
      <w:r>
        <w:rPr>
          <w:szCs w:val="30"/>
        </w:rPr>
        <w:t>Part VI — Entry of satisfaction</w:t>
      </w:r>
    </w:p>
    <w:p>
      <w:pPr>
        <w:pStyle w:val="TOC8"/>
        <w:rPr>
          <w:sz w:val="24"/>
          <w:szCs w:val="24"/>
        </w:rPr>
      </w:pPr>
      <w:r>
        <w:rPr>
          <w:szCs w:val="24"/>
        </w:rPr>
        <w:t>21</w:t>
      </w:r>
      <w:r>
        <w:rPr>
          <w:snapToGrid w:val="0"/>
          <w:szCs w:val="24"/>
        </w:rPr>
        <w:t>.</w:t>
      </w:r>
      <w:r>
        <w:rPr>
          <w:snapToGrid w:val="0"/>
          <w:szCs w:val="24"/>
        </w:rPr>
        <w:tab/>
        <w:t>Memo of satisfaction may be filed</w:t>
      </w:r>
      <w:r>
        <w:tab/>
      </w:r>
      <w:r>
        <w:fldChar w:fldCharType="begin"/>
      </w:r>
      <w:r>
        <w:instrText xml:space="preserve"> PAGEREF _Toc241048353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On filing memo the debt shall be discharged</w:t>
      </w:r>
      <w:r>
        <w:tab/>
      </w:r>
      <w:r>
        <w:fldChar w:fldCharType="begin"/>
      </w:r>
      <w:r>
        <w:instrText xml:space="preserve"> PAGEREF _Toc241048354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If grantee absent the Registrar may receive money</w:t>
      </w:r>
      <w:r>
        <w:tab/>
      </w:r>
      <w:r>
        <w:fldChar w:fldCharType="begin"/>
      </w:r>
      <w:r>
        <w:instrText xml:space="preserve"> PAGEREF _Toc241048355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Judge may order memorandum of discharge to be entered</w:t>
      </w:r>
      <w:r>
        <w:tab/>
      </w:r>
      <w:r>
        <w:fldChar w:fldCharType="begin"/>
      </w:r>
      <w:r>
        <w:instrText xml:space="preserve"> PAGEREF _Toc241048356 \h </w:instrText>
      </w:r>
      <w:r>
        <w:fldChar w:fldCharType="separate"/>
      </w:r>
      <w:r>
        <w:t>21</w:t>
      </w:r>
      <w:r>
        <w:fldChar w:fldCharType="end"/>
      </w:r>
    </w:p>
    <w:p>
      <w:pPr>
        <w:pStyle w:val="TOC2"/>
        <w:tabs>
          <w:tab w:val="right" w:leader="dot" w:pos="7086"/>
        </w:tabs>
        <w:rPr>
          <w:b w:val="0"/>
          <w:sz w:val="24"/>
          <w:szCs w:val="24"/>
        </w:rPr>
      </w:pPr>
      <w:r>
        <w:rPr>
          <w:szCs w:val="30"/>
        </w:rPr>
        <w:t>Part VII — Effect of registration</w:t>
      </w:r>
    </w:p>
    <w:p>
      <w:pPr>
        <w:pStyle w:val="TOC8"/>
        <w:rPr>
          <w:sz w:val="24"/>
          <w:szCs w:val="24"/>
        </w:rPr>
      </w:pPr>
      <w:r>
        <w:rPr>
          <w:szCs w:val="24"/>
        </w:rPr>
        <w:t>25</w:t>
      </w:r>
      <w:r>
        <w:rPr>
          <w:snapToGrid w:val="0"/>
          <w:szCs w:val="24"/>
        </w:rPr>
        <w:t>.</w:t>
      </w:r>
      <w:r>
        <w:rPr>
          <w:snapToGrid w:val="0"/>
          <w:szCs w:val="24"/>
        </w:rPr>
        <w:tab/>
        <w:t>Effect of non</w:t>
      </w:r>
      <w:r>
        <w:rPr>
          <w:snapToGrid w:val="0"/>
          <w:szCs w:val="24"/>
        </w:rPr>
        <w:noBreakHyphen/>
        <w:t>compliance with Act or non</w:t>
      </w:r>
      <w:r>
        <w:rPr>
          <w:snapToGrid w:val="0"/>
          <w:szCs w:val="24"/>
        </w:rPr>
        <w:noBreakHyphen/>
        <w:t>registration</w:t>
      </w:r>
      <w:r>
        <w:tab/>
      </w:r>
      <w:r>
        <w:fldChar w:fldCharType="begin"/>
      </w:r>
      <w:r>
        <w:instrText xml:space="preserve"> PAGEREF _Toc241048358 \h </w:instrText>
      </w:r>
      <w:r>
        <w:fldChar w:fldCharType="separate"/>
      </w:r>
      <w:r>
        <w:t>22</w:t>
      </w:r>
      <w:r>
        <w:fldChar w:fldCharType="end"/>
      </w:r>
    </w:p>
    <w:p>
      <w:pPr>
        <w:pStyle w:val="TOC8"/>
        <w:rPr>
          <w:sz w:val="24"/>
          <w:szCs w:val="24"/>
        </w:rPr>
      </w:pPr>
      <w:r>
        <w:rPr>
          <w:szCs w:val="24"/>
        </w:rPr>
        <w:t>25A</w:t>
      </w:r>
      <w:r>
        <w:rPr>
          <w:snapToGrid w:val="0"/>
          <w:szCs w:val="24"/>
        </w:rPr>
        <w:t>.</w:t>
      </w:r>
      <w:r>
        <w:rPr>
          <w:snapToGrid w:val="0"/>
          <w:szCs w:val="24"/>
        </w:rPr>
        <w:tab/>
        <w:t>Certain errors in bill of sale not to invalidate it</w:t>
      </w:r>
      <w:r>
        <w:tab/>
      </w:r>
      <w:r>
        <w:fldChar w:fldCharType="begin"/>
      </w:r>
      <w:r>
        <w:instrText xml:space="preserve"> PAGEREF _Toc241048359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Application of doctrine of “apparent possession”</w:t>
      </w:r>
      <w:r>
        <w:tab/>
      </w:r>
      <w:r>
        <w:fldChar w:fldCharType="begin"/>
      </w:r>
      <w:r>
        <w:instrText xml:space="preserve"> PAGEREF _Toc241048360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r>
      <w:r>
        <w:rPr>
          <w:i/>
          <w:snapToGrid w:val="0"/>
          <w:szCs w:val="24"/>
        </w:rPr>
        <w:t>Bona fide</w:t>
      </w:r>
      <w:r>
        <w:rPr>
          <w:snapToGrid w:val="0"/>
          <w:szCs w:val="24"/>
        </w:rPr>
        <w:t xml:space="preserve"> purchaser not affected by unregistered bill of sale</w:t>
      </w:r>
      <w:r>
        <w:tab/>
      </w:r>
      <w:r>
        <w:fldChar w:fldCharType="begin"/>
      </w:r>
      <w:r>
        <w:instrText xml:space="preserve"> PAGEREF _Toc241048361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Chattels liable to distress for rates</w:t>
      </w:r>
      <w:r>
        <w:tab/>
      </w:r>
      <w:r>
        <w:fldChar w:fldCharType="begin"/>
      </w:r>
      <w:r>
        <w:instrText xml:space="preserve"> PAGEREF _Toc241048362 \h </w:instrText>
      </w:r>
      <w:r>
        <w:fldChar w:fldCharType="separate"/>
      </w:r>
      <w:r>
        <w:t>24</w:t>
      </w:r>
      <w:r>
        <w:fldChar w:fldCharType="end"/>
      </w:r>
    </w:p>
    <w:p>
      <w:pPr>
        <w:pStyle w:val="TOC2"/>
        <w:tabs>
          <w:tab w:val="right" w:leader="dot" w:pos="7086"/>
        </w:tabs>
        <w:rPr>
          <w:b w:val="0"/>
          <w:sz w:val="24"/>
          <w:szCs w:val="24"/>
        </w:rPr>
      </w:pPr>
      <w:r>
        <w:rPr>
          <w:szCs w:val="30"/>
        </w:rPr>
        <w:t>Part VIII — General</w:t>
      </w:r>
    </w:p>
    <w:p>
      <w:pPr>
        <w:pStyle w:val="TOC8"/>
        <w:rPr>
          <w:sz w:val="24"/>
          <w:szCs w:val="24"/>
        </w:rPr>
      </w:pPr>
      <w:r>
        <w:rPr>
          <w:szCs w:val="24"/>
        </w:rPr>
        <w:t>30</w:t>
      </w:r>
      <w:r>
        <w:rPr>
          <w:snapToGrid w:val="0"/>
          <w:szCs w:val="24"/>
        </w:rPr>
        <w:t>.</w:t>
      </w:r>
      <w:r>
        <w:rPr>
          <w:snapToGrid w:val="0"/>
          <w:szCs w:val="24"/>
        </w:rPr>
        <w:tab/>
        <w:t>When instrument made subject to a defeasance not contained therein</w:t>
      </w:r>
      <w:r>
        <w:tab/>
      </w:r>
      <w:r>
        <w:fldChar w:fldCharType="begin"/>
      </w:r>
      <w:r>
        <w:instrText xml:space="preserve"> PAGEREF _Toc241048364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Bill of sale void in certain cases except for present advances etc.</w:t>
      </w:r>
      <w:r>
        <w:tab/>
      </w:r>
      <w:r>
        <w:fldChar w:fldCharType="begin"/>
      </w:r>
      <w:r>
        <w:instrText xml:space="preserve"> PAGEREF _Toc241048365 \h </w:instrText>
      </w:r>
      <w:r>
        <w:fldChar w:fldCharType="separate"/>
      </w:r>
      <w:r>
        <w:t>25</w:t>
      </w:r>
      <w:r>
        <w:fldChar w:fldCharType="end"/>
      </w:r>
    </w:p>
    <w:p>
      <w:pPr>
        <w:pStyle w:val="TOC8"/>
        <w:rPr>
          <w:sz w:val="24"/>
          <w:szCs w:val="24"/>
        </w:rPr>
      </w:pPr>
      <w:r>
        <w:rPr>
          <w:szCs w:val="24"/>
        </w:rPr>
        <w:t>31A</w:t>
      </w:r>
      <w:r>
        <w:rPr>
          <w:snapToGrid w:val="0"/>
          <w:szCs w:val="24"/>
        </w:rPr>
        <w:t>.</w:t>
      </w:r>
      <w:r>
        <w:rPr>
          <w:snapToGrid w:val="0"/>
          <w:szCs w:val="24"/>
        </w:rPr>
        <w:tab/>
        <w:t>Contemporaneous and future advances</w:t>
      </w:r>
      <w:r>
        <w:tab/>
      </w:r>
      <w:r>
        <w:fldChar w:fldCharType="begin"/>
      </w:r>
      <w:r>
        <w:instrText xml:space="preserve"> PAGEREF _Toc241048366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Bill of sale void as to execution on existing debts</w:t>
      </w:r>
      <w:r>
        <w:tab/>
      </w:r>
      <w:r>
        <w:fldChar w:fldCharType="begin"/>
      </w:r>
      <w:r>
        <w:instrText xml:space="preserve"> PAGEREF _Toc241048367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Bill of sale takes effect from date</w:t>
      </w:r>
      <w:r>
        <w:tab/>
      </w:r>
      <w:r>
        <w:fldChar w:fldCharType="begin"/>
      </w:r>
      <w:r>
        <w:instrText xml:space="preserve"> PAGEREF _Toc241048368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Priority of instruments affecting same chattels</w:t>
      </w:r>
      <w:r>
        <w:tab/>
      </w:r>
      <w:r>
        <w:fldChar w:fldCharType="begin"/>
      </w:r>
      <w:r>
        <w:instrText xml:space="preserve"> PAGEREF _Toc241048369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Avoidance of duplicate bills of sale</w:t>
      </w:r>
      <w:r>
        <w:tab/>
      </w:r>
      <w:r>
        <w:fldChar w:fldCharType="begin"/>
      </w:r>
      <w:r>
        <w:instrText xml:space="preserve"> PAGEREF _Toc241048370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Grantee may bid for and purchase chattels</w:t>
      </w:r>
      <w:r>
        <w:tab/>
      </w:r>
      <w:r>
        <w:fldChar w:fldCharType="begin"/>
      </w:r>
      <w:r>
        <w:instrText xml:space="preserve"> PAGEREF _Toc241048371 \h </w:instrText>
      </w:r>
      <w:r>
        <w:fldChar w:fldCharType="separate"/>
      </w:r>
      <w:r>
        <w:t>27</w:t>
      </w:r>
      <w:r>
        <w:fldChar w:fldCharType="end"/>
      </w:r>
    </w:p>
    <w:p>
      <w:pPr>
        <w:pStyle w:val="TOC8"/>
        <w:rPr>
          <w:sz w:val="24"/>
          <w:szCs w:val="24"/>
        </w:rPr>
      </w:pPr>
      <w:r>
        <w:rPr>
          <w:szCs w:val="24"/>
        </w:rPr>
        <w:t>36A</w:t>
      </w:r>
      <w:r>
        <w:rPr>
          <w:snapToGrid w:val="0"/>
          <w:szCs w:val="24"/>
        </w:rPr>
        <w:t>.</w:t>
      </w:r>
      <w:r>
        <w:rPr>
          <w:snapToGrid w:val="0"/>
          <w:szCs w:val="24"/>
        </w:rPr>
        <w:tab/>
        <w:t xml:space="preserve">Protection of </w:t>
      </w:r>
      <w:r>
        <w:rPr>
          <w:i/>
          <w:snapToGrid w:val="0"/>
          <w:szCs w:val="24"/>
        </w:rPr>
        <w:t>bona fide</w:t>
      </w:r>
      <w:r>
        <w:rPr>
          <w:snapToGrid w:val="0"/>
          <w:szCs w:val="24"/>
        </w:rPr>
        <w:t xml:space="preserve"> purchasers</w:t>
      </w:r>
      <w:r>
        <w:tab/>
      </w:r>
      <w:r>
        <w:fldChar w:fldCharType="begin"/>
      </w:r>
      <w:r>
        <w:instrText xml:space="preserve"> PAGEREF _Toc241048372 \h </w:instrText>
      </w:r>
      <w:r>
        <w:fldChar w:fldCharType="separate"/>
      </w:r>
      <w:r>
        <w:t>28</w:t>
      </w:r>
      <w:r>
        <w:fldChar w:fldCharType="end"/>
      </w:r>
    </w:p>
    <w:p>
      <w:pPr>
        <w:pStyle w:val="TOC2"/>
        <w:tabs>
          <w:tab w:val="right" w:leader="dot" w:pos="7086"/>
        </w:tabs>
        <w:rPr>
          <w:b w:val="0"/>
          <w:sz w:val="24"/>
          <w:szCs w:val="24"/>
        </w:rPr>
      </w:pPr>
      <w:r>
        <w:rPr>
          <w:szCs w:val="30"/>
        </w:rPr>
        <w:t>Part IX — Bills of sale of stock</w:t>
      </w:r>
    </w:p>
    <w:p>
      <w:pPr>
        <w:pStyle w:val="TOC8"/>
        <w:rPr>
          <w:sz w:val="24"/>
          <w:szCs w:val="24"/>
        </w:rPr>
      </w:pPr>
      <w:r>
        <w:rPr>
          <w:szCs w:val="24"/>
        </w:rPr>
        <w:t>37</w:t>
      </w:r>
      <w:r>
        <w:rPr>
          <w:snapToGrid w:val="0"/>
          <w:szCs w:val="24"/>
        </w:rPr>
        <w:t>.</w:t>
      </w:r>
      <w:r>
        <w:rPr>
          <w:snapToGrid w:val="0"/>
          <w:szCs w:val="24"/>
        </w:rPr>
        <w:tab/>
        <w:t>Stock to be described, etc.</w:t>
      </w:r>
      <w:r>
        <w:tab/>
      </w:r>
      <w:r>
        <w:fldChar w:fldCharType="begin"/>
      </w:r>
      <w:r>
        <w:instrText xml:space="preserve"> PAGEREF _Toc241048374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Bill of sale of stock to include progeny</w:t>
      </w:r>
      <w:r>
        <w:tab/>
      </w:r>
      <w:r>
        <w:fldChar w:fldCharType="begin"/>
      </w:r>
      <w:r>
        <w:instrText xml:space="preserve"> PAGEREF _Toc241048375 \h </w:instrText>
      </w:r>
      <w:r>
        <w:fldChar w:fldCharType="separate"/>
      </w:r>
      <w:r>
        <w:t>29</w:t>
      </w:r>
      <w:r>
        <w:fldChar w:fldCharType="end"/>
      </w:r>
    </w:p>
    <w:p>
      <w:pPr>
        <w:pStyle w:val="TOC2"/>
        <w:tabs>
          <w:tab w:val="right" w:leader="dot" w:pos="7086"/>
        </w:tabs>
        <w:rPr>
          <w:b w:val="0"/>
          <w:sz w:val="24"/>
          <w:szCs w:val="24"/>
        </w:rPr>
      </w:pPr>
      <w:r>
        <w:rPr>
          <w:szCs w:val="30"/>
        </w:rPr>
        <w:t>Part X — Bill of sale over crops</w:t>
      </w:r>
    </w:p>
    <w:p>
      <w:pPr>
        <w:pStyle w:val="TOC8"/>
        <w:rPr>
          <w:sz w:val="24"/>
          <w:szCs w:val="24"/>
        </w:rPr>
      </w:pPr>
      <w:r>
        <w:rPr>
          <w:szCs w:val="24"/>
        </w:rPr>
        <w:t>39</w:t>
      </w:r>
      <w:r>
        <w:rPr>
          <w:snapToGrid w:val="0"/>
          <w:szCs w:val="24"/>
        </w:rPr>
        <w:t>.</w:t>
      </w:r>
      <w:r>
        <w:rPr>
          <w:snapToGrid w:val="0"/>
          <w:szCs w:val="24"/>
        </w:rPr>
        <w:tab/>
        <w:t>Bill of sale may be granted over crops</w:t>
      </w:r>
      <w:r>
        <w:tab/>
      </w:r>
      <w:r>
        <w:fldChar w:fldCharType="begin"/>
      </w:r>
      <w:r>
        <w:instrText xml:space="preserve"> PAGEREF _Toc241048377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Not available except against annual crops</w:t>
      </w:r>
      <w:r>
        <w:tab/>
      </w:r>
      <w:r>
        <w:fldChar w:fldCharType="begin"/>
      </w:r>
      <w:r>
        <w:instrText xml:space="preserve"> PAGEREF _Toc241048378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Saving of rights of landlord and mortgagee</w:t>
      </w:r>
      <w:r>
        <w:tab/>
      </w:r>
      <w:r>
        <w:fldChar w:fldCharType="begin"/>
      </w:r>
      <w:r>
        <w:instrText xml:space="preserve"> PAGEREF _Toc241048379 \h </w:instrText>
      </w:r>
      <w:r>
        <w:fldChar w:fldCharType="separate"/>
      </w:r>
      <w:r>
        <w:t>30</w:t>
      </w:r>
      <w:r>
        <w:fldChar w:fldCharType="end"/>
      </w:r>
    </w:p>
    <w:p>
      <w:pPr>
        <w:pStyle w:val="TOC2"/>
        <w:tabs>
          <w:tab w:val="right" w:leader="dot" w:pos="7086"/>
        </w:tabs>
        <w:rPr>
          <w:b w:val="0"/>
          <w:sz w:val="24"/>
          <w:szCs w:val="24"/>
        </w:rPr>
      </w:pPr>
      <w:r>
        <w:rPr>
          <w:szCs w:val="30"/>
        </w:rPr>
        <w:t>Part XI — Bill of sale over wool</w:t>
      </w:r>
    </w:p>
    <w:p>
      <w:pPr>
        <w:pStyle w:val="TOC8"/>
        <w:rPr>
          <w:sz w:val="24"/>
          <w:szCs w:val="24"/>
        </w:rPr>
      </w:pPr>
      <w:r>
        <w:rPr>
          <w:szCs w:val="24"/>
        </w:rPr>
        <w:t>42</w:t>
      </w:r>
      <w:r>
        <w:rPr>
          <w:snapToGrid w:val="0"/>
          <w:szCs w:val="24"/>
        </w:rPr>
        <w:t>.</w:t>
      </w:r>
      <w:r>
        <w:rPr>
          <w:snapToGrid w:val="0"/>
          <w:szCs w:val="24"/>
        </w:rPr>
        <w:tab/>
        <w:t>Bill of sale over wool</w:t>
      </w:r>
      <w:r>
        <w:tab/>
      </w:r>
      <w:r>
        <w:fldChar w:fldCharType="begin"/>
      </w:r>
      <w:r>
        <w:instrText xml:space="preserve"> PAGEREF _Toc241048381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Not affected by subsequent dealing</w:t>
      </w:r>
      <w:r>
        <w:tab/>
      </w:r>
      <w:r>
        <w:fldChar w:fldCharType="begin"/>
      </w:r>
      <w:r>
        <w:instrText xml:space="preserve"> PAGEREF _Toc241048382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Form of security — Fourth Schedule</w:t>
      </w:r>
      <w:r>
        <w:tab/>
      </w:r>
      <w:r>
        <w:fldChar w:fldCharType="begin"/>
      </w:r>
      <w:r>
        <w:instrText xml:space="preserve"> PAGEREF _Toc241048383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Bill of sale over mortgaged sheep</w:t>
      </w:r>
      <w:r>
        <w:tab/>
      </w:r>
      <w:r>
        <w:fldChar w:fldCharType="begin"/>
      </w:r>
      <w:r>
        <w:instrText xml:space="preserve"> PAGEREF _Toc241048384 \h </w:instrText>
      </w:r>
      <w:r>
        <w:fldChar w:fldCharType="separate"/>
      </w:r>
      <w:r>
        <w:t>31</w:t>
      </w:r>
      <w:r>
        <w:fldChar w:fldCharType="end"/>
      </w:r>
    </w:p>
    <w:p>
      <w:pPr>
        <w:pStyle w:val="TOC2"/>
        <w:tabs>
          <w:tab w:val="right" w:leader="dot" w:pos="7086"/>
        </w:tabs>
        <w:rPr>
          <w:b w:val="0"/>
          <w:sz w:val="24"/>
          <w:szCs w:val="24"/>
        </w:rPr>
      </w:pPr>
      <w:r>
        <w:rPr>
          <w:szCs w:val="30"/>
        </w:rPr>
        <w:t>Part XII — Miscellaneous</w:t>
      </w:r>
    </w:p>
    <w:p>
      <w:pPr>
        <w:pStyle w:val="TOC8"/>
        <w:rPr>
          <w:sz w:val="24"/>
          <w:szCs w:val="24"/>
        </w:rPr>
      </w:pPr>
      <w:r>
        <w:rPr>
          <w:szCs w:val="24"/>
        </w:rPr>
        <w:t>47</w:t>
      </w:r>
      <w:r>
        <w:rPr>
          <w:snapToGrid w:val="0"/>
          <w:szCs w:val="24"/>
        </w:rPr>
        <w:t>.</w:t>
      </w:r>
      <w:r>
        <w:rPr>
          <w:snapToGrid w:val="0"/>
          <w:szCs w:val="24"/>
        </w:rPr>
        <w:tab/>
        <w:t>Covenants to be joint and several</w:t>
      </w:r>
      <w:r>
        <w:tab/>
      </w:r>
      <w:r>
        <w:fldChar w:fldCharType="begin"/>
      </w:r>
      <w:r>
        <w:instrText xml:space="preserve"> PAGEREF _Toc241048386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Covenants to bind representatives</w:t>
      </w:r>
      <w:r>
        <w:tab/>
      </w:r>
      <w:r>
        <w:fldChar w:fldCharType="begin"/>
      </w:r>
      <w:r>
        <w:instrText xml:space="preserve"> PAGEREF _Toc241048387 \h </w:instrText>
      </w:r>
      <w:r>
        <w:fldChar w:fldCharType="separate"/>
      </w:r>
      <w:r>
        <w:t>32</w:t>
      </w:r>
      <w:r>
        <w:fldChar w:fldCharType="end"/>
      </w:r>
    </w:p>
    <w:p>
      <w:pPr>
        <w:pStyle w:val="TOC8"/>
        <w:rPr>
          <w:sz w:val="24"/>
          <w:szCs w:val="24"/>
        </w:rPr>
      </w:pPr>
      <w:r>
        <w:rPr>
          <w:szCs w:val="24"/>
        </w:rPr>
        <w:t>48A</w:t>
      </w:r>
      <w:r>
        <w:rPr>
          <w:snapToGrid w:val="0"/>
          <w:szCs w:val="24"/>
        </w:rPr>
        <w:t>.</w:t>
      </w:r>
      <w:r>
        <w:rPr>
          <w:snapToGrid w:val="0"/>
          <w:szCs w:val="24"/>
        </w:rPr>
        <w:tab/>
        <w:t>Regulations</w:t>
      </w:r>
      <w:r>
        <w:tab/>
      </w:r>
      <w:r>
        <w:fldChar w:fldCharType="begin"/>
      </w:r>
      <w:r>
        <w:instrText xml:space="preserve"> PAGEREF _Toc241048388 \h </w:instrText>
      </w:r>
      <w:r>
        <w:fldChar w:fldCharType="separate"/>
      </w:r>
      <w:r>
        <w:t>32</w:t>
      </w:r>
      <w:r>
        <w:fldChar w:fldCharType="end"/>
      </w:r>
    </w:p>
    <w:p>
      <w:pPr>
        <w:pStyle w:val="TOC8"/>
        <w:rPr>
          <w:sz w:val="24"/>
          <w:szCs w:val="24"/>
        </w:rPr>
      </w:pPr>
      <w:r>
        <w:rPr>
          <w:szCs w:val="24"/>
        </w:rPr>
        <w:t>50</w:t>
      </w:r>
      <w:r>
        <w:rPr>
          <w:snapToGrid w:val="0"/>
          <w:szCs w:val="24"/>
        </w:rPr>
        <w:t>.</w:t>
      </w:r>
      <w:r>
        <w:rPr>
          <w:snapToGrid w:val="0"/>
          <w:szCs w:val="24"/>
        </w:rPr>
        <w:tab/>
        <w:t>Rules</w:t>
      </w:r>
      <w:r>
        <w:tab/>
      </w:r>
      <w:r>
        <w:fldChar w:fldCharType="begin"/>
      </w:r>
      <w:r>
        <w:instrText xml:space="preserve"> PAGEREF _Toc241048389 \h </w:instrText>
      </w:r>
      <w:r>
        <w:fldChar w:fldCharType="separate"/>
      </w:r>
      <w:r>
        <w:t>33</w:t>
      </w:r>
      <w:r>
        <w:fldChar w:fldCharType="end"/>
      </w:r>
    </w:p>
    <w:p>
      <w:pPr>
        <w:pStyle w:val="TOC8"/>
        <w:rPr>
          <w:sz w:val="24"/>
          <w:szCs w:val="24"/>
        </w:rPr>
      </w:pPr>
      <w:r>
        <w:rPr>
          <w:szCs w:val="24"/>
        </w:rPr>
        <w:t>50A</w:t>
      </w:r>
      <w:r>
        <w:rPr>
          <w:snapToGrid w:val="0"/>
          <w:szCs w:val="24"/>
        </w:rPr>
        <w:t>.</w:t>
      </w:r>
      <w:r>
        <w:rPr>
          <w:snapToGrid w:val="0"/>
          <w:szCs w:val="24"/>
        </w:rPr>
        <w:tab/>
        <w:t>No retrospective effect</w:t>
      </w:r>
      <w:r>
        <w:tab/>
      </w:r>
      <w:r>
        <w:fldChar w:fldCharType="begin"/>
      </w:r>
      <w:r>
        <w:instrText xml:space="preserve"> PAGEREF _Toc241048390 \h </w:instrText>
      </w:r>
      <w:r>
        <w:fldChar w:fldCharType="separate"/>
      </w:r>
      <w:r>
        <w:t>33</w:t>
      </w:r>
      <w:r>
        <w:fldChar w:fldCharType="end"/>
      </w:r>
    </w:p>
    <w:p>
      <w:pPr>
        <w:pStyle w:val="TOC2"/>
        <w:tabs>
          <w:tab w:val="right" w:leader="dot" w:pos="7086"/>
        </w:tabs>
        <w:rPr>
          <w:b w:val="0"/>
          <w:sz w:val="24"/>
          <w:szCs w:val="24"/>
        </w:rPr>
      </w:pPr>
      <w:r>
        <w:rPr>
          <w:szCs w:val="30"/>
        </w:rPr>
        <w:t>Part XIII — Debentures</w:t>
      </w:r>
    </w:p>
    <w:p>
      <w:pPr>
        <w:pStyle w:val="TOC8"/>
        <w:rPr>
          <w:sz w:val="24"/>
          <w:szCs w:val="24"/>
        </w:rPr>
      </w:pPr>
      <w:r>
        <w:rPr>
          <w:szCs w:val="24"/>
        </w:rPr>
        <w:t>51</w:t>
      </w:r>
      <w:r>
        <w:rPr>
          <w:snapToGrid w:val="0"/>
          <w:szCs w:val="24"/>
        </w:rPr>
        <w:t>.</w:t>
      </w:r>
      <w:r>
        <w:rPr>
          <w:snapToGrid w:val="0"/>
          <w:szCs w:val="24"/>
        </w:rPr>
        <w:tab/>
        <w:t>Registration of debentures</w:t>
      </w:r>
      <w:r>
        <w:tab/>
      </w:r>
      <w:r>
        <w:fldChar w:fldCharType="begin"/>
      </w:r>
      <w:r>
        <w:instrText xml:space="preserve"> PAGEREF _Toc241048392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Application of prior sections</w:t>
      </w:r>
      <w:r>
        <w:tab/>
      </w:r>
      <w:r>
        <w:fldChar w:fldCharType="begin"/>
      </w:r>
      <w:r>
        <w:instrText xml:space="preserve"> PAGEREF _Toc241048393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When more than 1 debenture is issued</w:t>
      </w:r>
      <w:r>
        <w:tab/>
      </w:r>
      <w:r>
        <w:fldChar w:fldCharType="begin"/>
      </w:r>
      <w:r>
        <w:instrText xml:space="preserve"> PAGEREF _Toc241048394 \h </w:instrText>
      </w:r>
      <w:r>
        <w:fldChar w:fldCharType="separate"/>
      </w:r>
      <w:r>
        <w:t>35</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Tenth Schedule</w:t>
      </w:r>
    </w:p>
    <w:p>
      <w:pPr>
        <w:pStyle w:val="TOC2"/>
        <w:tabs>
          <w:tab w:val="right" w:leader="dot" w:pos="7086"/>
        </w:tabs>
        <w:rPr>
          <w:b w:val="0"/>
          <w:sz w:val="24"/>
          <w:szCs w:val="24"/>
        </w:rPr>
      </w:pPr>
      <w:r>
        <w:rPr>
          <w:szCs w:val="28"/>
        </w:rPr>
        <w:t>Eleventh Schedule</w:t>
      </w:r>
    </w:p>
    <w:p>
      <w:pPr>
        <w:pStyle w:val="TOC8"/>
        <w:rPr>
          <w:sz w:val="24"/>
          <w:szCs w:val="24"/>
        </w:rPr>
      </w:pPr>
      <w:r>
        <w:rPr>
          <w:szCs w:val="22"/>
        </w:rPr>
        <w:t>1</w:t>
      </w:r>
      <w:r>
        <w:rPr>
          <w:snapToGrid w:val="0"/>
          <w:szCs w:val="22"/>
        </w:rPr>
        <w:t>.</w:t>
      </w:r>
      <w:r>
        <w:rPr>
          <w:snapToGrid w:val="0"/>
          <w:szCs w:val="22"/>
        </w:rPr>
        <w:tab/>
        <w:t>To pay principal and interest</w:t>
      </w:r>
      <w:r>
        <w:tab/>
      </w:r>
      <w:r>
        <w:fldChar w:fldCharType="begin"/>
      </w:r>
      <w:r>
        <w:instrText xml:space="preserve"> PAGEREF _Toc241048400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Not to remove the chattels</w:t>
      </w:r>
      <w:r>
        <w:tab/>
      </w:r>
      <w:r>
        <w:fldChar w:fldCharType="begin"/>
      </w:r>
      <w:r>
        <w:instrText xml:space="preserve"> PAGEREF _Toc241048401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Not to suffer the goods to be taken in execution</w:t>
      </w:r>
      <w:r>
        <w:tab/>
      </w:r>
      <w:r>
        <w:fldChar w:fldCharType="begin"/>
      </w:r>
      <w:r>
        <w:instrText xml:space="preserve"> PAGEREF _Toc241048402 \h </w:instrText>
      </w:r>
      <w:r>
        <w:fldChar w:fldCharType="separate"/>
      </w:r>
      <w:r>
        <w:t>41</w:t>
      </w:r>
      <w:r>
        <w:fldChar w:fldCharType="end"/>
      </w:r>
    </w:p>
    <w:p>
      <w:pPr>
        <w:pStyle w:val="TOC8"/>
        <w:rPr>
          <w:sz w:val="24"/>
          <w:szCs w:val="24"/>
        </w:rPr>
      </w:pPr>
      <w:r>
        <w:rPr>
          <w:szCs w:val="22"/>
        </w:rPr>
        <w:t>4</w:t>
      </w:r>
      <w:r>
        <w:rPr>
          <w:snapToGrid w:val="0"/>
          <w:szCs w:val="22"/>
        </w:rPr>
        <w:t>.</w:t>
      </w:r>
      <w:r>
        <w:rPr>
          <w:snapToGrid w:val="0"/>
          <w:szCs w:val="22"/>
        </w:rPr>
        <w:tab/>
        <w:t>To produce receipts for rent, etc.</w:t>
      </w:r>
      <w:r>
        <w:tab/>
      </w:r>
      <w:r>
        <w:fldChar w:fldCharType="begin"/>
      </w:r>
      <w:r>
        <w:instrText xml:space="preserve"> PAGEREF _Toc241048403 \h </w:instrText>
      </w:r>
      <w:r>
        <w:fldChar w:fldCharType="separate"/>
      </w:r>
      <w:r>
        <w:t>41</w:t>
      </w:r>
      <w:r>
        <w:fldChar w:fldCharType="end"/>
      </w:r>
    </w:p>
    <w:p>
      <w:pPr>
        <w:pStyle w:val="TOC8"/>
        <w:rPr>
          <w:sz w:val="24"/>
          <w:szCs w:val="24"/>
        </w:rPr>
      </w:pPr>
      <w:r>
        <w:rPr>
          <w:szCs w:val="22"/>
        </w:rPr>
        <w:t>5</w:t>
      </w:r>
      <w:r>
        <w:rPr>
          <w:snapToGrid w:val="0"/>
          <w:szCs w:val="22"/>
        </w:rPr>
        <w:t>.</w:t>
      </w:r>
      <w:r>
        <w:rPr>
          <w:snapToGrid w:val="0"/>
          <w:szCs w:val="22"/>
        </w:rPr>
        <w:tab/>
        <w:t>To enter and view the goods, etc.</w:t>
      </w:r>
      <w:r>
        <w:tab/>
      </w:r>
      <w:r>
        <w:fldChar w:fldCharType="begin"/>
      </w:r>
      <w:r>
        <w:instrText xml:space="preserve"> PAGEREF _Toc241048404 \h </w:instrText>
      </w:r>
      <w:r>
        <w:fldChar w:fldCharType="separate"/>
      </w:r>
      <w:r>
        <w:t>41</w:t>
      </w:r>
      <w:r>
        <w:fldChar w:fldCharType="end"/>
      </w:r>
    </w:p>
    <w:p>
      <w:pPr>
        <w:pStyle w:val="TOC8"/>
        <w:rPr>
          <w:sz w:val="24"/>
          <w:szCs w:val="24"/>
        </w:rPr>
      </w:pPr>
      <w:r>
        <w:rPr>
          <w:szCs w:val="22"/>
        </w:rPr>
        <w:t>6</w:t>
      </w:r>
      <w:r>
        <w:rPr>
          <w:snapToGrid w:val="0"/>
          <w:szCs w:val="22"/>
        </w:rPr>
        <w:t>.</w:t>
      </w:r>
      <w:r>
        <w:rPr>
          <w:snapToGrid w:val="0"/>
          <w:szCs w:val="22"/>
        </w:rPr>
        <w:tab/>
        <w:t>Power of sale in case of default</w:t>
      </w:r>
      <w:r>
        <w:tab/>
      </w:r>
      <w:r>
        <w:fldChar w:fldCharType="begin"/>
      </w:r>
      <w:r>
        <w:instrText xml:space="preserve"> PAGEREF _Toc241048405 \h </w:instrText>
      </w:r>
      <w:r>
        <w:fldChar w:fldCharType="separate"/>
      </w:r>
      <w:r>
        <w:t>42</w:t>
      </w:r>
      <w:r>
        <w:fldChar w:fldCharType="end"/>
      </w:r>
    </w:p>
    <w:p>
      <w:pPr>
        <w:pStyle w:val="TOC8"/>
        <w:rPr>
          <w:sz w:val="24"/>
          <w:szCs w:val="24"/>
        </w:rPr>
      </w:pPr>
      <w:r>
        <w:rPr>
          <w:szCs w:val="22"/>
        </w:rPr>
        <w:t>7</w:t>
      </w:r>
      <w:r>
        <w:rPr>
          <w:snapToGrid w:val="0"/>
          <w:szCs w:val="22"/>
        </w:rPr>
        <w:t>.</w:t>
      </w:r>
      <w:r>
        <w:rPr>
          <w:snapToGrid w:val="0"/>
          <w:szCs w:val="22"/>
        </w:rPr>
        <w:tab/>
        <w:t>To execute documents for purpose of carrying out sale</w:t>
      </w:r>
      <w:r>
        <w:tab/>
      </w:r>
      <w:r>
        <w:fldChar w:fldCharType="begin"/>
      </w:r>
      <w:r>
        <w:instrText xml:space="preserve"> PAGEREF _Toc241048406 \h </w:instrText>
      </w:r>
      <w:r>
        <w:fldChar w:fldCharType="separate"/>
      </w:r>
      <w:r>
        <w:t>43</w:t>
      </w:r>
      <w:r>
        <w:fldChar w:fldCharType="end"/>
      </w:r>
    </w:p>
    <w:p>
      <w:pPr>
        <w:pStyle w:val="TOC8"/>
        <w:rPr>
          <w:sz w:val="24"/>
          <w:szCs w:val="24"/>
        </w:rPr>
      </w:pPr>
      <w:r>
        <w:rPr>
          <w:szCs w:val="22"/>
        </w:rPr>
        <w:t>8</w:t>
      </w:r>
      <w:r>
        <w:rPr>
          <w:snapToGrid w:val="0"/>
          <w:szCs w:val="22"/>
        </w:rPr>
        <w:t>.</w:t>
      </w:r>
      <w:r>
        <w:rPr>
          <w:snapToGrid w:val="0"/>
          <w:szCs w:val="22"/>
        </w:rPr>
        <w:tab/>
        <w:t>Purchase</w:t>
      </w:r>
      <w:r>
        <w:rPr>
          <w:snapToGrid w:val="0"/>
          <w:szCs w:val="22"/>
        </w:rPr>
        <w:noBreakHyphen/>
        <w:t>money to be applied in satisfaction of security</w:t>
      </w:r>
      <w:r>
        <w:tab/>
      </w:r>
      <w:r>
        <w:fldChar w:fldCharType="begin"/>
      </w:r>
      <w:r>
        <w:instrText xml:space="preserve"> PAGEREF _Toc241048407 \h </w:instrText>
      </w:r>
      <w:r>
        <w:fldChar w:fldCharType="separate"/>
      </w:r>
      <w:r>
        <w:t>43</w:t>
      </w:r>
      <w:r>
        <w:fldChar w:fldCharType="end"/>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Fourteenth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_Toc241048411 \h </w:instrText>
      </w:r>
      <w:r>
        <w:fldChar w:fldCharType="separate"/>
      </w:r>
      <w:r>
        <w:t>46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after="1200"/>
      </w:pPr>
      <w:r>
        <w:t>Western Australia</w:t>
      </w:r>
    </w:p>
    <w:p>
      <w:pPr>
        <w:pStyle w:val="NameofActReg"/>
        <w:spacing w:before="1200"/>
      </w:pPr>
      <w:r>
        <w:t xml:space="preserve">Bills of Sale Act 1899 </w:t>
      </w:r>
    </w:p>
    <w:p>
      <w:pPr>
        <w:pStyle w:val="LongTitle"/>
        <w:spacing w:before="1440"/>
        <w:rPr>
          <w:snapToGrid w:val="0"/>
        </w:rPr>
      </w:pPr>
      <w:r>
        <w:rPr>
          <w:snapToGrid w:val="0"/>
        </w:rPr>
        <w:t xml:space="preserve">An Act to consolidate and amend the Law relating to Bills of Sale, Liens, and Bailments. </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bookmarkStart w:id="10" w:name="_Toc2410483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1" w:name="_Toc519997236"/>
      <w:bookmarkStart w:id="12" w:name="_Toc522959477"/>
      <w:bookmarkStart w:id="13" w:name="_Toc121562182"/>
      <w:bookmarkStart w:id="14" w:name="_Toc121562272"/>
      <w:bookmarkStart w:id="15" w:name="_Toc241048325"/>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snapToGrid w:val="0"/>
        </w:rPr>
      </w:pPr>
      <w:bookmarkStart w:id="16" w:name="_Toc519997237"/>
      <w:bookmarkStart w:id="17" w:name="_Toc522959478"/>
      <w:bookmarkStart w:id="18" w:name="_Toc121562183"/>
      <w:bookmarkStart w:id="19" w:name="_Toc121562273"/>
      <w:bookmarkStart w:id="20" w:name="_Toc241048326"/>
      <w:r>
        <w:rPr>
          <w:rStyle w:val="CharSectno"/>
        </w:rPr>
        <w:t>2</w:t>
      </w:r>
      <w:r>
        <w:rPr>
          <w:snapToGrid w:val="0"/>
        </w:rPr>
        <w:t>.</w:t>
      </w:r>
      <w:r>
        <w:rPr>
          <w:snapToGrid w:val="0"/>
        </w:rPr>
        <w:tab/>
        <w:t>Date of coming into operation</w:t>
      </w:r>
      <w:bookmarkEnd w:id="16"/>
      <w:bookmarkEnd w:id="17"/>
      <w:bookmarkEnd w:id="18"/>
      <w:bookmarkEnd w:id="19"/>
      <w:bookmarkEnd w:id="20"/>
      <w:r>
        <w:rPr>
          <w:snapToGrid w:val="0"/>
        </w:rPr>
        <w:t xml:space="preserve"> </w:t>
      </w:r>
    </w:p>
    <w:p>
      <w:pPr>
        <w:pStyle w:val="Subsection"/>
        <w:spacing w:before="100"/>
        <w:rPr>
          <w:snapToGrid w:val="0"/>
        </w:rPr>
      </w:pPr>
      <w:r>
        <w:rPr>
          <w:snapToGrid w:val="0"/>
        </w:rPr>
        <w:tab/>
      </w:r>
      <w:r>
        <w:rPr>
          <w:snapToGrid w:val="0"/>
        </w:rPr>
        <w:tab/>
        <w:t>This Act shall come into force on 1 March 1900.</w:t>
      </w:r>
    </w:p>
    <w:p>
      <w:pPr>
        <w:pStyle w:val="Ednotesection"/>
      </w:pPr>
      <w:r>
        <w:t>[</w:t>
      </w:r>
      <w:r>
        <w:rPr>
          <w:b/>
        </w:rPr>
        <w:t>2A.</w:t>
      </w:r>
      <w:r>
        <w:tab/>
        <w:t>Deleted by No. 10 of 1998 s. 76.]</w:t>
      </w:r>
    </w:p>
    <w:p>
      <w:pPr>
        <w:pStyle w:val="Heading5"/>
        <w:spacing w:before="120"/>
        <w:rPr>
          <w:snapToGrid w:val="0"/>
        </w:rPr>
      </w:pPr>
      <w:bookmarkStart w:id="21" w:name="_Toc519997238"/>
      <w:bookmarkStart w:id="22" w:name="_Toc522959479"/>
      <w:bookmarkStart w:id="23" w:name="_Toc121562184"/>
      <w:bookmarkStart w:id="24" w:name="_Toc121562274"/>
      <w:bookmarkStart w:id="25" w:name="_Toc241048327"/>
      <w:r>
        <w:rPr>
          <w:rStyle w:val="CharSectno"/>
        </w:rPr>
        <w:t>3</w:t>
      </w:r>
      <w:r>
        <w:rPr>
          <w:snapToGrid w:val="0"/>
        </w:rPr>
        <w:t>.</w:t>
      </w:r>
      <w:r>
        <w:rPr>
          <w:snapToGrid w:val="0"/>
        </w:rPr>
        <w:tab/>
        <w:t>Application of Act</w:t>
      </w:r>
      <w:bookmarkEnd w:id="21"/>
      <w:bookmarkEnd w:id="22"/>
      <w:bookmarkEnd w:id="23"/>
      <w:bookmarkEnd w:id="24"/>
      <w:bookmarkEnd w:id="25"/>
      <w:r>
        <w:rPr>
          <w:snapToGrid w:val="0"/>
        </w:rPr>
        <w:t xml:space="preserve"> </w:t>
      </w:r>
    </w:p>
    <w:p>
      <w:pPr>
        <w:pStyle w:val="Subsection"/>
        <w:spacing w:before="10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pPr>
      <w:r>
        <w:tab/>
        <w:t>[(2), (3)</w:t>
      </w:r>
      <w:r>
        <w:tab/>
        <w:t>deleted]</w:t>
      </w:r>
    </w:p>
    <w:p>
      <w:pPr>
        <w:pStyle w:val="Subsection"/>
        <w:spacing w:before="100"/>
      </w:pPr>
      <w:r>
        <w:tab/>
        <w:t>(4)</w:t>
      </w:r>
      <w:r>
        <w:tab/>
        <w:t xml:space="preserve">This Act does not apply to any bill of sale by a company other than — </w:t>
      </w:r>
    </w:p>
    <w:p>
      <w:pPr>
        <w:pStyle w:val="Indenta"/>
      </w:pPr>
      <w:r>
        <w:tab/>
        <w:t>(a)</w:t>
      </w:r>
      <w:r>
        <w:tab/>
        <w:t>a bill by way of bailment; or</w:t>
      </w:r>
    </w:p>
    <w:p>
      <w:pPr>
        <w:pStyle w:val="Indenta"/>
      </w:pPr>
      <w:r>
        <w:tab/>
        <w:t>(b)</w:t>
      </w:r>
      <w:r>
        <w:tab/>
        <w:t>a bill of sale given jointly with another person who is not a company, or other persons of whom at least one is not a company.</w:t>
      </w:r>
    </w:p>
    <w:p>
      <w:pPr>
        <w:pStyle w:val="Subsection"/>
        <w:keepNext/>
        <w:spacing w:before="100"/>
      </w:pPr>
      <w:r>
        <w:tab/>
        <w:t>(5)</w:t>
      </w:r>
      <w:r>
        <w:tab/>
        <w:t xml:space="preserve">In subsection (4) —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pPr>
      <w:r>
        <w:tab/>
        <w:t xml:space="preserve">[Section 3 amended by No. 14 of 1963 s. 2; No. 10 of 1982 s. 28; No. 11 of 1984 s. 2; No. 10 of 2001 s. 25; No. 8 of 2009 s. 5.] </w:t>
      </w:r>
    </w:p>
    <w:p>
      <w:pPr>
        <w:pStyle w:val="Ednotesection"/>
      </w:pPr>
      <w:bookmarkStart w:id="26" w:name="_Toc519997239"/>
      <w:bookmarkStart w:id="27" w:name="_Toc522959480"/>
      <w:r>
        <w:t>[</w:t>
      </w:r>
      <w:r>
        <w:rPr>
          <w:b/>
        </w:rPr>
        <w:t>4.</w:t>
      </w:r>
      <w:r>
        <w:tab/>
      </w:r>
      <w:bookmarkEnd w:id="26"/>
      <w:bookmarkEnd w:id="27"/>
      <w:r>
        <w:t xml:space="preserve">Omitted under the Reprints Act 1984 s. 7(4)(f) and (g).] </w:t>
      </w:r>
    </w:p>
    <w:p>
      <w:pPr>
        <w:pStyle w:val="Heading5"/>
        <w:spacing w:before="120"/>
        <w:rPr>
          <w:snapToGrid w:val="0"/>
        </w:rPr>
      </w:pPr>
      <w:bookmarkStart w:id="28" w:name="_Toc519997240"/>
      <w:bookmarkStart w:id="29" w:name="_Toc522959481"/>
      <w:bookmarkStart w:id="30" w:name="_Toc121562185"/>
      <w:bookmarkStart w:id="31" w:name="_Toc121562275"/>
      <w:bookmarkStart w:id="32" w:name="_Toc241048328"/>
      <w:r>
        <w:rPr>
          <w:rStyle w:val="CharSectno"/>
        </w:rPr>
        <w:t>5</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spacing w:before="100"/>
        <w:rPr>
          <w:snapToGrid w:val="0"/>
        </w:rPr>
      </w:pPr>
      <w:r>
        <w:rPr>
          <w:snapToGrid w:val="0"/>
        </w:rPr>
        <w:tab/>
      </w:r>
      <w:r>
        <w:rPr>
          <w:snapToGrid w:val="0"/>
        </w:rPr>
        <w:tab/>
        <w:t>In this Act, and for the purposes thereof, if not inconsistent with the context —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w:t>
      </w:r>
    </w:p>
    <w:p>
      <w:pPr>
        <w:pStyle w:val="Defpara"/>
      </w:pPr>
      <w:r>
        <w:tab/>
        <w:t>(1)</w:t>
      </w:r>
      <w:r>
        <w:tab/>
        <w:t>Transferring, or intended to transfer, or to be a record or evidence of the transfer of the property in or right to the possession of chattels; or</w:t>
      </w:r>
    </w:p>
    <w:p>
      <w:pPr>
        <w:pStyle w:val="Defpara"/>
      </w:pPr>
      <w:r>
        <w:tab/>
        <w:t>(2)</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 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 xml:space="preserve">[Section 5 amended by No. 24 of 1914 s. 2; No. 9 of 1956 s. 2; No. 40 of 1957 s. 3; No. 33 of 1966 s. 3; No. 49 of 1983 s. 3; No. 102 of 1987 s. 4.] </w:t>
      </w:r>
    </w:p>
    <w:p>
      <w:pPr>
        <w:pStyle w:val="Heading2"/>
      </w:pPr>
      <w:bookmarkStart w:id="33" w:name="_Toc89168370"/>
      <w:bookmarkStart w:id="34" w:name="_Toc101928542"/>
      <w:bookmarkStart w:id="35" w:name="_Toc121561916"/>
      <w:bookmarkStart w:id="36" w:name="_Toc121562006"/>
      <w:bookmarkStart w:id="37" w:name="_Toc121562096"/>
      <w:bookmarkStart w:id="38" w:name="_Toc121562186"/>
      <w:bookmarkStart w:id="39" w:name="_Toc121562276"/>
      <w:bookmarkStart w:id="40" w:name="_Toc121562366"/>
      <w:bookmarkStart w:id="41" w:name="_Toc124062029"/>
      <w:bookmarkStart w:id="42" w:name="_Toc241048329"/>
      <w:r>
        <w:rPr>
          <w:rStyle w:val="CharPartNo"/>
        </w:rPr>
        <w:t>Part II</w:t>
      </w:r>
      <w:r>
        <w:rPr>
          <w:rStyle w:val="CharDivNo"/>
        </w:rPr>
        <w:t> </w:t>
      </w:r>
      <w:r>
        <w:t>—</w:t>
      </w:r>
      <w:r>
        <w:rPr>
          <w:rStyle w:val="CharDivText"/>
        </w:rPr>
        <w:t> </w:t>
      </w:r>
      <w:r>
        <w:rPr>
          <w:rStyle w:val="CharPartText"/>
        </w:rPr>
        <w:t>Registration</w:t>
      </w:r>
      <w:bookmarkEnd w:id="33"/>
      <w:bookmarkEnd w:id="34"/>
      <w:bookmarkEnd w:id="35"/>
      <w:bookmarkEnd w:id="36"/>
      <w:bookmarkEnd w:id="37"/>
      <w:bookmarkEnd w:id="38"/>
      <w:bookmarkEnd w:id="39"/>
      <w:bookmarkEnd w:id="40"/>
      <w:bookmarkEnd w:id="41"/>
      <w:bookmarkEnd w:id="4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3" w:name="_Toc519997241"/>
      <w:bookmarkStart w:id="44" w:name="_Toc522959482"/>
      <w:bookmarkStart w:id="45" w:name="_Toc121562187"/>
      <w:bookmarkStart w:id="46" w:name="_Toc121562277"/>
      <w:bookmarkStart w:id="47" w:name="_Toc241048330"/>
      <w:r>
        <w:rPr>
          <w:rStyle w:val="CharSectno"/>
        </w:rPr>
        <w:t>6</w:t>
      </w:r>
      <w:r>
        <w:rPr>
          <w:snapToGrid w:val="0"/>
        </w:rPr>
        <w:t>.</w:t>
      </w:r>
      <w:r>
        <w:rPr>
          <w:snapToGrid w:val="0"/>
        </w:rPr>
        <w:tab/>
        <w:t>Bill of sale to contain names and addresses of parties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Every bill of sale shall contain: — </w:t>
      </w:r>
    </w:p>
    <w:p>
      <w:pPr>
        <w:pStyle w:val="Indenta"/>
        <w:rPr>
          <w:snapToGrid w:val="0"/>
        </w:rPr>
      </w:pPr>
      <w:r>
        <w:rPr>
          <w:snapToGrid w:val="0"/>
        </w:rPr>
        <w:tab/>
        <w:t>(1)</w:t>
      </w:r>
      <w:r>
        <w:rPr>
          <w:snapToGrid w:val="0"/>
        </w:rPr>
        <w:tab/>
        <w:t>The names of the grantor and grantee, their residences or places of business, and their occupations; provided that 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Indenta"/>
        <w:rPr>
          <w:snapToGrid w:val="0"/>
        </w:rPr>
      </w:pPr>
      <w:r>
        <w:rPr>
          <w:snapToGrid w:val="0"/>
        </w:rPr>
        <w:tab/>
        <w:t>(2)</w:t>
      </w:r>
      <w:r>
        <w:rPr>
          <w:snapToGrid w:val="0"/>
        </w:rPr>
        <w:tab/>
        <w:t>The true consideration, and what portion, if any, if for an antecedent debt; provided that the consideration shall be sufficiently stated, notwithstanding that the costs relative to such bill of sale shall have been deducted from or added to the amount of the expressed consideration.</w:t>
      </w:r>
    </w:p>
    <w:p>
      <w:pPr>
        <w:pStyle w:val="Indenta"/>
        <w:rPr>
          <w:snapToGrid w:val="0"/>
        </w:rPr>
      </w:pPr>
      <w:r>
        <w:rPr>
          <w:snapToGrid w:val="0"/>
        </w:rPr>
        <w:tab/>
        <w:t>(3)</w:t>
      </w:r>
      <w:r>
        <w:rPr>
          <w:snapToGrid w:val="0"/>
        </w:rPr>
        <w:tab/>
        <w:t>The place where the chattels therein referred to, other than after acquired property, are usually situated or kept at the time of the granting of such bill of sale.</w:t>
      </w:r>
    </w:p>
    <w:p>
      <w:pPr>
        <w:pStyle w:val="Indenta"/>
        <w:rPr>
          <w:snapToGrid w:val="0"/>
        </w:rPr>
      </w:pPr>
      <w:r>
        <w:rPr>
          <w:snapToGrid w:val="0"/>
        </w:rPr>
        <w:tab/>
        <w:t>(4)</w:t>
      </w:r>
      <w:r>
        <w:rPr>
          <w:snapToGrid w:val="0"/>
        </w:rPr>
        <w:tab/>
        <w:t>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r>
      <w:r>
        <w:rPr>
          <w:snapToGrid w:val="0"/>
        </w:rPr>
        <w:tab/>
        <w:t>Provided that it shall be sufficient for the purpose of this section if the bill of sale states that the rate of interest shall be the current bank rate for the time being.</w:t>
      </w:r>
    </w:p>
    <w:p>
      <w:pPr>
        <w:pStyle w:val="Footnotesection"/>
      </w:pPr>
      <w:r>
        <w:tab/>
        <w:t xml:space="preserve">[Section 6 amended by No. 24 of 1914 s. 3 (as amended by No. 40 of 1957 s. 4 and 21); No. 10 of 2001 s. 26.] </w:t>
      </w:r>
    </w:p>
    <w:p>
      <w:pPr>
        <w:pStyle w:val="Heading5"/>
        <w:rPr>
          <w:snapToGrid w:val="0"/>
        </w:rPr>
      </w:pPr>
      <w:bookmarkStart w:id="48" w:name="_Toc519997242"/>
      <w:bookmarkStart w:id="49" w:name="_Toc522959483"/>
      <w:bookmarkStart w:id="50" w:name="_Toc121562188"/>
      <w:bookmarkStart w:id="51" w:name="_Toc121562278"/>
      <w:bookmarkStart w:id="52" w:name="_Toc241048331"/>
      <w:r>
        <w:rPr>
          <w:rStyle w:val="CharSectno"/>
        </w:rPr>
        <w:t>7</w:t>
      </w:r>
      <w:r>
        <w:rPr>
          <w:snapToGrid w:val="0"/>
        </w:rPr>
        <w:t>.</w:t>
      </w:r>
      <w:r>
        <w:rPr>
          <w:snapToGrid w:val="0"/>
        </w:rPr>
        <w:tab/>
        <w:t>Future crops and progeny of stock may be included in bill of sale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following classes of property may be assigned by bill of sale, either absolutely or by way of security, and shall be deemed to have been assigned at law as well as in equity, that is to say: — </w:t>
      </w:r>
    </w:p>
    <w:p>
      <w:pPr>
        <w:pStyle w:val="Indenta"/>
        <w:rPr>
          <w:snapToGrid w:val="0"/>
        </w:rPr>
      </w:pPr>
      <w:r>
        <w:rPr>
          <w:snapToGrid w:val="0"/>
        </w:rPr>
        <w:tab/>
        <w:t>(1)</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(2)</w:t>
      </w:r>
      <w:r>
        <w:rPr>
          <w:snapToGrid w:val="0"/>
        </w:rPr>
        <w:tab/>
        <w:t>The progeny coming into existence during the operation of any bill of sale of or which comprises any stock.</w:t>
      </w:r>
    </w:p>
    <w:p>
      <w:pPr>
        <w:pStyle w:val="Subsection"/>
        <w:rPr>
          <w:snapToGrid w:val="0"/>
        </w:rPr>
      </w:pPr>
      <w:r>
        <w:rPr>
          <w:snapToGrid w:val="0"/>
        </w:rPr>
        <w:tab/>
      </w:r>
      <w:r>
        <w:rPr>
          <w:snapToGrid w:val="0"/>
        </w:rPr>
        <w:tab/>
        <w:t>And the possession of such mortgaged crops or progeny by the grantor or any person claiming through him shall, to all intents and purposes, be deemed the possession of the grantee.</w:t>
      </w:r>
    </w:p>
    <w:p>
      <w:pPr>
        <w:pStyle w:val="Footnotesection"/>
      </w:pPr>
      <w:r>
        <w:tab/>
        <w:t xml:space="preserve">[Section 7 amended by No. 17 of 1905 s. 3; No. 24 of 1914 s. 5.] </w:t>
      </w:r>
    </w:p>
    <w:p>
      <w:pPr>
        <w:pStyle w:val="Heading5"/>
        <w:rPr>
          <w:snapToGrid w:val="0"/>
        </w:rPr>
      </w:pPr>
      <w:bookmarkStart w:id="53" w:name="_Toc519997243"/>
      <w:bookmarkStart w:id="54" w:name="_Toc522959484"/>
      <w:bookmarkStart w:id="55" w:name="_Toc121562189"/>
      <w:bookmarkStart w:id="56" w:name="_Toc121562279"/>
      <w:bookmarkStart w:id="57" w:name="_Toc241048332"/>
      <w:r>
        <w:rPr>
          <w:rStyle w:val="CharSectno"/>
        </w:rPr>
        <w:t>7A</w:t>
      </w:r>
      <w:r>
        <w:rPr>
          <w:snapToGrid w:val="0"/>
        </w:rPr>
        <w:t>.</w:t>
      </w:r>
      <w:r>
        <w:rPr>
          <w:snapToGrid w:val="0"/>
        </w:rPr>
        <w:tab/>
        <w:t>Legal interest in future and after acquired chattels to be deemed to pass to grantee of bill of sale</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of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r>
      <w:r>
        <w:rPr>
          <w:snapToGrid w:val="0"/>
        </w:rPr>
        <w:tab/>
        <w:t xml:space="preserve">This section shall take effect as if it had been a provision of the </w:t>
      </w:r>
      <w:r>
        <w:rPr>
          <w:i/>
          <w:snapToGrid w:val="0"/>
        </w:rPr>
        <w:t>Bills of Sale Act 1899</w:t>
      </w:r>
      <w:r>
        <w:rPr>
          <w:snapToGrid w:val="0"/>
        </w:rPr>
        <w:t>, from the commencement thereof.</w:t>
      </w:r>
    </w:p>
    <w:p>
      <w:pPr>
        <w:pStyle w:val="Footnotesection"/>
      </w:pPr>
      <w:r>
        <w:tab/>
        <w:t xml:space="preserve">[Section 7A inserted by No. 17 of 1905 s. 2 (as amended by No. 40 of 1957 s. 21).] </w:t>
      </w:r>
    </w:p>
    <w:p>
      <w:pPr>
        <w:pStyle w:val="Heading5"/>
        <w:rPr>
          <w:snapToGrid w:val="0"/>
        </w:rPr>
      </w:pPr>
      <w:bookmarkStart w:id="58" w:name="_Toc519997244"/>
      <w:bookmarkStart w:id="59" w:name="_Toc522959485"/>
      <w:bookmarkStart w:id="60" w:name="_Toc121562190"/>
      <w:bookmarkStart w:id="61" w:name="_Toc121562280"/>
      <w:bookmarkStart w:id="62" w:name="_Toc241048333"/>
      <w:r>
        <w:rPr>
          <w:rStyle w:val="CharSectno"/>
        </w:rPr>
        <w:t>8</w:t>
      </w:r>
      <w:r>
        <w:rPr>
          <w:snapToGrid w:val="0"/>
        </w:rPr>
        <w:t>.</w:t>
      </w:r>
      <w:r>
        <w:rPr>
          <w:snapToGrid w:val="0"/>
        </w:rPr>
        <w:tab/>
        <w:t>Execution and registration of bill of sale</w:t>
      </w:r>
      <w:bookmarkEnd w:id="58"/>
      <w:bookmarkEnd w:id="59"/>
      <w:bookmarkEnd w:id="60"/>
      <w:bookmarkEnd w:id="61"/>
      <w:bookmarkEnd w:id="62"/>
      <w:r>
        <w:rPr>
          <w:snapToGrid w:val="0"/>
        </w:rPr>
        <w:t xml:space="preserve"> </w:t>
      </w:r>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 xml:space="preserve">[Section 8 inserted by No. 41 of 1925 s. 2 (as amended by No. 40 of 1957 s. 5 and 21); No. 24 of 2005 s. 63.] </w:t>
      </w:r>
    </w:p>
    <w:p>
      <w:pPr>
        <w:pStyle w:val="Ednotesection"/>
      </w:pPr>
      <w:bookmarkStart w:id="63" w:name="_Toc519997246"/>
      <w:bookmarkStart w:id="64" w:name="_Toc522959487"/>
      <w:bookmarkStart w:id="65" w:name="_Toc121562192"/>
      <w:bookmarkStart w:id="66" w:name="_Toc121562282"/>
      <w:r>
        <w:t>[9</w:t>
      </w:r>
      <w:r>
        <w:rPr>
          <w:b/>
          <w:bCs/>
        </w:rPr>
        <w:t>.</w:t>
      </w:r>
      <w:r>
        <w:tab/>
        <w:t>Deleted by No. 24 of 2005 s. 63.]</w:t>
      </w:r>
    </w:p>
    <w:p>
      <w:pPr>
        <w:pStyle w:val="Heading5"/>
        <w:rPr>
          <w:snapToGrid w:val="0"/>
        </w:rPr>
      </w:pPr>
      <w:bookmarkStart w:id="67" w:name="_Toc241048334"/>
      <w:r>
        <w:rPr>
          <w:rStyle w:val="CharSectno"/>
        </w:rPr>
        <w:t>10</w:t>
      </w:r>
      <w:r>
        <w:rPr>
          <w:snapToGrid w:val="0"/>
        </w:rPr>
        <w:t>.</w:t>
      </w:r>
      <w:r>
        <w:rPr>
          <w:snapToGrid w:val="0"/>
        </w:rPr>
        <w:tab/>
        <w:t>Periods for registration</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periods within which a bill of sale shall be presented for registration shall be such as may be prescribed from time to time, but until rules are made hereunder and subject thereto, such periods shall be: — </w:t>
      </w:r>
    </w:p>
    <w:p>
      <w:pPr>
        <w:pStyle w:val="Indenta"/>
        <w:rPr>
          <w:snapToGrid w:val="0"/>
        </w:rPr>
      </w:pPr>
      <w:r>
        <w:rPr>
          <w:snapToGrid w:val="0"/>
        </w:rPr>
        <w:tab/>
        <w:t>(1)</w:t>
      </w:r>
      <w:r>
        <w:rPr>
          <w:snapToGrid w:val="0"/>
        </w:rPr>
        <w:tab/>
        <w:t>10 days from the day of execution, if executed at a place not more than 48 kilometres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(2)</w:t>
      </w:r>
      <w:r>
        <w:rPr>
          <w:snapToGrid w:val="0"/>
        </w:rPr>
        <w:tab/>
        <w:t>14 days from the day of execution, if executed at or within 80 kilometres of the local government district of Albany (Town), Southern Cross, Coolgardie, Kalgoorlie, Menzies, Geraldton, or Cue, or if executed at a place outside such limits, and being more than 48 kilometres distant from the said city, but not more than 321 kilometres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(3)</w:t>
      </w:r>
      <w:r>
        <w:rPr>
          <w:snapToGrid w:val="0"/>
        </w:rPr>
        <w:tab/>
        <w:t>30 days if executed at a place outside the limits aforesaid, and more than 321 kilometres but less than 804 kilometres from the said city;</w:t>
      </w:r>
    </w:p>
    <w:p>
      <w:pPr>
        <w:pStyle w:val="Indenta"/>
        <w:rPr>
          <w:snapToGrid w:val="0"/>
        </w:rPr>
      </w:pPr>
      <w:r>
        <w:rPr>
          <w:snapToGrid w:val="0"/>
        </w:rPr>
        <w:tab/>
        <w:t>(4)</w:t>
      </w:r>
      <w:r>
        <w:rPr>
          <w:snapToGrid w:val="0"/>
        </w:rPr>
        <w:tab/>
        <w:t>60 days from the day on which it was executed, if executed at a place outside the limits aforesaid, and 804 kilometres or more from the said city;</w:t>
      </w:r>
    </w:p>
    <w:p>
      <w:pPr>
        <w:pStyle w:val="Indenta"/>
        <w:rPr>
          <w:snapToGrid w:val="0"/>
        </w:rPr>
      </w:pPr>
      <w:r>
        <w:rPr>
          <w:snapToGrid w:val="0"/>
        </w:rPr>
        <w:tab/>
        <w:t>(5)</w:t>
      </w:r>
      <w:r>
        <w:rPr>
          <w:snapToGrid w:val="0"/>
        </w:rPr>
        <w:tab/>
        <w:t>if executed within the</w:t>
      </w:r>
      <w:r>
        <w:t xml:space="preserve"> local government districts of Wyndham</w:t>
      </w:r>
      <w:r>
        <w:noBreakHyphen/>
        <w:t>East Kimberley or Halls Creek</w:t>
      </w:r>
      <w:r>
        <w:rPr>
          <w:snapToGrid w:val="0"/>
        </w:rPr>
        <w:t>, or at any place out of Western Australia,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r>
      <w:r>
        <w:rPr>
          <w:snapToGrid w:val="0"/>
        </w:rPr>
        <w:tab/>
        <w:t>Provided that the day on which the instrument is executed shall not be included in the said periods: And provided further, that when the time for presenting a bill of sale expires on a day on which the Registrar’s office is closed, the presentation shall be valid if made on the next following day on which such office is open.</w:t>
      </w:r>
    </w:p>
    <w:p>
      <w:pPr>
        <w:pStyle w:val="Footnotesection"/>
      </w:pPr>
      <w:r>
        <w:tab/>
        <w:t xml:space="preserve">[Section 10 amended by No. 40 of 1957 s. 6; No. 40 of 1962 s. 2; No. 94 of 1972 s. 4 (as amended by No. 19 of 1973); No. 14 of 1996 s. 4; No. 59 of 2004 s. 141.] </w:t>
      </w:r>
    </w:p>
    <w:p>
      <w:pPr>
        <w:pStyle w:val="Heading5"/>
        <w:rPr>
          <w:snapToGrid w:val="0"/>
        </w:rPr>
      </w:pPr>
      <w:bookmarkStart w:id="68" w:name="_Toc519997247"/>
      <w:bookmarkStart w:id="69" w:name="_Toc522959488"/>
      <w:bookmarkStart w:id="70" w:name="_Toc121562193"/>
      <w:bookmarkStart w:id="71" w:name="_Toc121562283"/>
      <w:bookmarkStart w:id="72" w:name="_Toc241048335"/>
      <w:r>
        <w:rPr>
          <w:rStyle w:val="CharSectno"/>
        </w:rPr>
        <w:t>11</w:t>
      </w:r>
      <w:r>
        <w:rPr>
          <w:snapToGrid w:val="0"/>
        </w:rPr>
        <w:t>.</w:t>
      </w:r>
      <w:r>
        <w:rPr>
          <w:snapToGrid w:val="0"/>
        </w:rPr>
        <w:tab/>
        <w:t>Registrar shall file and register and keep “Register Book”</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 xml:space="preserve">[Section 11 amended by No. 41 of 1925 s. 3; No. 40 of 1957 s. 9.] </w:t>
      </w:r>
    </w:p>
    <w:p>
      <w:pPr>
        <w:pStyle w:val="Ednotesection"/>
      </w:pPr>
      <w:r>
        <w:t>[</w:t>
      </w:r>
      <w:r>
        <w:rPr>
          <w:b/>
        </w:rPr>
        <w:t>12.</w:t>
      </w:r>
      <w:r>
        <w:tab/>
        <w:t xml:space="preserve">Deleted by No. 24 of 1914 s. 12.] </w:t>
      </w:r>
    </w:p>
    <w:p>
      <w:pPr>
        <w:pStyle w:val="Heading5"/>
        <w:rPr>
          <w:snapToGrid w:val="0"/>
        </w:rPr>
      </w:pPr>
      <w:bookmarkStart w:id="73" w:name="_Toc519997248"/>
      <w:bookmarkStart w:id="74" w:name="_Toc522959489"/>
      <w:bookmarkStart w:id="75" w:name="_Toc121562194"/>
      <w:bookmarkStart w:id="76" w:name="_Toc121562284"/>
      <w:bookmarkStart w:id="77" w:name="_Toc241048336"/>
      <w:r>
        <w:rPr>
          <w:rStyle w:val="CharSectno"/>
        </w:rPr>
        <w:t>13</w:t>
      </w:r>
      <w:r>
        <w:rPr>
          <w:snapToGrid w:val="0"/>
        </w:rPr>
        <w:t>.</w:t>
      </w:r>
      <w:r>
        <w:rPr>
          <w:snapToGrid w:val="0"/>
        </w:rPr>
        <w:tab/>
        <w:t>Judge may extend time or amend error</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78" w:name="_Toc519997249"/>
      <w:bookmarkStart w:id="79" w:name="_Toc522959490"/>
      <w:bookmarkStart w:id="80" w:name="_Toc121562195"/>
      <w:bookmarkStart w:id="81" w:name="_Toc121562285"/>
      <w:bookmarkStart w:id="82" w:name="_Toc241048337"/>
      <w:r>
        <w:rPr>
          <w:rStyle w:val="CharSectno"/>
        </w:rPr>
        <w:t>13A</w:t>
      </w:r>
      <w:r>
        <w:rPr>
          <w:snapToGrid w:val="0"/>
        </w:rPr>
        <w:t>.</w:t>
      </w:r>
      <w:r>
        <w:rPr>
          <w:snapToGrid w:val="0"/>
        </w:rPr>
        <w:tab/>
        <w:t>Power of Registrar to extend time for registration or renewal of registration of a bill of sale</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 xml:space="preserve">[Section 13A inserted by No. 33 of 1966 s. 4.] </w:t>
      </w:r>
    </w:p>
    <w:p>
      <w:pPr>
        <w:pStyle w:val="Heading2"/>
      </w:pPr>
      <w:bookmarkStart w:id="83" w:name="_Toc89168380"/>
      <w:bookmarkStart w:id="84" w:name="_Toc101928552"/>
      <w:bookmarkStart w:id="85" w:name="_Toc121561926"/>
      <w:bookmarkStart w:id="86" w:name="_Toc121562016"/>
      <w:bookmarkStart w:id="87" w:name="_Toc121562106"/>
      <w:bookmarkStart w:id="88" w:name="_Toc121562196"/>
      <w:bookmarkStart w:id="89" w:name="_Toc121562286"/>
      <w:bookmarkStart w:id="90" w:name="_Toc121562376"/>
      <w:bookmarkStart w:id="91" w:name="_Toc124062038"/>
      <w:bookmarkStart w:id="92" w:name="_Toc241048338"/>
      <w:r>
        <w:rPr>
          <w:rStyle w:val="CharPartNo"/>
        </w:rPr>
        <w:t>Part III</w:t>
      </w:r>
      <w:r>
        <w:rPr>
          <w:rStyle w:val="CharDivNo"/>
        </w:rPr>
        <w:t> </w:t>
      </w:r>
      <w:r>
        <w:t>—</w:t>
      </w:r>
      <w:r>
        <w:rPr>
          <w:rStyle w:val="CharDivText"/>
        </w:rPr>
        <w:t> </w:t>
      </w:r>
      <w:r>
        <w:rPr>
          <w:rStyle w:val="CharPartText"/>
        </w:rPr>
        <w:t>Renewal of registration</w:t>
      </w:r>
      <w:bookmarkEnd w:id="83"/>
      <w:bookmarkEnd w:id="84"/>
      <w:bookmarkEnd w:id="85"/>
      <w:bookmarkEnd w:id="86"/>
      <w:bookmarkEnd w:id="87"/>
      <w:bookmarkEnd w:id="88"/>
      <w:bookmarkEnd w:id="89"/>
      <w:bookmarkEnd w:id="90"/>
      <w:bookmarkEnd w:id="91"/>
      <w:bookmarkEnd w:id="9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93" w:name="_Toc519997250"/>
      <w:bookmarkStart w:id="94" w:name="_Toc522959491"/>
      <w:bookmarkStart w:id="95" w:name="_Toc121562197"/>
      <w:bookmarkStart w:id="96" w:name="_Toc121562287"/>
      <w:bookmarkStart w:id="97" w:name="_Toc241048339"/>
      <w:r>
        <w:rPr>
          <w:rStyle w:val="CharSectno"/>
        </w:rPr>
        <w:t>14</w:t>
      </w:r>
      <w:r>
        <w:rPr>
          <w:snapToGrid w:val="0"/>
        </w:rPr>
        <w:t>.</w:t>
      </w:r>
      <w:r>
        <w:rPr>
          <w:snapToGrid w:val="0"/>
        </w:rPr>
        <w:tab/>
        <w:t>Time for renewal</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 xml:space="preserve">[Section 14 amended by No. 40 of 1957 s. 10.] </w:t>
      </w:r>
    </w:p>
    <w:p>
      <w:pPr>
        <w:pStyle w:val="Heading5"/>
        <w:rPr>
          <w:snapToGrid w:val="0"/>
        </w:rPr>
      </w:pPr>
      <w:bookmarkStart w:id="98" w:name="_Toc519997251"/>
      <w:bookmarkStart w:id="99" w:name="_Toc522959492"/>
      <w:bookmarkStart w:id="100" w:name="_Toc121562198"/>
      <w:bookmarkStart w:id="101" w:name="_Toc121562288"/>
      <w:bookmarkStart w:id="102" w:name="_Toc241048340"/>
      <w:r>
        <w:rPr>
          <w:rStyle w:val="CharSectno"/>
        </w:rPr>
        <w:t>15</w:t>
      </w:r>
      <w:r>
        <w:rPr>
          <w:snapToGrid w:val="0"/>
        </w:rPr>
        <w:t>.</w:t>
      </w:r>
      <w:r>
        <w:rPr>
          <w:snapToGrid w:val="0"/>
        </w:rPr>
        <w:tab/>
        <w:t>If not renewed document void</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If not so renewed such registration shall cease to be of any effect at the expiration of any period 3 years during which a renewal has not been made as hereby required.</w:t>
      </w:r>
    </w:p>
    <w:p>
      <w:pPr>
        <w:pStyle w:val="Footnotesection"/>
      </w:pPr>
      <w:r>
        <w:tab/>
        <w:t xml:space="preserve">[Section 15 amended by No. 40 of 1957 s. 11.] </w:t>
      </w:r>
    </w:p>
    <w:p>
      <w:pPr>
        <w:pStyle w:val="Heading5"/>
        <w:rPr>
          <w:snapToGrid w:val="0"/>
        </w:rPr>
      </w:pPr>
      <w:bookmarkStart w:id="103" w:name="_Toc519997252"/>
      <w:bookmarkStart w:id="104" w:name="_Toc522959493"/>
      <w:bookmarkStart w:id="105" w:name="_Toc121562199"/>
      <w:bookmarkStart w:id="106" w:name="_Toc121562289"/>
      <w:bookmarkStart w:id="107" w:name="_Toc241048341"/>
      <w:r>
        <w:rPr>
          <w:rStyle w:val="CharSectno"/>
        </w:rPr>
        <w:t>16</w:t>
      </w:r>
      <w:r>
        <w:rPr>
          <w:snapToGrid w:val="0"/>
        </w:rPr>
        <w:t>.</w:t>
      </w:r>
      <w:r>
        <w:rPr>
          <w:snapToGrid w:val="0"/>
        </w:rPr>
        <w:tab/>
        <w:t>Mode of renewal</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08" w:name="_Toc519997253"/>
      <w:bookmarkStart w:id="109" w:name="_Toc522959494"/>
      <w:bookmarkStart w:id="110" w:name="_Toc121562200"/>
      <w:bookmarkStart w:id="111" w:name="_Toc121562290"/>
      <w:bookmarkStart w:id="112" w:name="_Toc241048342"/>
      <w:r>
        <w:rPr>
          <w:rStyle w:val="CharSectno"/>
        </w:rPr>
        <w:t>16A</w:t>
      </w:r>
      <w:r>
        <w:rPr>
          <w:snapToGrid w:val="0"/>
        </w:rPr>
        <w:t>.</w:t>
      </w:r>
      <w:r>
        <w:rPr>
          <w:snapToGrid w:val="0"/>
        </w:rPr>
        <w:tab/>
        <w:t>Affidavit under section 16 may be made by attorney</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 xml:space="preserve">[Section 16A inserted by No. 13 of 1906 s. 15 (as amended by No. 40 of 1957 s. 21).] </w:t>
      </w:r>
    </w:p>
    <w:p>
      <w:pPr>
        <w:pStyle w:val="Heading5"/>
        <w:rPr>
          <w:snapToGrid w:val="0"/>
        </w:rPr>
      </w:pPr>
      <w:bookmarkStart w:id="113" w:name="_Toc519997254"/>
      <w:bookmarkStart w:id="114" w:name="_Toc522959495"/>
      <w:bookmarkStart w:id="115" w:name="_Toc121562201"/>
      <w:bookmarkStart w:id="116" w:name="_Toc121562291"/>
      <w:bookmarkStart w:id="117" w:name="_Toc241048343"/>
      <w:r>
        <w:rPr>
          <w:rStyle w:val="CharSectno"/>
        </w:rPr>
        <w:t>17</w:t>
      </w:r>
      <w:r>
        <w:rPr>
          <w:snapToGrid w:val="0"/>
        </w:rPr>
        <w:t>.</w:t>
      </w:r>
      <w:r>
        <w:rPr>
          <w:snapToGrid w:val="0"/>
        </w:rPr>
        <w:tab/>
        <w:t>Registration of renewal</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 xml:space="preserve">[Section 17 amended by No. 41 of 1925 s. 4 (as amended by No. 40 of 1957 s. 21).] </w:t>
      </w:r>
    </w:p>
    <w:p>
      <w:pPr>
        <w:pStyle w:val="Heading2"/>
      </w:pPr>
      <w:bookmarkStart w:id="118" w:name="_Toc89168386"/>
      <w:bookmarkStart w:id="119" w:name="_Toc101928558"/>
      <w:bookmarkStart w:id="120" w:name="_Toc121561932"/>
      <w:bookmarkStart w:id="121" w:name="_Toc121562022"/>
      <w:bookmarkStart w:id="122" w:name="_Toc121562112"/>
      <w:bookmarkStart w:id="123" w:name="_Toc121562202"/>
      <w:bookmarkStart w:id="124" w:name="_Toc121562292"/>
      <w:bookmarkStart w:id="125" w:name="_Toc121562382"/>
      <w:bookmarkStart w:id="126" w:name="_Toc124062044"/>
      <w:bookmarkStart w:id="127" w:name="_Toc241048344"/>
      <w:r>
        <w:rPr>
          <w:rStyle w:val="CharPartNo"/>
        </w:rPr>
        <w:t>Part IV</w:t>
      </w:r>
      <w:r>
        <w:rPr>
          <w:rStyle w:val="CharDivNo"/>
        </w:rPr>
        <w:t> </w:t>
      </w:r>
      <w:r>
        <w:t>—</w:t>
      </w:r>
      <w:r>
        <w:rPr>
          <w:rStyle w:val="CharDivText"/>
        </w:rPr>
        <w:t> </w:t>
      </w:r>
      <w:r>
        <w:rPr>
          <w:rStyle w:val="CharPartText"/>
        </w:rPr>
        <w:t>Bills of sale by way of security</w:t>
      </w:r>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Footnoteheading"/>
        <w:ind w:left="882" w:hanging="882"/>
      </w:pPr>
      <w:r>
        <w:tab/>
        <w:t xml:space="preserve">[Heading inserted by No. 13 of 1906 s. 1A (as amended by No. 40 of 1957 s. 21).] </w:t>
      </w:r>
    </w:p>
    <w:p>
      <w:pPr>
        <w:pStyle w:val="Heading5"/>
        <w:rPr>
          <w:snapToGrid w:val="0"/>
        </w:rPr>
      </w:pPr>
      <w:bookmarkStart w:id="128" w:name="_Toc519997255"/>
      <w:bookmarkStart w:id="129" w:name="_Toc522959496"/>
      <w:bookmarkStart w:id="130" w:name="_Toc121562203"/>
      <w:bookmarkStart w:id="131" w:name="_Toc121562293"/>
      <w:bookmarkStart w:id="132" w:name="_Toc241048345"/>
      <w:r>
        <w:rPr>
          <w:rStyle w:val="CharSectno"/>
        </w:rPr>
        <w:t>17A</w:t>
      </w:r>
      <w:r>
        <w:rPr>
          <w:snapToGrid w:val="0"/>
        </w:rPr>
        <w:t>.</w:t>
      </w:r>
      <w:r>
        <w:rPr>
          <w:snapToGrid w:val="0"/>
        </w:rPr>
        <w:tab/>
        <w:t>Interpretation</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 xml:space="preserve">[Section 17A inserted by No. 13 of 1906 s. 2 (as amended by No. 40 of 1957 s. 7 and 21).] </w:t>
      </w:r>
    </w:p>
    <w:p>
      <w:pPr>
        <w:pStyle w:val="Ednotesection"/>
      </w:pPr>
      <w:r>
        <w:t>[</w:t>
      </w:r>
      <w:r>
        <w:rPr>
          <w:b/>
        </w:rPr>
        <w:t>17B</w:t>
      </w:r>
      <w:r>
        <w:rPr>
          <w:b/>
        </w:rPr>
        <w:noBreakHyphen/>
        <w:t>17Q</w:t>
      </w:r>
      <w:r>
        <w:t>.</w:t>
      </w:r>
      <w:r>
        <w:tab/>
        <w:t xml:space="preserve">Deleted by No. 20 of 1986 s. 4.] </w:t>
      </w:r>
    </w:p>
    <w:p>
      <w:pPr>
        <w:pStyle w:val="Heading5"/>
        <w:rPr>
          <w:snapToGrid w:val="0"/>
        </w:rPr>
      </w:pPr>
      <w:bookmarkStart w:id="133" w:name="_Toc519997256"/>
      <w:bookmarkStart w:id="134" w:name="_Toc522959497"/>
      <w:bookmarkStart w:id="135" w:name="_Toc121562204"/>
      <w:bookmarkStart w:id="136" w:name="_Toc121562294"/>
      <w:bookmarkStart w:id="137" w:name="_Toc241048346"/>
      <w:r>
        <w:rPr>
          <w:rStyle w:val="CharSectno"/>
        </w:rPr>
        <w:t>17R</w:t>
      </w:r>
      <w:r>
        <w:rPr>
          <w:snapToGrid w:val="0"/>
        </w:rPr>
        <w:t>.</w:t>
      </w:r>
      <w:r>
        <w:rPr>
          <w:snapToGrid w:val="0"/>
        </w:rPr>
        <w:tab/>
        <w:t>Form of bill of sale — Tenth Schedule</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 xml:space="preserve">[Section 17R inserted by No. 24 of 1914 s. 10 (as amended by No. 40 of 1957 s. 21).] </w:t>
      </w:r>
    </w:p>
    <w:p>
      <w:pPr>
        <w:pStyle w:val="Heading5"/>
        <w:rPr>
          <w:snapToGrid w:val="0"/>
        </w:rPr>
      </w:pPr>
      <w:bookmarkStart w:id="138" w:name="_Toc519997257"/>
      <w:bookmarkStart w:id="139" w:name="_Toc522959498"/>
      <w:bookmarkStart w:id="140" w:name="_Toc121562205"/>
      <w:bookmarkStart w:id="141" w:name="_Toc121562295"/>
      <w:bookmarkStart w:id="142" w:name="_Toc241048347"/>
      <w:r>
        <w:rPr>
          <w:rStyle w:val="CharSectno"/>
        </w:rPr>
        <w:t>17S</w:t>
      </w:r>
      <w:r>
        <w:rPr>
          <w:snapToGrid w:val="0"/>
        </w:rPr>
        <w:t>.</w:t>
      </w:r>
      <w:r>
        <w:rPr>
          <w:snapToGrid w:val="0"/>
        </w:rPr>
        <w:tab/>
        <w:t>Implied covenants — Eleventh Schedule</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snapToGrid w:val="0"/>
        </w:rPr>
        <w:t>Consumer Credit (Western Australia) Code</w:t>
      </w:r>
      <w:r>
        <w:rPr>
          <w:snapToGrid w:val="0"/>
        </w:rPr>
        <w:t xml:space="preserve"> in relation to any bill of sale that is a mortgage to which that Code applies.</w:t>
      </w:r>
    </w:p>
    <w:p>
      <w:pPr>
        <w:pStyle w:val="Footnotesection"/>
      </w:pPr>
      <w:r>
        <w:tab/>
        <w:t xml:space="preserve">[Section 17S inserted by No. 24 of 1914 s. 11 (as amended by No. 40 of 1957 s. 21);  amended by No. 102 of 1984 s. 3; No. 30 of 1996 s. 13.] </w:t>
      </w:r>
    </w:p>
    <w:p>
      <w:pPr>
        <w:pStyle w:val="Heading2"/>
      </w:pPr>
      <w:bookmarkStart w:id="143" w:name="_Toc89168390"/>
      <w:bookmarkStart w:id="144" w:name="_Toc101928562"/>
      <w:bookmarkStart w:id="145" w:name="_Toc121561936"/>
      <w:bookmarkStart w:id="146" w:name="_Toc121562026"/>
      <w:bookmarkStart w:id="147" w:name="_Toc121562116"/>
      <w:bookmarkStart w:id="148" w:name="_Toc121562206"/>
      <w:bookmarkStart w:id="149" w:name="_Toc121562296"/>
      <w:bookmarkStart w:id="150" w:name="_Toc121562386"/>
      <w:bookmarkStart w:id="151" w:name="_Toc124062048"/>
      <w:bookmarkStart w:id="152" w:name="_Toc241048348"/>
      <w:r>
        <w:rPr>
          <w:rStyle w:val="CharPartNo"/>
        </w:rPr>
        <w:t>Part V</w:t>
      </w:r>
      <w:r>
        <w:rPr>
          <w:rStyle w:val="CharDivNo"/>
        </w:rPr>
        <w:t> </w:t>
      </w:r>
      <w:r>
        <w:t>—</w:t>
      </w:r>
      <w:r>
        <w:rPr>
          <w:rStyle w:val="CharDivText"/>
        </w:rPr>
        <w:t> </w:t>
      </w:r>
      <w:r>
        <w:rPr>
          <w:rStyle w:val="CharPartText"/>
        </w:rPr>
        <w:t>Searches and office copies</w:t>
      </w:r>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53" w:name="_Toc519997258"/>
      <w:bookmarkStart w:id="154" w:name="_Toc522959499"/>
      <w:bookmarkStart w:id="155" w:name="_Toc121562207"/>
      <w:bookmarkStart w:id="156" w:name="_Toc121562297"/>
      <w:bookmarkStart w:id="157" w:name="_Toc241048349"/>
      <w:r>
        <w:rPr>
          <w:rStyle w:val="CharSectno"/>
        </w:rPr>
        <w:t>18</w:t>
      </w:r>
      <w:r>
        <w:rPr>
          <w:snapToGrid w:val="0"/>
        </w:rPr>
        <w:t>.</w:t>
      </w:r>
      <w:r>
        <w:rPr>
          <w:snapToGrid w:val="0"/>
        </w:rPr>
        <w:tab/>
        <w:t>Search may be made of records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 xml:space="preserve">[Section 18 amended by No. 41 of 1925 s. 5; No. 52 of 1957 s. 2; No. 113 of 1965 s. 8; No. 74 of 1981 s. 6; No. 49 of 1983 s. 6.] </w:t>
      </w:r>
    </w:p>
    <w:p>
      <w:pPr>
        <w:pStyle w:val="Heading5"/>
        <w:rPr>
          <w:snapToGrid w:val="0"/>
        </w:rPr>
      </w:pPr>
      <w:bookmarkStart w:id="158" w:name="_Toc519997259"/>
      <w:bookmarkStart w:id="159" w:name="_Toc522959500"/>
      <w:bookmarkStart w:id="160" w:name="_Toc121562208"/>
      <w:bookmarkStart w:id="161" w:name="_Toc121562298"/>
      <w:bookmarkStart w:id="162" w:name="_Toc241048350"/>
      <w:r>
        <w:rPr>
          <w:rStyle w:val="CharSectno"/>
        </w:rPr>
        <w:t>19</w:t>
      </w:r>
      <w:r>
        <w:rPr>
          <w:snapToGrid w:val="0"/>
        </w:rPr>
        <w:t>.</w:t>
      </w:r>
      <w:r>
        <w:rPr>
          <w:snapToGrid w:val="0"/>
        </w:rPr>
        <w:tab/>
        <w:t>Office copy or extract to be given</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 xml:space="preserve">[Section 19 inserted by No. 52 of 1957 s. 2; amended by No. 113 of 1965 s. 8; No. 74 of 1981 s. 6; No. 49 of 1983 s. 7.] </w:t>
      </w:r>
    </w:p>
    <w:p>
      <w:pPr>
        <w:pStyle w:val="Heading5"/>
        <w:rPr>
          <w:snapToGrid w:val="0"/>
        </w:rPr>
      </w:pPr>
      <w:bookmarkStart w:id="163" w:name="_Toc519997260"/>
      <w:bookmarkStart w:id="164" w:name="_Toc522959501"/>
      <w:bookmarkStart w:id="165" w:name="_Toc121562209"/>
      <w:bookmarkStart w:id="166" w:name="_Toc121562299"/>
      <w:bookmarkStart w:id="167" w:name="_Toc241048351"/>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 xml:space="preserve">[Section 20 amended by No. 41 of 1925 s. 6.] </w:t>
      </w:r>
    </w:p>
    <w:p>
      <w:pPr>
        <w:pStyle w:val="Heading2"/>
      </w:pPr>
      <w:bookmarkStart w:id="168" w:name="_Toc89168394"/>
      <w:bookmarkStart w:id="169" w:name="_Toc101928566"/>
      <w:bookmarkStart w:id="170" w:name="_Toc121561940"/>
      <w:bookmarkStart w:id="171" w:name="_Toc121562030"/>
      <w:bookmarkStart w:id="172" w:name="_Toc121562120"/>
      <w:bookmarkStart w:id="173" w:name="_Toc121562210"/>
      <w:bookmarkStart w:id="174" w:name="_Toc121562300"/>
      <w:bookmarkStart w:id="175" w:name="_Toc121562390"/>
      <w:bookmarkStart w:id="176" w:name="_Toc124062052"/>
      <w:bookmarkStart w:id="177" w:name="_Toc241048352"/>
      <w:r>
        <w:rPr>
          <w:rStyle w:val="CharPartNo"/>
        </w:rPr>
        <w:t>Part VI</w:t>
      </w:r>
      <w:r>
        <w:rPr>
          <w:rStyle w:val="CharDivNo"/>
        </w:rPr>
        <w:t> </w:t>
      </w:r>
      <w:r>
        <w:t>—</w:t>
      </w:r>
      <w:r>
        <w:rPr>
          <w:rStyle w:val="CharDivText"/>
        </w:rPr>
        <w:t> </w:t>
      </w:r>
      <w:r>
        <w:rPr>
          <w:rStyle w:val="CharPartText"/>
        </w:rPr>
        <w:t>Entry of satisfaction</w:t>
      </w:r>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78" w:name="_Toc519997261"/>
      <w:bookmarkStart w:id="179" w:name="_Toc522959502"/>
      <w:bookmarkStart w:id="180" w:name="_Toc121562211"/>
      <w:bookmarkStart w:id="181" w:name="_Toc121562301"/>
      <w:bookmarkStart w:id="182" w:name="_Toc241048353"/>
      <w:r>
        <w:rPr>
          <w:rStyle w:val="CharSectno"/>
        </w:rPr>
        <w:t>21</w:t>
      </w:r>
      <w:r>
        <w:rPr>
          <w:snapToGrid w:val="0"/>
        </w:rPr>
        <w:t>.</w:t>
      </w:r>
      <w:r>
        <w:rPr>
          <w:snapToGrid w:val="0"/>
        </w:rPr>
        <w:tab/>
        <w:t>Memo of satisfaction may be filed</w:t>
      </w:r>
      <w:bookmarkEnd w:id="178"/>
      <w:bookmarkEnd w:id="179"/>
      <w:bookmarkEnd w:id="180"/>
      <w:bookmarkEnd w:id="181"/>
      <w:bookmarkEnd w:id="182"/>
      <w:r>
        <w:rPr>
          <w:snapToGrid w:val="0"/>
        </w:rPr>
        <w:t xml:space="preserve"> </w:t>
      </w:r>
    </w:p>
    <w:p>
      <w:pPr>
        <w:pStyle w:val="Subsection"/>
        <w:spacing w:before="100"/>
        <w:rPr>
          <w:snapToGrid w:val="0"/>
        </w:rPr>
      </w:pPr>
      <w:r>
        <w:rPr>
          <w:snapToGrid w:val="0"/>
        </w:rPr>
        <w:tab/>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 The execution of such memorandum shall be verified by the affidavit of the attesting witness thereto.</w:t>
      </w:r>
    </w:p>
    <w:p>
      <w:pPr>
        <w:pStyle w:val="Subsection"/>
        <w:spacing w:before="100"/>
        <w:rPr>
          <w:snapToGrid w:val="0"/>
        </w:rPr>
      </w:pPr>
      <w:r>
        <w:rPr>
          <w:snapToGrid w:val="0"/>
        </w:rPr>
        <w:tab/>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 xml:space="preserve">[Section 21 amended by No. 40 of 1957 s. 12; No. 52 of 1957 s. 2; No. 113 of 1965 s. 8; No. 74 of 1981 s. 8; No. 49 of 1983 s. 8.] </w:t>
      </w:r>
    </w:p>
    <w:p>
      <w:pPr>
        <w:pStyle w:val="Heading5"/>
        <w:spacing w:before="120"/>
        <w:rPr>
          <w:snapToGrid w:val="0"/>
        </w:rPr>
      </w:pPr>
      <w:bookmarkStart w:id="183" w:name="_Toc519997262"/>
      <w:bookmarkStart w:id="184" w:name="_Toc522959503"/>
      <w:bookmarkStart w:id="185" w:name="_Toc121562212"/>
      <w:bookmarkStart w:id="186" w:name="_Toc121562302"/>
      <w:bookmarkStart w:id="187" w:name="_Toc241048354"/>
      <w:r>
        <w:rPr>
          <w:rStyle w:val="CharSectno"/>
        </w:rPr>
        <w:t>22</w:t>
      </w:r>
      <w:r>
        <w:rPr>
          <w:snapToGrid w:val="0"/>
        </w:rPr>
        <w:t>.</w:t>
      </w:r>
      <w:r>
        <w:rPr>
          <w:snapToGrid w:val="0"/>
        </w:rPr>
        <w:tab/>
        <w:t>On filing memo the debt shall be discharged</w:t>
      </w:r>
      <w:bookmarkEnd w:id="183"/>
      <w:bookmarkEnd w:id="184"/>
      <w:bookmarkEnd w:id="185"/>
      <w:bookmarkEnd w:id="186"/>
      <w:bookmarkEnd w:id="187"/>
      <w:r>
        <w:rPr>
          <w:snapToGrid w:val="0"/>
        </w:rPr>
        <w:t xml:space="preserve"> </w:t>
      </w:r>
    </w:p>
    <w:p>
      <w:pPr>
        <w:pStyle w:val="Subsection"/>
        <w:spacing w:before="100"/>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 xml:space="preserve">[Section 22 amended by No. 40 of 1957 s. 13.] </w:t>
      </w:r>
    </w:p>
    <w:p>
      <w:pPr>
        <w:pStyle w:val="Heading5"/>
        <w:rPr>
          <w:snapToGrid w:val="0"/>
        </w:rPr>
      </w:pPr>
      <w:bookmarkStart w:id="188" w:name="_Toc519997263"/>
      <w:bookmarkStart w:id="189" w:name="_Toc522959504"/>
      <w:bookmarkStart w:id="190" w:name="_Toc121562213"/>
      <w:bookmarkStart w:id="191" w:name="_Toc121562303"/>
      <w:bookmarkStart w:id="192" w:name="_Toc241048355"/>
      <w:r>
        <w:rPr>
          <w:rStyle w:val="CharSectno"/>
        </w:rPr>
        <w:t>23</w:t>
      </w:r>
      <w:r>
        <w:rPr>
          <w:snapToGrid w:val="0"/>
        </w:rPr>
        <w:t>.</w:t>
      </w:r>
      <w:r>
        <w:rPr>
          <w:snapToGrid w:val="0"/>
        </w:rPr>
        <w:tab/>
        <w:t>If grantee absent the Registrar may receive money</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193" w:name="_Toc519997264"/>
      <w:bookmarkStart w:id="194" w:name="_Toc522959505"/>
      <w:bookmarkStart w:id="195" w:name="_Toc121562214"/>
      <w:bookmarkStart w:id="196" w:name="_Toc121562304"/>
      <w:bookmarkStart w:id="197" w:name="_Toc241048356"/>
      <w:r>
        <w:rPr>
          <w:rStyle w:val="CharSectno"/>
        </w:rPr>
        <w:t>24</w:t>
      </w:r>
      <w:r>
        <w:rPr>
          <w:snapToGrid w:val="0"/>
        </w:rPr>
        <w:t>.</w:t>
      </w:r>
      <w:r>
        <w:rPr>
          <w:snapToGrid w:val="0"/>
        </w:rPr>
        <w:tab/>
        <w:t>Judge may order memorandum of discharge to be entered</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198" w:name="_Toc89168399"/>
      <w:bookmarkStart w:id="199" w:name="_Toc101928571"/>
      <w:bookmarkStart w:id="200" w:name="_Toc121561945"/>
      <w:bookmarkStart w:id="201" w:name="_Toc121562035"/>
      <w:bookmarkStart w:id="202" w:name="_Toc121562125"/>
      <w:bookmarkStart w:id="203" w:name="_Toc121562215"/>
      <w:bookmarkStart w:id="204" w:name="_Toc121562305"/>
      <w:bookmarkStart w:id="205" w:name="_Toc121562395"/>
      <w:bookmarkStart w:id="206" w:name="_Toc124062057"/>
      <w:bookmarkStart w:id="207" w:name="_Toc241048357"/>
      <w:r>
        <w:rPr>
          <w:rStyle w:val="CharPartNo"/>
        </w:rPr>
        <w:t>Part VII</w:t>
      </w:r>
      <w:r>
        <w:rPr>
          <w:rStyle w:val="CharDivNo"/>
        </w:rPr>
        <w:t> </w:t>
      </w:r>
      <w:r>
        <w:t>—</w:t>
      </w:r>
      <w:r>
        <w:rPr>
          <w:rStyle w:val="CharDivText"/>
        </w:rPr>
        <w:t> </w:t>
      </w:r>
      <w:r>
        <w:rPr>
          <w:rStyle w:val="CharPartText"/>
        </w:rPr>
        <w:t>Effect of registration</w:t>
      </w:r>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08" w:name="_Toc519997265"/>
      <w:bookmarkStart w:id="209" w:name="_Toc522959506"/>
      <w:bookmarkStart w:id="210" w:name="_Toc121562216"/>
      <w:bookmarkStart w:id="211" w:name="_Toc121562306"/>
      <w:bookmarkStart w:id="212" w:name="_Toc241048358"/>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r>
        <w:t>a personal insolvency agreement,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r>
        <w:t xml:space="preserve">the personal insolvency agreement,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 xml:space="preserve">[Section 25 inserted by No. 41 of 1925 s. 7; amended by No. 18 of 2009 s. 12(2).] </w:t>
      </w:r>
    </w:p>
    <w:p>
      <w:pPr>
        <w:pStyle w:val="Heading5"/>
        <w:rPr>
          <w:snapToGrid w:val="0"/>
        </w:rPr>
      </w:pPr>
      <w:bookmarkStart w:id="213" w:name="_Toc519997266"/>
      <w:bookmarkStart w:id="214" w:name="_Toc522959507"/>
      <w:bookmarkStart w:id="215" w:name="_Toc121562217"/>
      <w:bookmarkStart w:id="216" w:name="_Toc121562307"/>
      <w:bookmarkStart w:id="217" w:name="_Toc241048359"/>
      <w:r>
        <w:rPr>
          <w:rStyle w:val="CharSectno"/>
        </w:rPr>
        <w:t>25A</w:t>
      </w:r>
      <w:r>
        <w:rPr>
          <w:snapToGrid w:val="0"/>
        </w:rPr>
        <w:t>.</w:t>
      </w:r>
      <w:r>
        <w:rPr>
          <w:snapToGrid w:val="0"/>
        </w:rPr>
        <w:tab/>
        <w:t>Certain errors in bill of sale not to invalidate it</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 xml:space="preserve">[Section 25A inserted by No. 13 of 1906 s. 14 (as amended by No. 40 of 1957 s. 8 and 21).] </w:t>
      </w:r>
    </w:p>
    <w:p>
      <w:pPr>
        <w:pStyle w:val="Heading5"/>
        <w:rPr>
          <w:snapToGrid w:val="0"/>
        </w:rPr>
      </w:pPr>
      <w:bookmarkStart w:id="218" w:name="_Toc519997267"/>
      <w:bookmarkStart w:id="219" w:name="_Toc522959508"/>
      <w:bookmarkStart w:id="220" w:name="_Toc121562218"/>
      <w:bookmarkStart w:id="221" w:name="_Toc121562308"/>
      <w:bookmarkStart w:id="222" w:name="_Toc241048360"/>
      <w:r>
        <w:rPr>
          <w:rStyle w:val="CharSectno"/>
        </w:rPr>
        <w:t>26</w:t>
      </w:r>
      <w:r>
        <w:rPr>
          <w:snapToGrid w:val="0"/>
        </w:rPr>
        <w:t>.</w:t>
      </w:r>
      <w:r>
        <w:rPr>
          <w:snapToGrid w:val="0"/>
        </w:rPr>
        <w:tab/>
        <w:t>Application of doctrine of “apparent possession”</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223" w:name="_Toc519997268"/>
      <w:bookmarkStart w:id="224" w:name="_Toc522959509"/>
      <w:bookmarkStart w:id="225" w:name="_Toc121562219"/>
      <w:bookmarkStart w:id="226" w:name="_Toc121562309"/>
      <w:bookmarkStart w:id="227" w:name="_Toc241048361"/>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228" w:name="_Toc519997269"/>
      <w:bookmarkStart w:id="229" w:name="_Toc522959510"/>
      <w:bookmarkStart w:id="230" w:name="_Toc121562220"/>
      <w:bookmarkStart w:id="231" w:name="_Toc121562310"/>
      <w:bookmarkStart w:id="232" w:name="_Toc241048362"/>
      <w:r>
        <w:rPr>
          <w:rStyle w:val="CharSectno"/>
        </w:rPr>
        <w:t>28</w:t>
      </w:r>
      <w:r>
        <w:rPr>
          <w:snapToGrid w:val="0"/>
        </w:rPr>
        <w:t>.</w:t>
      </w:r>
      <w:r>
        <w:rPr>
          <w:snapToGrid w:val="0"/>
        </w:rPr>
        <w:tab/>
        <w:t>Chattels liable to distress for rates</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 xml:space="preserve">Deleted by No. 40 of 1957 s. 14.] </w:t>
      </w:r>
    </w:p>
    <w:p>
      <w:pPr>
        <w:pStyle w:val="Ednotesection"/>
      </w:pPr>
      <w:r>
        <w:t>[</w:t>
      </w:r>
      <w:r>
        <w:rPr>
          <w:b/>
        </w:rPr>
        <w:t>29A.</w:t>
      </w:r>
      <w:r>
        <w:tab/>
        <w:t xml:space="preserve">Deleted by No. 102 of 1987 s. 5.] </w:t>
      </w:r>
    </w:p>
    <w:p>
      <w:pPr>
        <w:pStyle w:val="Heading2"/>
      </w:pPr>
      <w:bookmarkStart w:id="233" w:name="_Toc89168405"/>
      <w:bookmarkStart w:id="234" w:name="_Toc101928577"/>
      <w:bookmarkStart w:id="235" w:name="_Toc121561951"/>
      <w:bookmarkStart w:id="236" w:name="_Toc121562041"/>
      <w:bookmarkStart w:id="237" w:name="_Toc121562131"/>
      <w:bookmarkStart w:id="238" w:name="_Toc121562221"/>
      <w:bookmarkStart w:id="239" w:name="_Toc121562311"/>
      <w:bookmarkStart w:id="240" w:name="_Toc121562401"/>
      <w:bookmarkStart w:id="241" w:name="_Toc124062063"/>
      <w:bookmarkStart w:id="242" w:name="_Toc241048363"/>
      <w:r>
        <w:rPr>
          <w:rStyle w:val="CharPartNo"/>
        </w:rPr>
        <w:t>Part VIII</w:t>
      </w:r>
      <w:r>
        <w:rPr>
          <w:rStyle w:val="CharDivNo"/>
        </w:rPr>
        <w:t> </w:t>
      </w:r>
      <w:r>
        <w:t>—</w:t>
      </w:r>
      <w:r>
        <w:rPr>
          <w:rStyle w:val="CharDivText"/>
        </w:rPr>
        <w:t> </w:t>
      </w:r>
      <w:r>
        <w:rPr>
          <w:rStyle w:val="CharPartText"/>
        </w:rPr>
        <w:t>General</w:t>
      </w:r>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43" w:name="_Toc519997270"/>
      <w:bookmarkStart w:id="244" w:name="_Toc522959511"/>
      <w:bookmarkStart w:id="245" w:name="_Toc121562222"/>
      <w:bookmarkStart w:id="246" w:name="_Toc121562312"/>
      <w:bookmarkStart w:id="247" w:name="_Toc241048364"/>
      <w:r>
        <w:rPr>
          <w:rStyle w:val="CharSectno"/>
        </w:rPr>
        <w:t>30</w:t>
      </w:r>
      <w:r>
        <w:rPr>
          <w:snapToGrid w:val="0"/>
        </w:rPr>
        <w:t>.</w:t>
      </w:r>
      <w:r>
        <w:rPr>
          <w:snapToGrid w:val="0"/>
        </w:rPr>
        <w:tab/>
        <w:t>When instrument made subject to a defeasance not contained therein</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r>
      <w:r>
        <w:rPr>
          <w:snapToGrid w:val="0"/>
        </w:rPr>
        <w:tab/>
        <w:t>Provided that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r>
      <w:r>
        <w:rPr>
          <w:snapToGrid w:val="0"/>
        </w:rPr>
        <w:tab/>
        <w:t>This section shall not apply to any bill of exchange or promissory note comprising the amount secured or any part thereof.</w:t>
      </w:r>
    </w:p>
    <w:p>
      <w:pPr>
        <w:pStyle w:val="Heading5"/>
        <w:rPr>
          <w:snapToGrid w:val="0"/>
        </w:rPr>
      </w:pPr>
      <w:bookmarkStart w:id="248" w:name="_Toc519997271"/>
      <w:bookmarkStart w:id="249" w:name="_Toc522959512"/>
      <w:bookmarkStart w:id="250" w:name="_Toc121562223"/>
      <w:bookmarkStart w:id="251" w:name="_Toc121562313"/>
      <w:bookmarkStart w:id="252" w:name="_Toc241048365"/>
      <w:r>
        <w:rPr>
          <w:rStyle w:val="CharSectno"/>
        </w:rPr>
        <w:t>31</w:t>
      </w:r>
      <w:r>
        <w:rPr>
          <w:snapToGrid w:val="0"/>
        </w:rPr>
        <w:t>.</w:t>
      </w:r>
      <w:r>
        <w:rPr>
          <w:snapToGrid w:val="0"/>
        </w:rPr>
        <w:tab/>
        <w:t>Bill of sale void in certain cases except for present advances etc.</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Every bill of sale given absolutely or by way of security shall be fraudulent and void as against the trustee in bankruptcy or under </w:t>
      </w:r>
      <w:r>
        <w:t xml:space="preserve">a personal insolvency agreement,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r>
        <w:t>personal insolvency agreement</w:t>
      </w:r>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 Provided that this section shall not apply to any agreement for the hire, with or without the right of purchase, of chattels.</w:t>
      </w:r>
    </w:p>
    <w:p>
      <w:pPr>
        <w:pStyle w:val="Footnotesection"/>
      </w:pPr>
      <w:r>
        <w:tab/>
        <w:t xml:space="preserve">[Section 31 amended by No. 24 of 1914 s. 6; No. 18 of 2009 s. 12(3).] </w:t>
      </w:r>
    </w:p>
    <w:p>
      <w:pPr>
        <w:pStyle w:val="Heading5"/>
        <w:rPr>
          <w:snapToGrid w:val="0"/>
        </w:rPr>
      </w:pPr>
      <w:bookmarkStart w:id="253" w:name="_Toc519997272"/>
      <w:bookmarkStart w:id="254" w:name="_Toc522959513"/>
      <w:bookmarkStart w:id="255" w:name="_Toc121562224"/>
      <w:bookmarkStart w:id="256" w:name="_Toc121562314"/>
      <w:bookmarkStart w:id="257" w:name="_Toc241048366"/>
      <w:r>
        <w:rPr>
          <w:rStyle w:val="CharSectno"/>
        </w:rPr>
        <w:t>31A</w:t>
      </w:r>
      <w:r>
        <w:rPr>
          <w:snapToGrid w:val="0"/>
        </w:rPr>
        <w:t>.</w:t>
      </w:r>
      <w:r>
        <w:rPr>
          <w:snapToGrid w:val="0"/>
        </w:rPr>
        <w:tab/>
        <w:t>Contemporaneous and future advances</w:t>
      </w:r>
      <w:bookmarkEnd w:id="253"/>
      <w:bookmarkEnd w:id="254"/>
      <w:bookmarkEnd w:id="255"/>
      <w:bookmarkEnd w:id="256"/>
      <w:bookmarkEnd w:id="25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 xml:space="preserve">[Section 31A inserted by No. 24 of 1914 s. 4 (as amended by No. 40 of 1957 s. 21).] </w:t>
      </w:r>
    </w:p>
    <w:p>
      <w:pPr>
        <w:pStyle w:val="Heading5"/>
        <w:rPr>
          <w:snapToGrid w:val="0"/>
        </w:rPr>
      </w:pPr>
      <w:bookmarkStart w:id="258" w:name="_Toc519997273"/>
      <w:bookmarkStart w:id="259" w:name="_Toc522959514"/>
      <w:bookmarkStart w:id="260" w:name="_Toc121562225"/>
      <w:bookmarkStart w:id="261" w:name="_Toc121562315"/>
      <w:bookmarkStart w:id="262" w:name="_Toc241048367"/>
      <w:r>
        <w:rPr>
          <w:rStyle w:val="CharSectno"/>
        </w:rPr>
        <w:t>32</w:t>
      </w:r>
      <w:r>
        <w:rPr>
          <w:snapToGrid w:val="0"/>
        </w:rPr>
        <w:t>.</w:t>
      </w:r>
      <w:r>
        <w:rPr>
          <w:snapToGrid w:val="0"/>
        </w:rPr>
        <w:tab/>
        <w:t>Bill of sale void as to execution on existing debts</w:t>
      </w:r>
      <w:bookmarkEnd w:id="258"/>
      <w:bookmarkEnd w:id="259"/>
      <w:bookmarkEnd w:id="260"/>
      <w:bookmarkEnd w:id="261"/>
      <w:bookmarkEnd w:id="262"/>
      <w:r>
        <w:rPr>
          <w:snapToGrid w:val="0"/>
        </w:rPr>
        <w:t xml:space="preserve"> </w:t>
      </w:r>
    </w:p>
    <w:p>
      <w:pPr>
        <w:pStyle w:val="Subsection"/>
        <w:rPr>
          <w:snapToGrid w:val="0"/>
          <w:spacing w:val="-4"/>
        </w:rPr>
      </w:pPr>
      <w:r>
        <w:rPr>
          <w:snapToGrid w:val="0"/>
        </w:rPr>
        <w:tab/>
      </w:r>
      <w:r>
        <w:rPr>
          <w:snapToGrid w:val="0"/>
        </w:rPr>
        <w:tab/>
      </w:r>
      <w:r>
        <w:rPr>
          <w:snapToGrid w:val="0"/>
          <w:spacing w:val="-4"/>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 xml:space="preserve">[Section 32 amended by No. 40 of 1957 s. 15.] </w:t>
      </w:r>
    </w:p>
    <w:p>
      <w:pPr>
        <w:pStyle w:val="Heading5"/>
        <w:rPr>
          <w:snapToGrid w:val="0"/>
        </w:rPr>
      </w:pPr>
      <w:bookmarkStart w:id="263" w:name="_Toc519997274"/>
      <w:bookmarkStart w:id="264" w:name="_Toc522959515"/>
      <w:bookmarkStart w:id="265" w:name="_Toc121562226"/>
      <w:bookmarkStart w:id="266" w:name="_Toc121562316"/>
      <w:bookmarkStart w:id="267" w:name="_Toc241048368"/>
      <w:r>
        <w:rPr>
          <w:rStyle w:val="CharSectno"/>
        </w:rPr>
        <w:t>33</w:t>
      </w:r>
      <w:r>
        <w:rPr>
          <w:snapToGrid w:val="0"/>
        </w:rPr>
        <w:t>.</w:t>
      </w:r>
      <w:r>
        <w:rPr>
          <w:snapToGrid w:val="0"/>
        </w:rPr>
        <w:tab/>
        <w:t>Bill of sale takes effect from date</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20"/>
        <w:rPr>
          <w:snapToGrid w:val="0"/>
        </w:rPr>
      </w:pPr>
      <w:bookmarkStart w:id="268" w:name="_Toc519997275"/>
      <w:bookmarkStart w:id="269" w:name="_Toc522959516"/>
      <w:bookmarkStart w:id="270" w:name="_Toc121562227"/>
      <w:bookmarkStart w:id="271" w:name="_Toc121562317"/>
      <w:bookmarkStart w:id="272" w:name="_Toc241048369"/>
      <w:r>
        <w:rPr>
          <w:rStyle w:val="CharSectno"/>
        </w:rPr>
        <w:t>34</w:t>
      </w:r>
      <w:r>
        <w:rPr>
          <w:snapToGrid w:val="0"/>
        </w:rPr>
        <w:t>.</w:t>
      </w:r>
      <w:r>
        <w:rPr>
          <w:snapToGrid w:val="0"/>
        </w:rPr>
        <w:tab/>
        <w:t>Priority of instruments affecting same chattels</w:t>
      </w:r>
      <w:bookmarkEnd w:id="268"/>
      <w:bookmarkEnd w:id="269"/>
      <w:bookmarkEnd w:id="270"/>
      <w:bookmarkEnd w:id="271"/>
      <w:bookmarkEnd w:id="272"/>
      <w:r>
        <w:rPr>
          <w:snapToGrid w:val="0"/>
        </w:rPr>
        <w:t xml:space="preserve"> </w:t>
      </w:r>
    </w:p>
    <w:p>
      <w:pPr>
        <w:pStyle w:val="Subsection"/>
        <w:spacing w:before="100"/>
        <w:rPr>
          <w:snapToGrid w:val="0"/>
        </w:rPr>
      </w:pPr>
      <w:r>
        <w:rPr>
          <w:snapToGrid w:val="0"/>
        </w:rPr>
        <w:tab/>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 Provided that such prior bill of sale shall not be affected if presented for registration within the time or extended time limited by this Act.</w:t>
      </w:r>
    </w:p>
    <w:p>
      <w:pPr>
        <w:pStyle w:val="Heading5"/>
        <w:spacing w:before="120"/>
        <w:rPr>
          <w:snapToGrid w:val="0"/>
        </w:rPr>
      </w:pPr>
      <w:bookmarkStart w:id="273" w:name="_Toc519997276"/>
      <w:bookmarkStart w:id="274" w:name="_Toc522959517"/>
      <w:bookmarkStart w:id="275" w:name="_Toc121562228"/>
      <w:bookmarkStart w:id="276" w:name="_Toc121562318"/>
      <w:bookmarkStart w:id="277" w:name="_Toc241048370"/>
      <w:r>
        <w:rPr>
          <w:rStyle w:val="CharSectno"/>
        </w:rPr>
        <w:t>35</w:t>
      </w:r>
      <w:r>
        <w:rPr>
          <w:snapToGrid w:val="0"/>
        </w:rPr>
        <w:t>.</w:t>
      </w:r>
      <w:r>
        <w:rPr>
          <w:snapToGrid w:val="0"/>
        </w:rPr>
        <w:tab/>
        <w:t>Avoidance of duplicate bills of sale</w:t>
      </w:r>
      <w:bookmarkEnd w:id="273"/>
      <w:bookmarkEnd w:id="274"/>
      <w:bookmarkEnd w:id="275"/>
      <w:bookmarkEnd w:id="276"/>
      <w:bookmarkEnd w:id="277"/>
      <w:r>
        <w:rPr>
          <w:snapToGrid w:val="0"/>
        </w:rPr>
        <w:t xml:space="preserve"> </w:t>
      </w:r>
    </w:p>
    <w:p>
      <w:pPr>
        <w:pStyle w:val="Subsection"/>
        <w:spacing w:before="100"/>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pPr>
      <w:r>
        <w:tab/>
        <w:t xml:space="preserve">[Section 35 amended by No. 40 of 1957 s. 16.] </w:t>
      </w:r>
    </w:p>
    <w:p>
      <w:pPr>
        <w:pStyle w:val="Ednotesection"/>
        <w:spacing w:before="120"/>
        <w:ind w:left="890" w:hanging="890"/>
      </w:pPr>
      <w:r>
        <w:t>[</w:t>
      </w:r>
      <w:r>
        <w:rPr>
          <w:b/>
        </w:rPr>
        <w:t>35A.</w:t>
      </w:r>
      <w:r>
        <w:tab/>
        <w:t xml:space="preserve">Deleted by No. 49 of 1983 s. 9.] </w:t>
      </w:r>
    </w:p>
    <w:p>
      <w:pPr>
        <w:pStyle w:val="Heading5"/>
        <w:keepNext w:val="0"/>
        <w:keepLines w:val="0"/>
        <w:spacing w:before="120"/>
        <w:rPr>
          <w:snapToGrid w:val="0"/>
        </w:rPr>
      </w:pPr>
      <w:bookmarkStart w:id="278" w:name="_Toc519997277"/>
      <w:bookmarkStart w:id="279" w:name="_Toc522959518"/>
      <w:bookmarkStart w:id="280" w:name="_Toc121562229"/>
      <w:bookmarkStart w:id="281" w:name="_Toc121562319"/>
      <w:bookmarkStart w:id="282" w:name="_Toc241048371"/>
      <w:r>
        <w:rPr>
          <w:rStyle w:val="CharSectno"/>
        </w:rPr>
        <w:t>36</w:t>
      </w:r>
      <w:r>
        <w:rPr>
          <w:snapToGrid w:val="0"/>
        </w:rPr>
        <w:t>.</w:t>
      </w:r>
      <w:r>
        <w:rPr>
          <w:snapToGrid w:val="0"/>
        </w:rPr>
        <w:tab/>
        <w:t>Grantee may bid for and purchase chattels</w:t>
      </w:r>
      <w:bookmarkEnd w:id="278"/>
      <w:bookmarkEnd w:id="279"/>
      <w:bookmarkEnd w:id="280"/>
      <w:bookmarkEnd w:id="281"/>
      <w:bookmarkEnd w:id="282"/>
      <w:r>
        <w:rPr>
          <w:snapToGrid w:val="0"/>
        </w:rPr>
        <w:t xml:space="preserve"> </w:t>
      </w:r>
    </w:p>
    <w:p>
      <w:pPr>
        <w:pStyle w:val="Subsection"/>
        <w:spacing w:before="100"/>
        <w:rPr>
          <w:snapToGrid w:val="0"/>
        </w:rPr>
      </w:pPr>
      <w:r>
        <w:rPr>
          <w:snapToGrid w:val="0"/>
        </w:rPr>
        <w:tab/>
      </w:r>
      <w:r>
        <w:rPr>
          <w:snapToGrid w:val="0"/>
        </w:rPr>
        <w:tab/>
        <w:t>Notwithstanding any rule of law or equity to the contrary, the grantee of any bill of sale by way of security may at any time after he has demanded payment of the moneys or performance of the conditions secured by such bill of sale — </w:t>
      </w:r>
    </w:p>
    <w:p>
      <w:pPr>
        <w:pStyle w:val="Indenta"/>
        <w:rPr>
          <w:snapToGrid w:val="0"/>
        </w:rPr>
      </w:pPr>
      <w:r>
        <w:rPr>
          <w:snapToGrid w:val="0"/>
        </w:rPr>
        <w:tab/>
        <w:t>(1)</w:t>
      </w:r>
      <w:r>
        <w:rPr>
          <w:snapToGrid w:val="0"/>
        </w:rPr>
        <w:tab/>
        <w:t>Bid for and purchase the whole or any part or parts of the chattels comprised in such bill of sale at any public auction thereof held under the power of sale contained or implied in such bill of sale.</w:t>
      </w:r>
    </w:p>
    <w:p>
      <w:pPr>
        <w:pStyle w:val="Indenta"/>
        <w:rPr>
          <w:snapToGrid w:val="0"/>
        </w:rPr>
      </w:pPr>
      <w:r>
        <w:rPr>
          <w:snapToGrid w:val="0"/>
        </w:rPr>
        <w:tab/>
        <w:t>(2)</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r>
      <w:r>
        <w:rPr>
          <w:snapToGrid w:val="0"/>
        </w:rPr>
        <w:tab/>
        <w:t>The remuneration of such receiver and his costs and expenses shall be paid by the grantor, and shall be a first charge upon the chattels comprised in the bill of sale.</w:t>
      </w:r>
    </w:p>
    <w:p>
      <w:pPr>
        <w:pStyle w:val="Heading5"/>
        <w:rPr>
          <w:snapToGrid w:val="0"/>
        </w:rPr>
      </w:pPr>
      <w:bookmarkStart w:id="283" w:name="_Toc519997278"/>
      <w:bookmarkStart w:id="284" w:name="_Toc522959519"/>
      <w:bookmarkStart w:id="285" w:name="_Toc121562230"/>
      <w:bookmarkStart w:id="286" w:name="_Toc121562320"/>
      <w:bookmarkStart w:id="287" w:name="_Toc241048372"/>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 xml:space="preserve">[Section 36A inserted by No. 41 of 1925 s. 8.] </w:t>
      </w:r>
    </w:p>
    <w:p>
      <w:pPr>
        <w:pStyle w:val="Heading2"/>
      </w:pPr>
      <w:bookmarkStart w:id="288" w:name="_Toc89168415"/>
      <w:bookmarkStart w:id="289" w:name="_Toc101928587"/>
      <w:bookmarkStart w:id="290" w:name="_Toc121561961"/>
      <w:bookmarkStart w:id="291" w:name="_Toc121562051"/>
      <w:bookmarkStart w:id="292" w:name="_Toc121562141"/>
      <w:bookmarkStart w:id="293" w:name="_Toc121562231"/>
      <w:bookmarkStart w:id="294" w:name="_Toc121562321"/>
      <w:bookmarkStart w:id="295" w:name="_Toc121562411"/>
      <w:bookmarkStart w:id="296" w:name="_Toc124062073"/>
      <w:bookmarkStart w:id="297" w:name="_Toc241048373"/>
      <w:r>
        <w:rPr>
          <w:rStyle w:val="CharPartNo"/>
        </w:rPr>
        <w:t>Part IX</w:t>
      </w:r>
      <w:r>
        <w:rPr>
          <w:rStyle w:val="CharDivNo"/>
        </w:rPr>
        <w:t> </w:t>
      </w:r>
      <w:r>
        <w:t>—</w:t>
      </w:r>
      <w:r>
        <w:rPr>
          <w:rStyle w:val="CharDivText"/>
        </w:rPr>
        <w:t> </w:t>
      </w:r>
      <w:r>
        <w:rPr>
          <w:rStyle w:val="CharPartText"/>
        </w:rPr>
        <w:t>Bills of sale of stock</w:t>
      </w:r>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98" w:name="_Toc519997279"/>
      <w:bookmarkStart w:id="299" w:name="_Toc522959520"/>
      <w:bookmarkStart w:id="300" w:name="_Toc121562232"/>
      <w:bookmarkStart w:id="301" w:name="_Toc121562322"/>
      <w:bookmarkStart w:id="302" w:name="_Toc241048374"/>
      <w:r>
        <w:rPr>
          <w:rStyle w:val="CharSectno"/>
        </w:rPr>
        <w:t>37</w:t>
      </w:r>
      <w:r>
        <w:rPr>
          <w:snapToGrid w:val="0"/>
        </w:rPr>
        <w:t>.</w:t>
      </w:r>
      <w:r>
        <w:rPr>
          <w:snapToGrid w:val="0"/>
        </w:rPr>
        <w:tab/>
        <w:t>Stock to be described, etc.</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 Provided that in any bill of sale over stock on any station or farm such stock shall be sufficiently identified by reference to the places where the same are usually depasturing.</w:t>
      </w:r>
    </w:p>
    <w:p>
      <w:pPr>
        <w:pStyle w:val="Heading5"/>
        <w:rPr>
          <w:snapToGrid w:val="0"/>
        </w:rPr>
      </w:pPr>
      <w:bookmarkStart w:id="303" w:name="_Toc519997280"/>
      <w:bookmarkStart w:id="304" w:name="_Toc522959521"/>
      <w:bookmarkStart w:id="305" w:name="_Toc121562233"/>
      <w:bookmarkStart w:id="306" w:name="_Toc121562323"/>
      <w:bookmarkStart w:id="307" w:name="_Toc241048375"/>
      <w:r>
        <w:rPr>
          <w:rStyle w:val="CharSectno"/>
        </w:rPr>
        <w:t>38</w:t>
      </w:r>
      <w:r>
        <w:rPr>
          <w:snapToGrid w:val="0"/>
        </w:rPr>
        <w:t>.</w:t>
      </w:r>
      <w:r>
        <w:rPr>
          <w:snapToGrid w:val="0"/>
        </w:rPr>
        <w:tab/>
        <w:t>Bill of sale of stock to include progeny</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308" w:name="_Toc89168418"/>
      <w:bookmarkStart w:id="309" w:name="_Toc101928590"/>
      <w:bookmarkStart w:id="310" w:name="_Toc121561964"/>
      <w:bookmarkStart w:id="311" w:name="_Toc121562054"/>
      <w:bookmarkStart w:id="312" w:name="_Toc121562144"/>
      <w:bookmarkStart w:id="313" w:name="_Toc121562234"/>
      <w:bookmarkStart w:id="314" w:name="_Toc121562324"/>
      <w:bookmarkStart w:id="315" w:name="_Toc121562414"/>
      <w:bookmarkStart w:id="316" w:name="_Toc124062076"/>
      <w:bookmarkStart w:id="317" w:name="_Toc241048376"/>
      <w:r>
        <w:rPr>
          <w:rStyle w:val="CharPartNo"/>
        </w:rPr>
        <w:t>Part X</w:t>
      </w:r>
      <w:r>
        <w:rPr>
          <w:rStyle w:val="CharDivNo"/>
        </w:rPr>
        <w:t> </w:t>
      </w:r>
      <w:r>
        <w:t>—</w:t>
      </w:r>
      <w:r>
        <w:rPr>
          <w:rStyle w:val="CharDivText"/>
        </w:rPr>
        <w:t> </w:t>
      </w:r>
      <w:r>
        <w:rPr>
          <w:rStyle w:val="CharPartText"/>
        </w:rPr>
        <w:t>Bill of sale over crops</w:t>
      </w:r>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18" w:name="_Toc519997281"/>
      <w:bookmarkStart w:id="319" w:name="_Toc522959522"/>
      <w:bookmarkStart w:id="320" w:name="_Toc121562235"/>
      <w:bookmarkStart w:id="321" w:name="_Toc121562325"/>
      <w:bookmarkStart w:id="322" w:name="_Toc241048377"/>
      <w:r>
        <w:rPr>
          <w:rStyle w:val="CharSectno"/>
        </w:rPr>
        <w:t>39</w:t>
      </w:r>
      <w:r>
        <w:rPr>
          <w:snapToGrid w:val="0"/>
        </w:rPr>
        <w:t>.</w:t>
      </w:r>
      <w:r>
        <w:rPr>
          <w:snapToGrid w:val="0"/>
        </w:rPr>
        <w:tab/>
        <w:t>Bill of sale may be granted over crops</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 xml:space="preserve">[Section 39 amended by No. 24 of 1914 s. 7.] </w:t>
      </w:r>
    </w:p>
    <w:p>
      <w:pPr>
        <w:pStyle w:val="Heading5"/>
        <w:rPr>
          <w:snapToGrid w:val="0"/>
        </w:rPr>
      </w:pPr>
      <w:bookmarkStart w:id="323" w:name="_Toc519997282"/>
      <w:bookmarkStart w:id="324" w:name="_Toc522959523"/>
      <w:bookmarkStart w:id="325" w:name="_Toc121562236"/>
      <w:bookmarkStart w:id="326" w:name="_Toc121562326"/>
      <w:bookmarkStart w:id="327" w:name="_Toc241048378"/>
      <w:r>
        <w:rPr>
          <w:rStyle w:val="CharSectno"/>
        </w:rPr>
        <w:t>40</w:t>
      </w:r>
      <w:r>
        <w:rPr>
          <w:snapToGrid w:val="0"/>
        </w:rPr>
        <w:t>.</w:t>
      </w:r>
      <w:r>
        <w:rPr>
          <w:snapToGrid w:val="0"/>
        </w:rPr>
        <w:tab/>
        <w:t>Not available except against annual crops</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1 year from the date of the execution of such bill of sale.</w:t>
      </w:r>
    </w:p>
    <w:p>
      <w:pPr>
        <w:pStyle w:val="Heading5"/>
        <w:rPr>
          <w:snapToGrid w:val="0"/>
        </w:rPr>
      </w:pPr>
      <w:bookmarkStart w:id="328" w:name="_Toc519997283"/>
      <w:bookmarkStart w:id="329" w:name="_Toc522959524"/>
      <w:bookmarkStart w:id="330" w:name="_Toc121562237"/>
      <w:bookmarkStart w:id="331" w:name="_Toc121562327"/>
      <w:bookmarkStart w:id="332" w:name="_Toc241048379"/>
      <w:r>
        <w:rPr>
          <w:rStyle w:val="CharSectno"/>
        </w:rPr>
        <w:t>41</w:t>
      </w:r>
      <w:r>
        <w:rPr>
          <w:snapToGrid w:val="0"/>
        </w:rPr>
        <w:t>.</w:t>
      </w:r>
      <w:r>
        <w:rPr>
          <w:snapToGrid w:val="0"/>
        </w:rPr>
        <w:tab/>
        <w:t>Saving of rights of landlord and mortgagee</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 Provided that no such bill of sale, if duly registered, shall be prejudicially affected by any subsequent sale, lease, mortgage, or other encumbrance of or upon the land described or referred to in such bill of sale, or in the schedule thereto.</w:t>
      </w:r>
    </w:p>
    <w:p>
      <w:pPr>
        <w:pStyle w:val="Heading2"/>
      </w:pPr>
      <w:bookmarkStart w:id="333" w:name="_Toc89168422"/>
      <w:bookmarkStart w:id="334" w:name="_Toc101928594"/>
      <w:bookmarkStart w:id="335" w:name="_Toc121561968"/>
      <w:bookmarkStart w:id="336" w:name="_Toc121562058"/>
      <w:bookmarkStart w:id="337" w:name="_Toc121562148"/>
      <w:bookmarkStart w:id="338" w:name="_Toc121562238"/>
      <w:bookmarkStart w:id="339" w:name="_Toc121562328"/>
      <w:bookmarkStart w:id="340" w:name="_Toc121562418"/>
      <w:bookmarkStart w:id="341" w:name="_Toc124062080"/>
      <w:bookmarkStart w:id="342" w:name="_Toc241048380"/>
      <w:r>
        <w:rPr>
          <w:rStyle w:val="CharPartNo"/>
        </w:rPr>
        <w:t>Part XI</w:t>
      </w:r>
      <w:r>
        <w:rPr>
          <w:rStyle w:val="CharDivNo"/>
        </w:rPr>
        <w:t> </w:t>
      </w:r>
      <w:r>
        <w:t>—</w:t>
      </w:r>
      <w:r>
        <w:rPr>
          <w:rStyle w:val="CharDivText"/>
        </w:rPr>
        <w:t> </w:t>
      </w:r>
      <w:r>
        <w:rPr>
          <w:rStyle w:val="CharPartText"/>
        </w:rPr>
        <w:t>Bill of sale over wool</w:t>
      </w:r>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43" w:name="_Toc519997284"/>
      <w:bookmarkStart w:id="344" w:name="_Toc522959525"/>
      <w:bookmarkStart w:id="345" w:name="_Toc121562239"/>
      <w:bookmarkStart w:id="346" w:name="_Toc121562329"/>
      <w:bookmarkStart w:id="347" w:name="_Toc241048381"/>
      <w:r>
        <w:rPr>
          <w:rStyle w:val="CharSectno"/>
        </w:rPr>
        <w:t>42</w:t>
      </w:r>
      <w:r>
        <w:rPr>
          <w:snapToGrid w:val="0"/>
        </w:rPr>
        <w:t>.</w:t>
      </w:r>
      <w:r>
        <w:rPr>
          <w:snapToGrid w:val="0"/>
        </w:rPr>
        <w:tab/>
        <w:t>Bill of sale over wool</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 xml:space="preserve">[Section 42 amended by No. 102 of 1987 s. 6.] </w:t>
      </w:r>
    </w:p>
    <w:p>
      <w:pPr>
        <w:pStyle w:val="Heading5"/>
        <w:rPr>
          <w:snapToGrid w:val="0"/>
        </w:rPr>
      </w:pPr>
      <w:bookmarkStart w:id="348" w:name="_Toc519997285"/>
      <w:bookmarkStart w:id="349" w:name="_Toc522959526"/>
      <w:bookmarkStart w:id="350" w:name="_Toc121562240"/>
      <w:bookmarkStart w:id="351" w:name="_Toc121562330"/>
      <w:bookmarkStart w:id="352" w:name="_Toc241048382"/>
      <w:r>
        <w:rPr>
          <w:rStyle w:val="CharSectno"/>
        </w:rPr>
        <w:t>43</w:t>
      </w:r>
      <w:r>
        <w:rPr>
          <w:snapToGrid w:val="0"/>
        </w:rPr>
        <w:t>.</w:t>
      </w:r>
      <w:r>
        <w:rPr>
          <w:snapToGrid w:val="0"/>
        </w:rPr>
        <w:tab/>
        <w:t>Not affected by subsequent dealing</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 xml:space="preserve">[Section 43 amended by No. 102 of 1987 s. 6.] </w:t>
      </w:r>
    </w:p>
    <w:p>
      <w:pPr>
        <w:pStyle w:val="Heading5"/>
        <w:rPr>
          <w:snapToGrid w:val="0"/>
        </w:rPr>
      </w:pPr>
      <w:bookmarkStart w:id="353" w:name="_Toc519997286"/>
      <w:bookmarkStart w:id="354" w:name="_Toc522959527"/>
      <w:bookmarkStart w:id="355" w:name="_Toc121562241"/>
      <w:bookmarkStart w:id="356" w:name="_Toc121562331"/>
      <w:bookmarkStart w:id="357" w:name="_Toc241048383"/>
      <w:r>
        <w:rPr>
          <w:rStyle w:val="CharSectno"/>
        </w:rPr>
        <w:t>44</w:t>
      </w:r>
      <w:r>
        <w:rPr>
          <w:snapToGrid w:val="0"/>
        </w:rPr>
        <w:t>.</w:t>
      </w:r>
      <w:r>
        <w:rPr>
          <w:snapToGrid w:val="0"/>
        </w:rPr>
        <w:tab/>
        <w:t>Form of security — Fourth Schedule</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358" w:name="_Toc519997287"/>
      <w:bookmarkStart w:id="359" w:name="_Toc522959528"/>
      <w:bookmarkStart w:id="360" w:name="_Toc121562242"/>
      <w:bookmarkStart w:id="361" w:name="_Toc121562332"/>
      <w:bookmarkStart w:id="362" w:name="_Toc241048384"/>
      <w:r>
        <w:rPr>
          <w:rStyle w:val="CharSectno"/>
        </w:rPr>
        <w:t>45</w:t>
      </w:r>
      <w:r>
        <w:rPr>
          <w:snapToGrid w:val="0"/>
        </w:rPr>
        <w:t>.</w:t>
      </w:r>
      <w:r>
        <w:rPr>
          <w:snapToGrid w:val="0"/>
        </w:rPr>
        <w:tab/>
        <w:t>Bill of sale over mortgaged sheep</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363" w:name="_Toc89168427"/>
      <w:bookmarkStart w:id="364" w:name="_Toc101928599"/>
      <w:bookmarkStart w:id="365" w:name="_Toc121561973"/>
      <w:bookmarkStart w:id="366" w:name="_Toc121562063"/>
      <w:bookmarkStart w:id="367" w:name="_Toc121562153"/>
      <w:bookmarkStart w:id="368" w:name="_Toc121562243"/>
      <w:bookmarkStart w:id="369" w:name="_Toc121562333"/>
      <w:bookmarkStart w:id="370" w:name="_Toc121562423"/>
      <w:bookmarkStart w:id="371" w:name="_Toc124062085"/>
      <w:bookmarkStart w:id="372" w:name="_Toc241048385"/>
      <w:r>
        <w:rPr>
          <w:rStyle w:val="CharPartNo"/>
        </w:rPr>
        <w:t>Part XII</w:t>
      </w:r>
      <w:r>
        <w:rPr>
          <w:rStyle w:val="CharDivNo"/>
        </w:rPr>
        <w:t> </w:t>
      </w:r>
      <w:r>
        <w:t>—</w:t>
      </w:r>
      <w:r>
        <w:rPr>
          <w:rStyle w:val="CharDivText"/>
        </w:rPr>
        <w:t> </w:t>
      </w:r>
      <w:r>
        <w:rPr>
          <w:rStyle w:val="CharPartText"/>
        </w:rPr>
        <w:t>Miscellaneous</w:t>
      </w:r>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Footnoteheading"/>
        <w:ind w:left="882" w:hanging="882"/>
      </w:pPr>
      <w:r>
        <w:tab/>
        <w:t xml:space="preserve">[Heading amended by No. 13 of 1906 s. 1A (as amended by No. 40 of 1957 s. 21).] </w:t>
      </w:r>
    </w:p>
    <w:p>
      <w:pPr>
        <w:pStyle w:val="Ednotesection"/>
      </w:pPr>
      <w:r>
        <w:t>[</w:t>
      </w:r>
      <w:r>
        <w:rPr>
          <w:b/>
        </w:rPr>
        <w:t>46.</w:t>
      </w:r>
      <w:r>
        <w:tab/>
        <w:t xml:space="preserve">Deleted by No. 24 of 1914 s. 8.] </w:t>
      </w:r>
    </w:p>
    <w:p>
      <w:pPr>
        <w:pStyle w:val="Heading5"/>
        <w:rPr>
          <w:snapToGrid w:val="0"/>
        </w:rPr>
      </w:pPr>
      <w:bookmarkStart w:id="373" w:name="_Toc519997288"/>
      <w:bookmarkStart w:id="374" w:name="_Toc522959529"/>
      <w:bookmarkStart w:id="375" w:name="_Toc121562244"/>
      <w:bookmarkStart w:id="376" w:name="_Toc121562334"/>
      <w:bookmarkStart w:id="377" w:name="_Toc241048386"/>
      <w:r>
        <w:rPr>
          <w:rStyle w:val="CharSectno"/>
        </w:rPr>
        <w:t>47</w:t>
      </w:r>
      <w:r>
        <w:rPr>
          <w:snapToGrid w:val="0"/>
        </w:rPr>
        <w:t>.</w:t>
      </w:r>
      <w:r>
        <w:rPr>
          <w:snapToGrid w:val="0"/>
        </w:rPr>
        <w:tab/>
        <w:t>Covenants to be joint and several</w:t>
      </w:r>
      <w:bookmarkEnd w:id="373"/>
      <w:bookmarkEnd w:id="374"/>
      <w:bookmarkEnd w:id="375"/>
      <w:bookmarkEnd w:id="376"/>
      <w:bookmarkEnd w:id="377"/>
      <w:r>
        <w:rPr>
          <w:snapToGrid w:val="0"/>
        </w:rPr>
        <w:t xml:space="preserve"> </w:t>
      </w:r>
    </w:p>
    <w:p>
      <w:pPr>
        <w:pStyle w:val="Subsection"/>
        <w:rPr>
          <w:snapToGrid w:val="0"/>
          <w:spacing w:val="-4"/>
        </w:rPr>
      </w:pPr>
      <w:r>
        <w:rPr>
          <w:snapToGrid w:val="0"/>
        </w:rPr>
        <w:tab/>
      </w:r>
      <w:r>
        <w:rPr>
          <w:snapToGrid w:val="0"/>
        </w:rPr>
        <w:tab/>
      </w:r>
      <w:r>
        <w:rPr>
          <w:snapToGrid w:val="0"/>
          <w:spacing w:val="-4"/>
        </w:rPr>
        <w:t>Whenever there is more than 1 grantor or more than 1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rPr>
          <w:snapToGrid w:val="0"/>
        </w:rPr>
      </w:pPr>
      <w:bookmarkStart w:id="378" w:name="_Toc519997289"/>
      <w:bookmarkStart w:id="379" w:name="_Toc522959530"/>
      <w:bookmarkStart w:id="380" w:name="_Toc121562245"/>
      <w:bookmarkStart w:id="381" w:name="_Toc121562335"/>
      <w:bookmarkStart w:id="382" w:name="_Toc241048387"/>
      <w:r>
        <w:rPr>
          <w:rStyle w:val="CharSectno"/>
        </w:rPr>
        <w:t>48</w:t>
      </w:r>
      <w:r>
        <w:rPr>
          <w:snapToGrid w:val="0"/>
        </w:rPr>
        <w:t>.</w:t>
      </w:r>
      <w:r>
        <w:rPr>
          <w:snapToGrid w:val="0"/>
        </w:rPr>
        <w:tab/>
        <w:t>Covenants to bind representatives</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383" w:name="_Toc519997290"/>
      <w:bookmarkStart w:id="384" w:name="_Toc522959531"/>
      <w:bookmarkStart w:id="385" w:name="_Toc121562246"/>
      <w:bookmarkStart w:id="386" w:name="_Toc121562336"/>
      <w:bookmarkStart w:id="387" w:name="_Toc241048388"/>
      <w:r>
        <w:rPr>
          <w:rStyle w:val="CharSectno"/>
        </w:rPr>
        <w:t>48A</w:t>
      </w:r>
      <w:r>
        <w:rPr>
          <w:snapToGrid w:val="0"/>
        </w:rPr>
        <w:t>.</w:t>
      </w:r>
      <w:r>
        <w:rPr>
          <w:snapToGrid w:val="0"/>
        </w:rPr>
        <w:tab/>
        <w:t>Regulations</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The Governor may make regulations prescribing the fees to be paid — </w:t>
      </w:r>
    </w:p>
    <w:p>
      <w:pPr>
        <w:pStyle w:val="Indenta"/>
        <w:rPr>
          <w:snapToGrid w:val="0"/>
        </w:rPr>
      </w:pPr>
      <w:r>
        <w:rPr>
          <w:snapToGrid w:val="0"/>
        </w:rPr>
        <w:tab/>
        <w:t>(a)</w:t>
      </w:r>
      <w:r>
        <w:rPr>
          <w:snapToGrid w:val="0"/>
        </w:rPr>
        <w:tab/>
        <w:t>in respect of any applications made under this Act;</w:t>
      </w:r>
    </w:p>
    <w:p>
      <w:pPr>
        <w:pStyle w:val="Indenta"/>
        <w:rPr>
          <w:snapToGrid w:val="0"/>
        </w:rPr>
      </w:pPr>
      <w:r>
        <w:rPr>
          <w:snapToGrid w:val="0"/>
        </w:rPr>
        <w:tab/>
        <w:t>(b)</w:t>
      </w:r>
      <w:r>
        <w:rPr>
          <w:snapToGrid w:val="0"/>
        </w:rPr>
        <w:tab/>
        <w:t>for registration or for the renewal of registration made under this Act; and</w:t>
      </w:r>
    </w:p>
    <w:p>
      <w:pPr>
        <w:pStyle w:val="Indenta"/>
        <w:keepNext/>
        <w:rPr>
          <w:snapToGrid w:val="0"/>
        </w:rPr>
      </w:pPr>
      <w:r>
        <w:rPr>
          <w:snapToGrid w:val="0"/>
        </w:rPr>
        <w:tab/>
        <w:t>(c)</w:t>
      </w:r>
      <w:r>
        <w:rPr>
          <w:snapToGrid w:val="0"/>
        </w:rPr>
        <w:tab/>
        <w:t>for any service, function or procedure provided or contemplated by this Act,</w:t>
      </w:r>
    </w:p>
    <w:p>
      <w:pPr>
        <w:pStyle w:val="Subsection"/>
        <w:rPr>
          <w:snapToGrid w:val="0"/>
        </w:rPr>
      </w:pPr>
      <w:r>
        <w:rPr>
          <w:snapToGrid w:val="0"/>
        </w:rPr>
        <w:tab/>
      </w:r>
      <w:r>
        <w:rPr>
          <w:snapToGrid w:val="0"/>
        </w:rPr>
        <w:tab/>
        <w:t>and providing for the payment and recovery of such fees.</w:t>
      </w:r>
    </w:p>
    <w:p>
      <w:pPr>
        <w:pStyle w:val="Footnotesection"/>
      </w:pPr>
      <w:r>
        <w:tab/>
        <w:t xml:space="preserve">[Section 48A inserted by No. 49 of 1983 s. 10.] </w:t>
      </w:r>
    </w:p>
    <w:p>
      <w:pPr>
        <w:pStyle w:val="Ednotesection"/>
      </w:pPr>
      <w:r>
        <w:t>[</w:t>
      </w:r>
      <w:r>
        <w:rPr>
          <w:b/>
        </w:rPr>
        <w:t>49.</w:t>
      </w:r>
      <w:r>
        <w:tab/>
        <w:t xml:space="preserve">Deleted by 1 and 2 Edw. VII., No. 14 (1902).] </w:t>
      </w:r>
    </w:p>
    <w:p>
      <w:pPr>
        <w:pStyle w:val="Heading5"/>
        <w:rPr>
          <w:snapToGrid w:val="0"/>
        </w:rPr>
      </w:pPr>
      <w:bookmarkStart w:id="388" w:name="_Toc519997291"/>
      <w:bookmarkStart w:id="389" w:name="_Toc522959532"/>
      <w:bookmarkStart w:id="390" w:name="_Toc121562247"/>
      <w:bookmarkStart w:id="391" w:name="_Toc121562337"/>
      <w:bookmarkStart w:id="392" w:name="_Toc241048389"/>
      <w:r>
        <w:rPr>
          <w:rStyle w:val="CharSectno"/>
        </w:rPr>
        <w:t>50</w:t>
      </w:r>
      <w:r>
        <w:rPr>
          <w:snapToGrid w:val="0"/>
        </w:rPr>
        <w:t>.</w:t>
      </w:r>
      <w:r>
        <w:rPr>
          <w:snapToGrid w:val="0"/>
        </w:rPr>
        <w:tab/>
        <w:t>Rules</w:t>
      </w:r>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393" w:name="_Toc519997292"/>
      <w:bookmarkStart w:id="394" w:name="_Toc522959533"/>
      <w:bookmarkStart w:id="395" w:name="_Toc121562248"/>
      <w:bookmarkStart w:id="396" w:name="_Toc121562338"/>
      <w:bookmarkStart w:id="397" w:name="_Toc241048390"/>
      <w:r>
        <w:rPr>
          <w:rStyle w:val="CharSectno"/>
        </w:rPr>
        <w:t>50A</w:t>
      </w:r>
      <w:r>
        <w:rPr>
          <w:snapToGrid w:val="0"/>
        </w:rPr>
        <w:t>.</w:t>
      </w:r>
      <w:r>
        <w:rPr>
          <w:snapToGrid w:val="0"/>
        </w:rPr>
        <w:tab/>
        <w:t>No retrospective effect</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 xml:space="preserve">[Section 50A inserted by No. 41 of 1925 s. 10 (as amended by No. 40 of 1957 s. 21).] </w:t>
      </w:r>
    </w:p>
    <w:p>
      <w:pPr>
        <w:pStyle w:val="Heading2"/>
      </w:pPr>
      <w:bookmarkStart w:id="398" w:name="_Toc89168433"/>
      <w:bookmarkStart w:id="399" w:name="_Toc101928605"/>
      <w:bookmarkStart w:id="400" w:name="_Toc121561979"/>
      <w:bookmarkStart w:id="401" w:name="_Toc121562069"/>
      <w:bookmarkStart w:id="402" w:name="_Toc121562159"/>
      <w:bookmarkStart w:id="403" w:name="_Toc121562249"/>
      <w:bookmarkStart w:id="404" w:name="_Toc121562339"/>
      <w:bookmarkStart w:id="405" w:name="_Toc121562429"/>
      <w:bookmarkStart w:id="406" w:name="_Toc124062091"/>
      <w:bookmarkStart w:id="407" w:name="_Toc241048391"/>
      <w:r>
        <w:rPr>
          <w:rStyle w:val="CharPartNo"/>
        </w:rPr>
        <w:t>Part XIII</w:t>
      </w:r>
      <w:r>
        <w:rPr>
          <w:rStyle w:val="CharDivNo"/>
        </w:rPr>
        <w:t> </w:t>
      </w:r>
      <w:r>
        <w:t>—</w:t>
      </w:r>
      <w:r>
        <w:rPr>
          <w:rStyle w:val="CharDivText"/>
        </w:rPr>
        <w:t> </w:t>
      </w:r>
      <w:r>
        <w:rPr>
          <w:rStyle w:val="CharPartText"/>
        </w:rPr>
        <w:t>Debentures</w:t>
      </w:r>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08" w:name="_Toc519997293"/>
      <w:bookmarkStart w:id="409" w:name="_Toc522959534"/>
      <w:bookmarkStart w:id="410" w:name="_Toc121562250"/>
      <w:bookmarkStart w:id="411" w:name="_Toc121562340"/>
      <w:bookmarkStart w:id="412" w:name="_Toc241048392"/>
      <w:r>
        <w:rPr>
          <w:rStyle w:val="CharSectno"/>
        </w:rPr>
        <w:t>51</w:t>
      </w:r>
      <w:r>
        <w:rPr>
          <w:snapToGrid w:val="0"/>
        </w:rPr>
        <w:t>.</w:t>
      </w:r>
      <w:r>
        <w:rPr>
          <w:snapToGrid w:val="0"/>
        </w:rPr>
        <w:tab/>
        <w:t>Registration of debentures</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following manner: — </w:t>
      </w:r>
    </w:p>
    <w:p>
      <w:pPr>
        <w:pStyle w:val="Indenta"/>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Indenta"/>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r>
      <w:r>
        <w:rPr>
          <w:snapToGrid w:val="0"/>
        </w:rPr>
        <w:tab/>
        <w:t>The renewal of registration of any one debenture of a series shall be deemed a renewal of all the debentures of such series.</w:t>
      </w:r>
    </w:p>
    <w:p>
      <w:pPr>
        <w:pStyle w:val="Footnotesection"/>
      </w:pPr>
      <w:r>
        <w:tab/>
        <w:t xml:space="preserve">[Section 51 amended by No. 40 of 1957 s. 17; No. 10 of 1982 s. 28; No. 10 of 2001 s. 27.] </w:t>
      </w:r>
    </w:p>
    <w:p>
      <w:pPr>
        <w:pStyle w:val="Heading5"/>
        <w:rPr>
          <w:snapToGrid w:val="0"/>
        </w:rPr>
      </w:pPr>
      <w:bookmarkStart w:id="413" w:name="_Toc519997294"/>
      <w:bookmarkStart w:id="414" w:name="_Toc522959535"/>
      <w:bookmarkStart w:id="415" w:name="_Toc121562251"/>
      <w:bookmarkStart w:id="416" w:name="_Toc121562341"/>
      <w:bookmarkStart w:id="417" w:name="_Toc241048393"/>
      <w:r>
        <w:rPr>
          <w:rStyle w:val="CharSectno"/>
        </w:rPr>
        <w:t>52</w:t>
      </w:r>
      <w:r>
        <w:rPr>
          <w:snapToGrid w:val="0"/>
        </w:rPr>
        <w:t>.</w:t>
      </w:r>
      <w:r>
        <w:rPr>
          <w:snapToGrid w:val="0"/>
        </w:rPr>
        <w:tab/>
        <w:t>Application of prior sections</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 xml:space="preserve">[Section 52 amended by No. 40 of 1957 s. 18.] </w:t>
      </w:r>
    </w:p>
    <w:p>
      <w:pPr>
        <w:pStyle w:val="Heading5"/>
        <w:rPr>
          <w:snapToGrid w:val="0"/>
        </w:rPr>
      </w:pPr>
      <w:bookmarkStart w:id="418" w:name="_Toc519997295"/>
      <w:bookmarkStart w:id="419" w:name="_Toc522959536"/>
      <w:bookmarkStart w:id="420" w:name="_Toc121562252"/>
      <w:bookmarkStart w:id="421" w:name="_Toc121562342"/>
      <w:bookmarkStart w:id="422" w:name="_Toc241048394"/>
      <w:r>
        <w:rPr>
          <w:rStyle w:val="CharSectno"/>
        </w:rPr>
        <w:t>53</w:t>
      </w:r>
      <w:r>
        <w:rPr>
          <w:snapToGrid w:val="0"/>
        </w:rPr>
        <w:t>.</w:t>
      </w:r>
      <w:r>
        <w:rPr>
          <w:snapToGrid w:val="0"/>
        </w:rPr>
        <w:tab/>
        <w:t>When more than 1 debenture is issued</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If more than 1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 Provided that no debenture of any such series shall be protected or be deemed registered unless the same is actually issued and taken up or allotted within 6 weeks from the compliance with the provisions of section 51, or within such extended time as next hereinafter mentioned. Provided that a Judge of the Supreme Court shall have power to extend the time for issuing, taking up, or allotting any such debenture on such terms and conditions as he may think fit.</w:t>
      </w:r>
    </w:p>
    <w:p>
      <w:pPr>
        <w:pStyle w:val="Footnotesection"/>
      </w:pPr>
      <w:r>
        <w:tab/>
        <w:t xml:space="preserve">[Section 53 amended by No. 24 of 1914 s. 9; No. 40 of 1957 s. 19.] </w:t>
      </w:r>
    </w:p>
    <w:p>
      <w:pPr>
        <w:pStyle w:val="Ednotesection"/>
      </w:pPr>
      <w:r>
        <w:t>[</w:t>
      </w:r>
      <w:r>
        <w:rPr>
          <w:b/>
        </w:rPr>
        <w:t>54.</w:t>
      </w:r>
      <w:r>
        <w:tab/>
        <w:t xml:space="preserve">Deleted by No. 102 of 1987 s. 7.] </w:t>
      </w:r>
    </w:p>
    <w:p>
      <w:pPr>
        <w:pStyle w:val="yEdnoteschedule"/>
      </w:pPr>
      <w:r>
        <w:t>[First Schedule 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23" w:name="_Toc121561983"/>
      <w:bookmarkStart w:id="424" w:name="_Toc121562163"/>
      <w:bookmarkStart w:id="425" w:name="_Toc121562253"/>
      <w:bookmarkStart w:id="426" w:name="_Toc121562343"/>
      <w:bookmarkStart w:id="427" w:name="_Toc121562433"/>
      <w:bookmarkStart w:id="428" w:name="_Toc124062095"/>
      <w:bookmarkStart w:id="429" w:name="_Toc241048395"/>
      <w:r>
        <w:rPr>
          <w:rStyle w:val="CharSchNo"/>
        </w:rPr>
        <w:t>Second Schedule</w:t>
      </w:r>
      <w:bookmarkEnd w:id="423"/>
      <w:bookmarkEnd w:id="424"/>
      <w:bookmarkEnd w:id="425"/>
      <w:bookmarkEnd w:id="426"/>
      <w:bookmarkEnd w:id="427"/>
      <w:bookmarkEnd w:id="428"/>
      <w:bookmarkEnd w:id="429"/>
      <w:r>
        <w:rPr>
          <w:rStyle w:val="CharSchText"/>
        </w:rPr>
        <w:t xml:space="preserve"> </w:t>
      </w:r>
    </w:p>
    <w:p>
      <w:pPr>
        <w:pStyle w:val="yShoulderClause"/>
        <w:rPr>
          <w:snapToGrid w:val="0"/>
        </w:rPr>
      </w:pPr>
      <w:r>
        <w:rPr>
          <w:snapToGrid w:val="0"/>
        </w:rPr>
        <w:t>[Section 11]</w:t>
      </w:r>
    </w:p>
    <w:p>
      <w:pPr>
        <w:pStyle w:val="yTable"/>
        <w:spacing w:after="80"/>
        <w:jc w:val="center"/>
        <w:rPr>
          <w:b/>
          <w:snapToGrid w:val="0"/>
        </w:rPr>
      </w:pPr>
      <w:r>
        <w:rPr>
          <w:b/>
          <w:snapToGrid w:val="0"/>
        </w:rPr>
        <w:t>Register book</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59"/>
        <w:gridCol w:w="559"/>
        <w:gridCol w:w="658"/>
        <w:gridCol w:w="629"/>
        <w:gridCol w:w="489"/>
        <w:gridCol w:w="727"/>
        <w:gridCol w:w="528"/>
        <w:gridCol w:w="561"/>
        <w:gridCol w:w="561"/>
      </w:tblGrid>
      <w:tr>
        <w:trPr>
          <w:cantSplit/>
          <w:jc w:val="center"/>
        </w:trPr>
        <w:tc>
          <w:tcPr>
            <w:tcW w:w="402" w:type="dxa"/>
            <w:vMerge w:val="restart"/>
            <w:tcBorders>
              <w:left w:val="nil"/>
            </w:tcBorders>
          </w:tcPr>
          <w:p>
            <w:pPr>
              <w:pStyle w:val="yTable"/>
              <w:rPr>
                <w:snapToGrid w:val="0"/>
                <w:sz w:val="12"/>
              </w:rPr>
            </w:pPr>
          </w:p>
          <w:p>
            <w:pPr>
              <w:pStyle w:val="yTable"/>
              <w:rPr>
                <w:snapToGrid w:val="0"/>
                <w:sz w:val="12"/>
              </w:rPr>
            </w:pPr>
            <w:r>
              <w:rPr>
                <w:snapToGrid w:val="0"/>
                <w:sz w:val="12"/>
              </w:rPr>
              <w:t>No.</w:t>
            </w:r>
          </w:p>
        </w:tc>
        <w:tc>
          <w:tcPr>
            <w:tcW w:w="1677" w:type="dxa"/>
            <w:gridSpan w:val="3"/>
          </w:tcPr>
          <w:p>
            <w:pPr>
              <w:pStyle w:val="yTable"/>
              <w:jc w:val="center"/>
              <w:rPr>
                <w:snapToGrid w:val="0"/>
                <w:sz w:val="12"/>
              </w:rPr>
            </w:pPr>
            <w:r>
              <w:rPr>
                <w:snapToGrid w:val="0"/>
                <w:sz w:val="12"/>
              </w:rPr>
              <w:t>By whom given, or against whom process issued</w:t>
            </w:r>
          </w:p>
        </w:tc>
        <w:tc>
          <w:tcPr>
            <w:tcW w:w="1776" w:type="dxa"/>
            <w:gridSpan w:val="3"/>
          </w:tcPr>
          <w:p>
            <w:pPr>
              <w:pStyle w:val="yTable"/>
              <w:jc w:val="center"/>
              <w:rPr>
                <w:snapToGrid w:val="0"/>
                <w:sz w:val="12"/>
              </w:rPr>
            </w:pPr>
            <w:r>
              <w:rPr>
                <w:snapToGrid w:val="0"/>
                <w:sz w:val="12"/>
              </w:rPr>
              <w:t>To whom given</w:t>
            </w:r>
          </w:p>
        </w:tc>
        <w:tc>
          <w:tcPr>
            <w:tcW w:w="629" w:type="dxa"/>
            <w:vMerge w:val="restart"/>
            <w:vAlign w:val="center"/>
          </w:tcPr>
          <w:p>
            <w:pPr>
              <w:pStyle w:val="yTable"/>
              <w:spacing w:before="100"/>
              <w:ind w:left="-57" w:right="-57"/>
              <w:jc w:val="center"/>
              <w:rPr>
                <w:snapToGrid w:val="0"/>
                <w:sz w:val="12"/>
              </w:rPr>
            </w:pPr>
            <w:r>
              <w:rPr>
                <w:snapToGrid w:val="0"/>
                <w:sz w:val="12"/>
              </w:rPr>
              <w:t>Nature and Date of Instrument</w:t>
            </w:r>
          </w:p>
        </w:tc>
        <w:tc>
          <w:tcPr>
            <w:tcW w:w="489" w:type="dxa"/>
            <w:vMerge w:val="restart"/>
            <w:textDirection w:val="btLr"/>
            <w:vAlign w:val="center"/>
          </w:tcPr>
          <w:p>
            <w:pPr>
              <w:pStyle w:val="yTable"/>
              <w:spacing w:before="0"/>
              <w:ind w:left="57" w:right="57"/>
              <w:jc w:val="center"/>
              <w:rPr>
                <w:snapToGrid w:val="0"/>
                <w:sz w:val="12"/>
              </w:rPr>
            </w:pPr>
            <w:r>
              <w:rPr>
                <w:snapToGrid w:val="0"/>
                <w:sz w:val="12"/>
              </w:rPr>
              <w:t>Consideration</w:t>
            </w:r>
          </w:p>
        </w:tc>
        <w:tc>
          <w:tcPr>
            <w:tcW w:w="727" w:type="dxa"/>
            <w:vMerge w:val="restart"/>
            <w:textDirection w:val="btLr"/>
            <w:vAlign w:val="center"/>
          </w:tcPr>
          <w:p>
            <w:pPr>
              <w:pStyle w:val="yTable"/>
              <w:spacing w:before="40" w:after="40"/>
              <w:ind w:left="57" w:right="57"/>
              <w:rPr>
                <w:snapToGrid w:val="0"/>
                <w:sz w:val="12"/>
              </w:rPr>
            </w:pPr>
            <w:r>
              <w:rPr>
                <w:snapToGrid w:val="0"/>
                <w:sz w:val="12"/>
              </w:rPr>
              <w:t>Date of lodging notice of intention to register</w:t>
            </w:r>
          </w:p>
        </w:tc>
        <w:tc>
          <w:tcPr>
            <w:tcW w:w="528" w:type="dxa"/>
            <w:vMerge w:val="restart"/>
            <w:textDirection w:val="btLr"/>
          </w:tcPr>
          <w:p>
            <w:pPr>
              <w:pStyle w:val="yTable"/>
              <w:ind w:left="113" w:right="113"/>
              <w:rPr>
                <w:snapToGrid w:val="0"/>
                <w:sz w:val="12"/>
              </w:rPr>
            </w:pPr>
            <w:r>
              <w:rPr>
                <w:snapToGrid w:val="0"/>
                <w:sz w:val="12"/>
              </w:rPr>
              <w:t>Date of Registration.</w:t>
            </w:r>
          </w:p>
        </w:tc>
        <w:tc>
          <w:tcPr>
            <w:tcW w:w="561" w:type="dxa"/>
            <w:vMerge w:val="restart"/>
            <w:textDirection w:val="btLr"/>
          </w:tcPr>
          <w:p>
            <w:pPr>
              <w:pStyle w:val="yTable"/>
              <w:ind w:left="113" w:right="113"/>
              <w:rPr>
                <w:snapToGrid w:val="0"/>
                <w:sz w:val="12"/>
              </w:rPr>
            </w:pPr>
            <w:r>
              <w:rPr>
                <w:snapToGrid w:val="0"/>
                <w:sz w:val="12"/>
              </w:rPr>
              <w:t>Date of Renewal</w:t>
            </w:r>
          </w:p>
        </w:tc>
        <w:tc>
          <w:tcPr>
            <w:tcW w:w="561" w:type="dxa"/>
            <w:vMerge w:val="restart"/>
            <w:textDirection w:val="btLr"/>
          </w:tcPr>
          <w:p>
            <w:pPr>
              <w:pStyle w:val="yTable"/>
              <w:ind w:left="113" w:right="113"/>
              <w:rPr>
                <w:snapToGrid w:val="0"/>
                <w:sz w:val="12"/>
              </w:rPr>
            </w:pPr>
            <w:r>
              <w:rPr>
                <w:snapToGrid w:val="0"/>
                <w:sz w:val="12"/>
              </w:rPr>
              <w:t>Satisfaction entered</w:t>
            </w:r>
          </w:p>
        </w:tc>
      </w:tr>
      <w:tr>
        <w:trPr>
          <w:cantSplit/>
          <w:trHeight w:val="487"/>
          <w:jc w:val="center"/>
        </w:trPr>
        <w:tc>
          <w:tcPr>
            <w:tcW w:w="402" w:type="dxa"/>
            <w:vMerge/>
            <w:tcBorders>
              <w:left w:val="nil"/>
            </w:tcBorders>
          </w:tcPr>
          <w:p>
            <w:pPr>
              <w:pStyle w:val="yTable"/>
              <w:rPr>
                <w:snapToGrid w:val="0"/>
                <w:sz w:val="12"/>
              </w:rPr>
            </w:pPr>
          </w:p>
        </w:tc>
        <w:tc>
          <w:tcPr>
            <w:tcW w:w="559" w:type="dxa"/>
          </w:tcPr>
          <w:p>
            <w:pPr>
              <w:pStyle w:val="yTable"/>
              <w:jc w:val="center"/>
              <w:rPr>
                <w:snapToGrid w:val="0"/>
                <w:sz w:val="12"/>
              </w:rPr>
            </w:pPr>
            <w:r>
              <w:rPr>
                <w:snapToGrid w:val="0"/>
                <w:sz w:val="12"/>
              </w:rPr>
              <w:t>Name</w:t>
            </w:r>
          </w:p>
        </w:tc>
        <w:tc>
          <w:tcPr>
            <w:tcW w:w="559" w:type="dxa"/>
          </w:tcPr>
          <w:p>
            <w:pPr>
              <w:pStyle w:val="yTable"/>
              <w:jc w:val="center"/>
              <w:rPr>
                <w:snapToGrid w:val="0"/>
                <w:sz w:val="12"/>
              </w:rPr>
            </w:pPr>
            <w:r>
              <w:rPr>
                <w:snapToGrid w:val="0"/>
                <w:sz w:val="12"/>
              </w:rPr>
              <w:t>Resi-dence</w:t>
            </w:r>
          </w:p>
        </w:tc>
        <w:tc>
          <w:tcPr>
            <w:tcW w:w="559" w:type="dxa"/>
          </w:tcPr>
          <w:p>
            <w:pPr>
              <w:pStyle w:val="yTable"/>
              <w:jc w:val="center"/>
              <w:rPr>
                <w:snapToGrid w:val="0"/>
                <w:sz w:val="12"/>
              </w:rPr>
            </w:pPr>
            <w:r>
              <w:rPr>
                <w:snapToGrid w:val="0"/>
                <w:sz w:val="12"/>
              </w:rPr>
              <w:t>Occu-pation</w:t>
            </w:r>
          </w:p>
        </w:tc>
        <w:tc>
          <w:tcPr>
            <w:tcW w:w="559" w:type="dxa"/>
          </w:tcPr>
          <w:p>
            <w:pPr>
              <w:pStyle w:val="yTable"/>
              <w:jc w:val="center"/>
              <w:rPr>
                <w:snapToGrid w:val="0"/>
                <w:sz w:val="12"/>
              </w:rPr>
            </w:pPr>
            <w:r>
              <w:rPr>
                <w:snapToGrid w:val="0"/>
                <w:sz w:val="12"/>
              </w:rPr>
              <w:t>Name</w:t>
            </w:r>
          </w:p>
        </w:tc>
        <w:tc>
          <w:tcPr>
            <w:tcW w:w="559" w:type="dxa"/>
          </w:tcPr>
          <w:p>
            <w:pPr>
              <w:pStyle w:val="yTable"/>
              <w:rPr>
                <w:snapToGrid w:val="0"/>
                <w:sz w:val="12"/>
              </w:rPr>
            </w:pPr>
            <w:r>
              <w:rPr>
                <w:snapToGrid w:val="0"/>
                <w:sz w:val="12"/>
              </w:rPr>
              <w:t>Resi-dence</w:t>
            </w:r>
          </w:p>
        </w:tc>
        <w:tc>
          <w:tcPr>
            <w:tcW w:w="658" w:type="dxa"/>
          </w:tcPr>
          <w:p>
            <w:pPr>
              <w:pStyle w:val="yTable"/>
              <w:jc w:val="center"/>
              <w:rPr>
                <w:snapToGrid w:val="0"/>
                <w:sz w:val="12"/>
              </w:rPr>
            </w:pPr>
            <w:r>
              <w:rPr>
                <w:snapToGrid w:val="0"/>
                <w:sz w:val="12"/>
              </w:rPr>
              <w:t>Occu-pation</w:t>
            </w:r>
          </w:p>
        </w:tc>
        <w:tc>
          <w:tcPr>
            <w:tcW w:w="629" w:type="dxa"/>
            <w:vMerge/>
          </w:tcPr>
          <w:p>
            <w:pPr>
              <w:pStyle w:val="yTable"/>
              <w:rPr>
                <w:snapToGrid w:val="0"/>
                <w:sz w:val="12"/>
              </w:rPr>
            </w:pPr>
          </w:p>
        </w:tc>
        <w:tc>
          <w:tcPr>
            <w:tcW w:w="489" w:type="dxa"/>
            <w:vMerge/>
          </w:tcPr>
          <w:p>
            <w:pPr>
              <w:pStyle w:val="yTable"/>
              <w:rPr>
                <w:snapToGrid w:val="0"/>
                <w:sz w:val="12"/>
              </w:rPr>
            </w:pPr>
          </w:p>
        </w:tc>
        <w:tc>
          <w:tcPr>
            <w:tcW w:w="727" w:type="dxa"/>
            <w:vMerge/>
          </w:tcPr>
          <w:p>
            <w:pPr>
              <w:pStyle w:val="yTable"/>
              <w:rPr>
                <w:snapToGrid w:val="0"/>
                <w:sz w:val="12"/>
              </w:rPr>
            </w:pPr>
          </w:p>
        </w:tc>
        <w:tc>
          <w:tcPr>
            <w:tcW w:w="528" w:type="dxa"/>
            <w:vMerge/>
          </w:tcPr>
          <w:p>
            <w:pPr>
              <w:pStyle w:val="yTable"/>
              <w:rPr>
                <w:snapToGrid w:val="0"/>
                <w:sz w:val="12"/>
              </w:rPr>
            </w:pPr>
          </w:p>
        </w:tc>
        <w:tc>
          <w:tcPr>
            <w:tcW w:w="561" w:type="dxa"/>
            <w:vMerge/>
          </w:tcPr>
          <w:p>
            <w:pPr>
              <w:pStyle w:val="yTable"/>
              <w:rPr>
                <w:snapToGrid w:val="0"/>
                <w:sz w:val="12"/>
              </w:rPr>
            </w:pPr>
          </w:p>
        </w:tc>
        <w:tc>
          <w:tcPr>
            <w:tcW w:w="561" w:type="dxa"/>
            <w:vMerge/>
          </w:tcPr>
          <w:p>
            <w:pPr>
              <w:pStyle w:val="yTable"/>
              <w:rPr>
                <w:snapToGrid w:val="0"/>
                <w:sz w:val="12"/>
              </w:rPr>
            </w:pPr>
          </w:p>
        </w:tc>
      </w:tr>
      <w:tr>
        <w:trPr>
          <w:cantSplit/>
          <w:trHeight w:val="223"/>
          <w:jc w:val="center"/>
        </w:trPr>
        <w:tc>
          <w:tcPr>
            <w:tcW w:w="402" w:type="dxa"/>
            <w:tcBorders>
              <w:left w:val="nil"/>
            </w:tcBorders>
          </w:tcPr>
          <w:p>
            <w:pPr>
              <w:pStyle w:val="yTable"/>
              <w:rPr>
                <w:snapToGrid w:val="0"/>
                <w:sz w:val="12"/>
              </w:rPr>
            </w:pPr>
          </w:p>
          <w:p>
            <w:pPr>
              <w:pStyle w:val="yTable"/>
              <w:rPr>
                <w:snapToGrid w:val="0"/>
                <w:sz w:val="12"/>
              </w:rPr>
            </w:pPr>
          </w:p>
          <w:p>
            <w:pPr>
              <w:pStyle w:val="yTable"/>
              <w:rPr>
                <w:snapToGrid w:val="0"/>
                <w:sz w:val="12"/>
              </w:rPr>
            </w:pPr>
          </w:p>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658" w:type="dxa"/>
          </w:tcPr>
          <w:p>
            <w:pPr>
              <w:pStyle w:val="yTable"/>
              <w:rPr>
                <w:snapToGrid w:val="0"/>
                <w:sz w:val="12"/>
              </w:rPr>
            </w:pPr>
          </w:p>
        </w:tc>
        <w:tc>
          <w:tcPr>
            <w:tcW w:w="629" w:type="dxa"/>
          </w:tcPr>
          <w:p>
            <w:pPr>
              <w:pStyle w:val="yTable"/>
              <w:rPr>
                <w:snapToGrid w:val="0"/>
                <w:sz w:val="12"/>
              </w:rPr>
            </w:pPr>
          </w:p>
        </w:tc>
        <w:tc>
          <w:tcPr>
            <w:tcW w:w="489" w:type="dxa"/>
          </w:tcPr>
          <w:p>
            <w:pPr>
              <w:pStyle w:val="yTable"/>
              <w:rPr>
                <w:snapToGrid w:val="0"/>
                <w:sz w:val="12"/>
              </w:rPr>
            </w:pPr>
          </w:p>
        </w:tc>
        <w:tc>
          <w:tcPr>
            <w:tcW w:w="727" w:type="dxa"/>
          </w:tcPr>
          <w:p>
            <w:pPr>
              <w:pStyle w:val="yTable"/>
              <w:rPr>
                <w:snapToGrid w:val="0"/>
                <w:sz w:val="12"/>
              </w:rPr>
            </w:pPr>
          </w:p>
        </w:tc>
        <w:tc>
          <w:tcPr>
            <w:tcW w:w="528" w:type="dxa"/>
          </w:tcPr>
          <w:p>
            <w:pPr>
              <w:pStyle w:val="yTable"/>
              <w:rPr>
                <w:snapToGrid w:val="0"/>
                <w:sz w:val="12"/>
              </w:rPr>
            </w:pPr>
          </w:p>
        </w:tc>
        <w:tc>
          <w:tcPr>
            <w:tcW w:w="561" w:type="dxa"/>
          </w:tcPr>
          <w:p>
            <w:pPr>
              <w:pStyle w:val="yTable"/>
              <w:rPr>
                <w:snapToGrid w:val="0"/>
                <w:sz w:val="12"/>
              </w:rPr>
            </w:pPr>
          </w:p>
        </w:tc>
        <w:tc>
          <w:tcPr>
            <w:tcW w:w="561" w:type="dxa"/>
          </w:tcPr>
          <w:p>
            <w:pPr>
              <w:pStyle w:val="yTable"/>
              <w:rPr>
                <w:snapToGrid w:val="0"/>
                <w:sz w:val="12"/>
              </w:rPr>
            </w:pPr>
          </w:p>
        </w:tc>
      </w:tr>
    </w:tbl>
    <w:p>
      <w:pPr>
        <w:pStyle w:val="yScheduleHeading"/>
      </w:pPr>
      <w:bookmarkStart w:id="430" w:name="_Toc121561984"/>
      <w:bookmarkStart w:id="431" w:name="_Toc121562164"/>
      <w:bookmarkStart w:id="432" w:name="_Toc121562254"/>
      <w:bookmarkStart w:id="433" w:name="_Toc121562344"/>
      <w:bookmarkStart w:id="434" w:name="_Toc121562434"/>
      <w:bookmarkStart w:id="435" w:name="_Toc124062096"/>
      <w:bookmarkStart w:id="436" w:name="_Toc241048396"/>
      <w:r>
        <w:rPr>
          <w:rStyle w:val="CharSchNo"/>
        </w:rPr>
        <w:t>Third Schedule</w:t>
      </w:r>
      <w:bookmarkEnd w:id="430"/>
      <w:bookmarkEnd w:id="431"/>
      <w:bookmarkEnd w:id="432"/>
      <w:bookmarkEnd w:id="433"/>
      <w:bookmarkEnd w:id="434"/>
      <w:bookmarkEnd w:id="435"/>
      <w:bookmarkEnd w:id="436"/>
      <w:r>
        <w:rPr>
          <w:rStyle w:val="CharSchText"/>
        </w:rPr>
        <w:t xml:space="preserve"> </w:t>
      </w:r>
    </w:p>
    <w:p>
      <w:pPr>
        <w:pStyle w:val="yShoulderClause"/>
        <w:rPr>
          <w:snapToGrid w:val="0"/>
        </w:rPr>
      </w:pPr>
      <w:r>
        <w:rPr>
          <w:snapToGrid w:val="0"/>
        </w:rPr>
        <w:t>[Section 39]</w:t>
      </w:r>
    </w:p>
    <w:p>
      <w:pPr>
        <w:pStyle w:val="ySubsection"/>
        <w:rPr>
          <w:snapToGrid w:val="0"/>
        </w:rPr>
      </w:pPr>
      <w:r>
        <w:rPr>
          <w:snapToGrid w:val="0"/>
        </w:rPr>
        <w:tab/>
      </w:r>
      <w:r>
        <w:rPr>
          <w:snapToGrid w:val="0"/>
        </w:rPr>
        <w:tab/>
        <w:t>The following form of bill of sale under section 39 may be used: —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 </w:t>
      </w:r>
    </w:p>
    <w:p>
      <w:pPr>
        <w:pStyle w:val="yFootnotesection"/>
        <w:spacing w:before="360"/>
      </w:pPr>
      <w:r>
        <w:tab/>
        <w:t xml:space="preserve">[Third Schedule amended by No. 24 of 1914 s. 16.] </w:t>
      </w:r>
    </w:p>
    <w:p>
      <w:pPr>
        <w:pStyle w:val="yScheduleHeading"/>
      </w:pPr>
      <w:bookmarkStart w:id="437" w:name="_Toc121561985"/>
      <w:bookmarkStart w:id="438" w:name="_Toc121562165"/>
      <w:bookmarkStart w:id="439" w:name="_Toc121562255"/>
      <w:bookmarkStart w:id="440" w:name="_Toc121562345"/>
      <w:bookmarkStart w:id="441" w:name="_Toc121562435"/>
      <w:bookmarkStart w:id="442" w:name="_Toc124062097"/>
      <w:bookmarkStart w:id="443" w:name="_Toc241048397"/>
      <w:r>
        <w:rPr>
          <w:rStyle w:val="CharSchNo"/>
        </w:rPr>
        <w:t>Fourth Schedule</w:t>
      </w:r>
      <w:bookmarkEnd w:id="437"/>
      <w:bookmarkEnd w:id="438"/>
      <w:bookmarkEnd w:id="439"/>
      <w:bookmarkEnd w:id="440"/>
      <w:bookmarkEnd w:id="441"/>
      <w:bookmarkEnd w:id="442"/>
      <w:bookmarkEnd w:id="443"/>
      <w:r>
        <w:rPr>
          <w:rStyle w:val="CharSchNo"/>
        </w:rPr>
        <w:t xml:space="preserve"> </w:t>
      </w:r>
    </w:p>
    <w:p>
      <w:pPr>
        <w:pStyle w:val="yShoulderClause"/>
        <w:rPr>
          <w:snapToGrid w:val="0"/>
        </w:rPr>
      </w:pPr>
      <w:r>
        <w:rPr>
          <w:snapToGrid w:val="0"/>
        </w:rPr>
        <w:t>[Section 44]</w:t>
      </w:r>
    </w:p>
    <w:p>
      <w:pPr>
        <w:pStyle w:val="MiscellaneousHeading"/>
        <w:rPr>
          <w:b/>
          <w:snapToGrid w:val="0"/>
          <w:sz w:val="22"/>
        </w:rPr>
      </w:pPr>
      <w:r>
        <w:rPr>
          <w:b/>
          <w:snapToGrid w:val="0"/>
          <w:sz w:val="22"/>
        </w:rPr>
        <w:t>Lien on wool</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444" w:name="_Toc121561986"/>
      <w:bookmarkStart w:id="445" w:name="_Toc121562166"/>
      <w:bookmarkStart w:id="446" w:name="_Toc121562256"/>
      <w:bookmarkStart w:id="447" w:name="_Toc121562346"/>
      <w:bookmarkStart w:id="448" w:name="_Toc121562436"/>
      <w:bookmarkStart w:id="449" w:name="_Toc124062098"/>
      <w:bookmarkStart w:id="450" w:name="_Toc241048398"/>
      <w:r>
        <w:rPr>
          <w:rStyle w:val="CharSchNo"/>
        </w:rPr>
        <w:t>Tenth Schedule</w:t>
      </w:r>
      <w:bookmarkEnd w:id="444"/>
      <w:bookmarkEnd w:id="445"/>
      <w:bookmarkEnd w:id="446"/>
      <w:bookmarkEnd w:id="447"/>
      <w:bookmarkEnd w:id="448"/>
      <w:bookmarkEnd w:id="449"/>
      <w:bookmarkEnd w:id="450"/>
      <w:r>
        <w:rPr>
          <w:rStyle w:val="CharSchText"/>
        </w:rPr>
        <w:t xml:space="preserve"> </w:t>
      </w:r>
    </w:p>
    <w:p>
      <w:pPr>
        <w:pStyle w:val="yShoulderClause"/>
        <w:rPr>
          <w:snapToGrid w:val="0"/>
        </w:rPr>
      </w:pPr>
      <w:r>
        <w:rPr>
          <w:snapToGrid w:val="0"/>
        </w:rPr>
        <w:t>[Section 17R]</w:t>
      </w:r>
    </w:p>
    <w:p>
      <w:pPr>
        <w:pStyle w:val="MiscellaneousHeading"/>
        <w:rPr>
          <w:b/>
          <w:snapToGrid w:val="0"/>
          <w:sz w:val="22"/>
        </w:rPr>
      </w:pPr>
      <w:r>
        <w:rPr>
          <w:b/>
          <w:snapToGrid w:val="0"/>
          <w:sz w:val="22"/>
        </w:rPr>
        <w:t>Bill of sale by way of security</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
              <w:rPr>
                <w:snapToGrid w:val="0"/>
              </w:rPr>
            </w:pPr>
            <w:r>
              <w:rPr>
                <w:snapToGrid w:val="0"/>
              </w:rPr>
              <w:t>Signed, sealed, and delivered</w:t>
            </w:r>
          </w:p>
          <w:p>
            <w:pPr>
              <w:pStyle w:val="yTable"/>
              <w:tabs>
                <w:tab w:val="left" w:pos="175"/>
              </w:tabs>
              <w:spacing w:before="0"/>
              <w:rPr>
                <w:snapToGrid w:val="0"/>
              </w:rPr>
            </w:pPr>
            <w:r>
              <w:rPr>
                <w:snapToGrid w:val="0"/>
              </w:rPr>
              <w:tab/>
              <w:t xml:space="preserve">by the said </w:t>
            </w:r>
          </w:p>
          <w:p>
            <w:pPr>
              <w:pStyle w:val="yTable"/>
              <w:tabs>
                <w:tab w:val="left" w:pos="175"/>
              </w:tabs>
              <w:spacing w:before="0"/>
              <w:rPr>
                <w:snapToGrid w:val="0"/>
              </w:rPr>
            </w:pPr>
            <w:r>
              <w:rPr>
                <w:snapToGrid w:val="0"/>
              </w:rPr>
              <w:tab/>
              <w:t>in the presence of</w:t>
            </w:r>
          </w:p>
        </w:tc>
        <w:bookmarkStart w:id="451" w:name="_MON_1059985176"/>
        <w:bookmarkStart w:id="452" w:name="_MON_1059985227"/>
        <w:bookmarkStart w:id="453" w:name="_MON_1059986079"/>
        <w:bookmarkStart w:id="454" w:name="_MON_1061041369"/>
        <w:bookmarkStart w:id="455" w:name="_MON_1062484608"/>
        <w:bookmarkStart w:id="456" w:name="_MON_1062485576"/>
        <w:bookmarkStart w:id="457" w:name="_MON_1243866653"/>
        <w:bookmarkEnd w:id="451"/>
        <w:bookmarkEnd w:id="452"/>
        <w:bookmarkEnd w:id="453"/>
        <w:bookmarkEnd w:id="454"/>
        <w:bookmarkEnd w:id="455"/>
        <w:bookmarkEnd w:id="456"/>
        <w:bookmarkEnd w:id="457"/>
        <w:bookmarkStart w:id="458" w:name="_MON_1059985138"/>
        <w:bookmarkEnd w:id="458"/>
        <w:tc>
          <w:tcPr>
            <w:tcW w:w="3518" w:type="dxa"/>
          </w:tcPr>
          <w:p>
            <w:pPr>
              <w:pStyle w:val="yTable"/>
              <w:spacing w:before="100"/>
              <w:rPr>
                <w:snapToGrid w:val="0"/>
              </w:rPr>
            </w:pPr>
            <w:r>
              <w:object w:dxaOrig="195"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2pt" o:ole="" fillcolor="window">
                  <v:imagedata r:id="rId25" o:title=""/>
                </v:shape>
                <o:OLEObject Type="Embed" ProgID="Word.Picture.8" ShapeID="_x0000_i1025" DrawAspect="Content" ObjectID="_1643143366" r:id="rId26"/>
              </w:object>
            </w:r>
          </w:p>
        </w:tc>
      </w:tr>
    </w:tbl>
    <w:p>
      <w:pPr>
        <w:pStyle w:val="yFootnotesection"/>
      </w:pPr>
      <w:r>
        <w:tab/>
        <w:t xml:space="preserve">[Tenth Schedule amended by No. 24 of 1914 s. 10 (as amended by No. 40 of 1957 s. 21); No. 113 of 1965 s. 8; No. 57 of 1997 s. 23.] </w:t>
      </w:r>
    </w:p>
    <w:p>
      <w:pPr>
        <w:pStyle w:val="yScheduleHeading"/>
        <w:rPr>
          <w:rStyle w:val="CharSchNo"/>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459" w:name="_Toc121561987"/>
      <w:bookmarkStart w:id="460" w:name="_Toc121562167"/>
      <w:bookmarkStart w:id="461" w:name="_Toc121562257"/>
      <w:bookmarkStart w:id="462" w:name="_Toc121562347"/>
      <w:bookmarkStart w:id="463" w:name="_Toc121562437"/>
      <w:bookmarkStart w:id="464" w:name="_Toc124062099"/>
    </w:p>
    <w:p>
      <w:pPr>
        <w:pStyle w:val="yScheduleHeading"/>
      </w:pPr>
      <w:bookmarkStart w:id="465" w:name="_Toc241048399"/>
      <w:r>
        <w:rPr>
          <w:rStyle w:val="CharSchNo"/>
        </w:rPr>
        <w:t>Eleventh Schedule</w:t>
      </w:r>
      <w:bookmarkEnd w:id="459"/>
      <w:bookmarkEnd w:id="460"/>
      <w:bookmarkEnd w:id="461"/>
      <w:bookmarkEnd w:id="462"/>
      <w:bookmarkEnd w:id="463"/>
      <w:bookmarkEnd w:id="464"/>
      <w:bookmarkEnd w:id="465"/>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Covenants to be deemed implied in bills of sale by way of security</w:t>
      </w:r>
    </w:p>
    <w:p>
      <w:pPr>
        <w:pStyle w:val="yHeading5"/>
        <w:outlineLvl w:val="9"/>
        <w:rPr>
          <w:snapToGrid w:val="0"/>
        </w:rPr>
      </w:pPr>
      <w:bookmarkStart w:id="466" w:name="_Toc522959537"/>
      <w:bookmarkStart w:id="467" w:name="_Toc524170578"/>
      <w:bookmarkStart w:id="468" w:name="_Toc121562258"/>
      <w:bookmarkStart w:id="469" w:name="_Toc121562348"/>
      <w:bookmarkStart w:id="470" w:name="_Toc241048400"/>
      <w:r>
        <w:rPr>
          <w:rStyle w:val="CharSClsNo"/>
        </w:rPr>
        <w:t>1</w:t>
      </w:r>
      <w:r>
        <w:rPr>
          <w:snapToGrid w:val="0"/>
        </w:rPr>
        <w:t>.</w:t>
      </w:r>
      <w:r>
        <w:rPr>
          <w:snapToGrid w:val="0"/>
        </w:rPr>
        <w:tab/>
        <w:t>To pay principal and interest</w:t>
      </w:r>
      <w:bookmarkEnd w:id="466"/>
      <w:bookmarkEnd w:id="467"/>
      <w:bookmarkEnd w:id="468"/>
      <w:bookmarkEnd w:id="469"/>
      <w:bookmarkEnd w:id="470"/>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Heading5"/>
        <w:outlineLvl w:val="9"/>
        <w:rPr>
          <w:snapToGrid w:val="0"/>
        </w:rPr>
      </w:pPr>
      <w:bookmarkStart w:id="471" w:name="_Toc522959538"/>
      <w:bookmarkStart w:id="472" w:name="_Toc524170579"/>
      <w:bookmarkStart w:id="473" w:name="_Toc121562259"/>
      <w:bookmarkStart w:id="474" w:name="_Toc121562349"/>
      <w:bookmarkStart w:id="475" w:name="_Toc241048401"/>
      <w:r>
        <w:rPr>
          <w:rStyle w:val="CharSClsNo"/>
        </w:rPr>
        <w:t>2</w:t>
      </w:r>
      <w:r>
        <w:rPr>
          <w:snapToGrid w:val="0"/>
        </w:rPr>
        <w:t>.</w:t>
      </w:r>
      <w:r>
        <w:rPr>
          <w:snapToGrid w:val="0"/>
        </w:rPr>
        <w:tab/>
        <w:t>Not to remove the chattels</w:t>
      </w:r>
      <w:bookmarkEnd w:id="471"/>
      <w:bookmarkEnd w:id="472"/>
      <w:bookmarkEnd w:id="473"/>
      <w:bookmarkEnd w:id="474"/>
      <w:bookmarkEnd w:id="475"/>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Heading5"/>
        <w:outlineLvl w:val="9"/>
        <w:rPr>
          <w:snapToGrid w:val="0"/>
        </w:rPr>
      </w:pPr>
      <w:bookmarkStart w:id="476" w:name="_Toc522959539"/>
      <w:bookmarkStart w:id="477" w:name="_Toc524170580"/>
      <w:bookmarkStart w:id="478" w:name="_Toc121562260"/>
      <w:bookmarkStart w:id="479" w:name="_Toc121562350"/>
      <w:bookmarkStart w:id="480" w:name="_Toc241048402"/>
      <w:r>
        <w:rPr>
          <w:rStyle w:val="CharSClsNo"/>
        </w:rPr>
        <w:t>3</w:t>
      </w:r>
      <w:r>
        <w:rPr>
          <w:snapToGrid w:val="0"/>
        </w:rPr>
        <w:t>.</w:t>
      </w:r>
      <w:r>
        <w:rPr>
          <w:snapToGrid w:val="0"/>
        </w:rPr>
        <w:tab/>
        <w:t>Not to suffer the goods to be taken in execution</w:t>
      </w:r>
      <w:bookmarkEnd w:id="476"/>
      <w:bookmarkEnd w:id="477"/>
      <w:bookmarkEnd w:id="478"/>
      <w:bookmarkEnd w:id="479"/>
      <w:bookmarkEnd w:id="480"/>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r>
        <w:t>enter into a personal insolvency agreement.</w:t>
      </w:r>
    </w:p>
    <w:p>
      <w:pPr>
        <w:pStyle w:val="yFootnotesection"/>
      </w:pPr>
      <w:r>
        <w:tab/>
        <w:t>[Clause 3 amended by No. 18 of 2009 s. 12(4).]</w:t>
      </w:r>
    </w:p>
    <w:p>
      <w:pPr>
        <w:pStyle w:val="yHeading5"/>
        <w:outlineLvl w:val="9"/>
        <w:rPr>
          <w:snapToGrid w:val="0"/>
        </w:rPr>
      </w:pPr>
      <w:bookmarkStart w:id="481" w:name="_Toc522959540"/>
      <w:bookmarkStart w:id="482" w:name="_Toc524170581"/>
      <w:bookmarkStart w:id="483" w:name="_Toc121562261"/>
      <w:bookmarkStart w:id="484" w:name="_Toc121562351"/>
      <w:bookmarkStart w:id="485" w:name="_Toc241048403"/>
      <w:r>
        <w:rPr>
          <w:rStyle w:val="CharSClsNo"/>
        </w:rPr>
        <w:t>4</w:t>
      </w:r>
      <w:r>
        <w:rPr>
          <w:snapToGrid w:val="0"/>
        </w:rPr>
        <w:t>.</w:t>
      </w:r>
      <w:r>
        <w:rPr>
          <w:snapToGrid w:val="0"/>
        </w:rPr>
        <w:tab/>
        <w:t>To produce receipts for rent, etc.</w:t>
      </w:r>
      <w:bookmarkEnd w:id="481"/>
      <w:bookmarkEnd w:id="482"/>
      <w:bookmarkEnd w:id="483"/>
      <w:bookmarkEnd w:id="484"/>
      <w:bookmarkEnd w:id="485"/>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Heading5"/>
        <w:outlineLvl w:val="9"/>
        <w:rPr>
          <w:snapToGrid w:val="0"/>
        </w:rPr>
      </w:pPr>
      <w:bookmarkStart w:id="486" w:name="_Toc522959541"/>
      <w:bookmarkStart w:id="487" w:name="_Toc524170582"/>
      <w:bookmarkStart w:id="488" w:name="_Toc121562262"/>
      <w:bookmarkStart w:id="489" w:name="_Toc121562352"/>
      <w:bookmarkStart w:id="490" w:name="_Toc241048404"/>
      <w:r>
        <w:rPr>
          <w:rStyle w:val="CharSClsNo"/>
        </w:rPr>
        <w:t>5</w:t>
      </w:r>
      <w:r>
        <w:rPr>
          <w:snapToGrid w:val="0"/>
        </w:rPr>
        <w:t>.</w:t>
      </w:r>
      <w:r>
        <w:rPr>
          <w:snapToGrid w:val="0"/>
        </w:rPr>
        <w:tab/>
        <w:t>To enter and view the goods, etc.</w:t>
      </w:r>
      <w:bookmarkEnd w:id="486"/>
      <w:bookmarkEnd w:id="487"/>
      <w:bookmarkEnd w:id="488"/>
      <w:bookmarkEnd w:id="489"/>
      <w:bookmarkEnd w:id="490"/>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Heading5"/>
        <w:outlineLvl w:val="9"/>
        <w:rPr>
          <w:snapToGrid w:val="0"/>
        </w:rPr>
      </w:pPr>
      <w:bookmarkStart w:id="491" w:name="_Toc522959542"/>
      <w:bookmarkStart w:id="492" w:name="_Toc524170583"/>
      <w:bookmarkStart w:id="493" w:name="_Toc121562263"/>
      <w:bookmarkStart w:id="494" w:name="_Toc121562353"/>
      <w:bookmarkStart w:id="495" w:name="_Toc241048405"/>
      <w:r>
        <w:rPr>
          <w:rStyle w:val="CharSClsNo"/>
        </w:rPr>
        <w:t>6</w:t>
      </w:r>
      <w:r>
        <w:rPr>
          <w:snapToGrid w:val="0"/>
        </w:rPr>
        <w:t>.</w:t>
      </w:r>
      <w:r>
        <w:rPr>
          <w:snapToGrid w:val="0"/>
        </w:rPr>
        <w:tab/>
        <w:t>Power of sale in case of default</w:t>
      </w:r>
      <w:bookmarkEnd w:id="491"/>
      <w:bookmarkEnd w:id="492"/>
      <w:bookmarkEnd w:id="493"/>
      <w:bookmarkEnd w:id="494"/>
      <w:bookmarkEnd w:id="495"/>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Heading5"/>
        <w:outlineLvl w:val="9"/>
        <w:rPr>
          <w:snapToGrid w:val="0"/>
        </w:rPr>
      </w:pPr>
      <w:bookmarkStart w:id="496" w:name="_Toc522959543"/>
      <w:bookmarkStart w:id="497" w:name="_Toc524170584"/>
      <w:bookmarkStart w:id="498" w:name="_Toc121562264"/>
      <w:bookmarkStart w:id="499" w:name="_Toc121562354"/>
      <w:bookmarkStart w:id="500" w:name="_Toc241048406"/>
      <w:r>
        <w:rPr>
          <w:rStyle w:val="CharSClsNo"/>
        </w:rPr>
        <w:t>7</w:t>
      </w:r>
      <w:r>
        <w:rPr>
          <w:snapToGrid w:val="0"/>
        </w:rPr>
        <w:t>.</w:t>
      </w:r>
      <w:r>
        <w:rPr>
          <w:snapToGrid w:val="0"/>
        </w:rPr>
        <w:tab/>
        <w:t>To execute documents for purpose of carrying out sale</w:t>
      </w:r>
      <w:bookmarkEnd w:id="496"/>
      <w:bookmarkEnd w:id="497"/>
      <w:bookmarkEnd w:id="498"/>
      <w:bookmarkEnd w:id="499"/>
      <w:bookmarkEnd w:id="500"/>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Heading5"/>
        <w:outlineLvl w:val="9"/>
        <w:rPr>
          <w:snapToGrid w:val="0"/>
        </w:rPr>
      </w:pPr>
      <w:bookmarkStart w:id="501" w:name="_Toc522959544"/>
      <w:bookmarkStart w:id="502" w:name="_Toc524170585"/>
      <w:bookmarkStart w:id="503" w:name="_Toc121562265"/>
      <w:bookmarkStart w:id="504" w:name="_Toc121562355"/>
      <w:bookmarkStart w:id="505" w:name="_Toc241048407"/>
      <w:r>
        <w:rPr>
          <w:rStyle w:val="CharSClsNo"/>
        </w:rPr>
        <w:t>8</w:t>
      </w:r>
      <w:r>
        <w:rPr>
          <w:snapToGrid w:val="0"/>
        </w:rPr>
        <w:t>.</w:t>
      </w:r>
      <w:r>
        <w:rPr>
          <w:snapToGrid w:val="0"/>
        </w:rPr>
        <w:tab/>
        <w:t>Purchase</w:t>
      </w:r>
      <w:r>
        <w:rPr>
          <w:snapToGrid w:val="0"/>
        </w:rPr>
        <w:noBreakHyphen/>
        <w:t>money to be applied in satisfaction of security</w:t>
      </w:r>
      <w:bookmarkEnd w:id="501"/>
      <w:bookmarkEnd w:id="502"/>
      <w:bookmarkEnd w:id="503"/>
      <w:bookmarkEnd w:id="504"/>
      <w:bookmarkEnd w:id="505"/>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t xml:space="preserve">[Eleventh Schedule amended by No. 24 of 1914 s. 11 (as amended by No. 40 of 1957 s. 21).] </w:t>
      </w:r>
      <w:bookmarkStart w:id="506" w:name="_Toc121561996"/>
      <w:bookmarkStart w:id="507" w:name="_Toc121562176"/>
      <w:bookmarkStart w:id="508" w:name="_Toc121562266"/>
      <w:bookmarkStart w:id="509" w:name="_Toc121562356"/>
      <w:bookmarkStart w:id="510" w:name="_Toc121562446"/>
      <w:bookmarkStart w:id="511" w:name="_Toc124062108"/>
    </w:p>
    <w:p>
      <w:pPr>
        <w:pStyle w:val="yScheduleHeading"/>
      </w:pPr>
      <w:bookmarkStart w:id="512" w:name="_Toc241048408"/>
      <w:r>
        <w:rPr>
          <w:rStyle w:val="CharSchNo"/>
        </w:rPr>
        <w:t>Twelfth Schedule</w:t>
      </w:r>
      <w:bookmarkEnd w:id="506"/>
      <w:bookmarkEnd w:id="507"/>
      <w:bookmarkEnd w:id="508"/>
      <w:bookmarkEnd w:id="509"/>
      <w:bookmarkEnd w:id="510"/>
      <w:bookmarkEnd w:id="511"/>
      <w:bookmarkEnd w:id="512"/>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 to insure</w:t>
      </w:r>
    </w:p>
    <w:p>
      <w:pPr>
        <w:pStyle w:val="yHeading5"/>
        <w:outlineLvl w:val="9"/>
        <w:rPr>
          <w:snapToGrid w:val="0"/>
        </w:rPr>
      </w:pP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amended by No. 24 of 1914 s. 11 (as amended by No. 40 of 1957 s. 21).] </w:t>
      </w:r>
    </w:p>
    <w:p>
      <w:pPr>
        <w:pStyle w:val="yEdnoteschedule"/>
      </w:pPr>
      <w:r>
        <w:t>[Thirteenth Schedule deleted by No. 49 of 1983 s. 11.]</w:t>
      </w:r>
    </w:p>
    <w:p>
      <w:pPr>
        <w:pStyle w:val="yScheduleHeading"/>
      </w:pPr>
      <w:bookmarkStart w:id="513" w:name="_Toc121561997"/>
      <w:bookmarkStart w:id="514" w:name="_Toc121562177"/>
      <w:bookmarkStart w:id="515" w:name="_Toc121562267"/>
      <w:bookmarkStart w:id="516" w:name="_Toc121562357"/>
      <w:bookmarkStart w:id="517" w:name="_Toc121562447"/>
      <w:bookmarkStart w:id="518" w:name="_Toc124062109"/>
      <w:bookmarkStart w:id="519" w:name="_Toc241048409"/>
      <w:r>
        <w:rPr>
          <w:rStyle w:val="CharSchNo"/>
        </w:rPr>
        <w:t>Fourteenth Schedule</w:t>
      </w:r>
      <w:bookmarkEnd w:id="513"/>
      <w:bookmarkEnd w:id="514"/>
      <w:bookmarkEnd w:id="515"/>
      <w:bookmarkEnd w:id="516"/>
      <w:bookmarkEnd w:id="517"/>
      <w:bookmarkEnd w:id="518"/>
      <w:bookmarkEnd w:id="519"/>
      <w:r>
        <w:rPr>
          <w:rStyle w:val="CharSchText"/>
        </w:rPr>
        <w:t xml:space="preserve"> </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 xml:space="preserve">[Fourteenth Schedule inserted by No. 41 of 1925 s. 11 (as amended by No. 40 of 1957 s. 21).] </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520" w:name="_Toc89168452"/>
      <w:bookmarkStart w:id="521" w:name="_Toc101928624"/>
      <w:bookmarkStart w:id="522" w:name="_Toc121561998"/>
      <w:bookmarkStart w:id="523" w:name="_Toc121562088"/>
      <w:bookmarkStart w:id="524" w:name="_Toc121562178"/>
      <w:bookmarkStart w:id="525" w:name="_Toc121562268"/>
      <w:bookmarkStart w:id="526" w:name="_Toc121562358"/>
      <w:bookmarkStart w:id="527" w:name="_Toc121562448"/>
      <w:bookmarkStart w:id="528" w:name="_Toc124062110"/>
      <w:bookmarkStart w:id="529" w:name="_Toc241048410"/>
      <w:r>
        <w:t>Notes</w:t>
      </w:r>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Bills of Sale Act 1899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0" w:name="_Toc241048411"/>
      <w:r>
        <w:rPr>
          <w:snapToGrid w:val="0"/>
        </w:rPr>
        <w:t>Compilation table</w:t>
      </w:r>
      <w:bookmarkEnd w:id="530"/>
    </w:p>
    <w:tbl>
      <w:tblPr>
        <w:tblW w:w="7083" w:type="dxa"/>
        <w:tblInd w:w="8" w:type="dxa"/>
        <w:tblLayout w:type="fixed"/>
        <w:tblCellMar>
          <w:left w:w="56" w:type="dxa"/>
          <w:right w:w="56" w:type="dxa"/>
        </w:tblCellMar>
        <w:tblLook w:val="0000" w:firstRow="0" w:lastRow="0" w:firstColumn="0" w:lastColumn="0" w:noHBand="0" w:noVBand="0"/>
      </w:tblPr>
      <w:tblGrid>
        <w:gridCol w:w="2267"/>
        <w:gridCol w:w="1133"/>
        <w:gridCol w:w="1133"/>
        <w:gridCol w:w="2550"/>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33" w:type="dxa"/>
            <w:tcBorders>
              <w:top w:val="single" w:sz="8" w:space="0" w:color="auto"/>
              <w:bottom w:val="single" w:sz="8" w:space="0" w:color="auto"/>
            </w:tcBorders>
          </w:tcPr>
          <w:p>
            <w:pPr>
              <w:pStyle w:val="nTable"/>
              <w:spacing w:after="40"/>
              <w:ind w:left="57"/>
              <w:rPr>
                <w:b/>
                <w:sz w:val="19"/>
              </w:rPr>
            </w:pPr>
            <w:r>
              <w:rPr>
                <w:b/>
                <w:sz w:val="19"/>
              </w:rPr>
              <w:t>Assent</w:t>
            </w:r>
          </w:p>
        </w:tc>
        <w:tc>
          <w:tcPr>
            <w:tcW w:w="2551"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7" w:type="dxa"/>
          </w:tcPr>
          <w:p>
            <w:pPr>
              <w:pStyle w:val="nTable"/>
              <w:spacing w:after="40"/>
              <w:ind w:right="113"/>
              <w:rPr>
                <w:sz w:val="19"/>
              </w:rPr>
            </w:pPr>
            <w:r>
              <w:rPr>
                <w:i/>
                <w:sz w:val="19"/>
              </w:rPr>
              <w:t>Bills of Sale Act 1899</w:t>
            </w:r>
          </w:p>
        </w:tc>
        <w:tc>
          <w:tcPr>
            <w:tcW w:w="1132" w:type="dxa"/>
          </w:tcPr>
          <w:p>
            <w:pPr>
              <w:pStyle w:val="nTable"/>
              <w:spacing w:after="40"/>
              <w:ind w:left="57"/>
              <w:rPr>
                <w:sz w:val="19"/>
              </w:rPr>
            </w:pPr>
            <w:r>
              <w:rPr>
                <w:sz w:val="19"/>
              </w:rPr>
              <w:t>63 Vict. No. 45</w:t>
            </w:r>
          </w:p>
        </w:tc>
        <w:tc>
          <w:tcPr>
            <w:tcW w:w="1133" w:type="dxa"/>
          </w:tcPr>
          <w:p>
            <w:pPr>
              <w:pStyle w:val="nTable"/>
              <w:spacing w:after="40"/>
              <w:ind w:left="57"/>
              <w:rPr>
                <w:sz w:val="19"/>
              </w:rPr>
            </w:pPr>
            <w:r>
              <w:rPr>
                <w:sz w:val="19"/>
              </w:rPr>
              <w:t>16 Dec 1899</w:t>
            </w:r>
          </w:p>
        </w:tc>
        <w:tc>
          <w:tcPr>
            <w:tcW w:w="2551" w:type="dxa"/>
          </w:tcPr>
          <w:p>
            <w:pPr>
              <w:pStyle w:val="nTable"/>
              <w:spacing w:after="40"/>
              <w:ind w:left="57"/>
              <w:rPr>
                <w:sz w:val="19"/>
              </w:rPr>
            </w:pPr>
            <w:r>
              <w:rPr>
                <w:sz w:val="19"/>
              </w:rPr>
              <w:t>1 Mar 1900 (see s. 2)</w:t>
            </w:r>
          </w:p>
        </w:tc>
      </w:tr>
      <w:tr>
        <w:trPr>
          <w:cantSplit/>
        </w:trPr>
        <w:tc>
          <w:tcPr>
            <w:tcW w:w="2267" w:type="dxa"/>
          </w:tcPr>
          <w:p>
            <w:pPr>
              <w:pStyle w:val="nTable"/>
              <w:spacing w:after="40"/>
              <w:ind w:right="113"/>
              <w:rPr>
                <w:sz w:val="19"/>
              </w:rPr>
            </w:pPr>
            <w:r>
              <w:rPr>
                <w:i/>
                <w:sz w:val="19"/>
              </w:rPr>
              <w:t>Bills of Sale Act Amendment Act 1900</w:t>
            </w:r>
          </w:p>
        </w:tc>
        <w:tc>
          <w:tcPr>
            <w:tcW w:w="1132" w:type="dxa"/>
          </w:tcPr>
          <w:p>
            <w:pPr>
              <w:pStyle w:val="nTable"/>
              <w:spacing w:after="40"/>
              <w:ind w:left="57"/>
              <w:rPr>
                <w:sz w:val="19"/>
              </w:rPr>
            </w:pPr>
            <w:r>
              <w:rPr>
                <w:sz w:val="19"/>
              </w:rPr>
              <w:t>64 Vict. No. 28</w:t>
            </w:r>
          </w:p>
        </w:tc>
        <w:tc>
          <w:tcPr>
            <w:tcW w:w="1133" w:type="dxa"/>
          </w:tcPr>
          <w:p>
            <w:pPr>
              <w:pStyle w:val="nTable"/>
              <w:spacing w:after="40"/>
              <w:ind w:left="57"/>
              <w:rPr>
                <w:sz w:val="19"/>
              </w:rPr>
            </w:pPr>
            <w:r>
              <w:rPr>
                <w:sz w:val="19"/>
              </w:rPr>
              <w:t>5 Dec 1900</w:t>
            </w:r>
          </w:p>
        </w:tc>
        <w:tc>
          <w:tcPr>
            <w:tcW w:w="2551" w:type="dxa"/>
          </w:tcPr>
          <w:p>
            <w:pPr>
              <w:pStyle w:val="nTable"/>
              <w:spacing w:after="40"/>
              <w:ind w:left="57"/>
              <w:rPr>
                <w:sz w:val="19"/>
              </w:rPr>
            </w:pPr>
            <w:r>
              <w:rPr>
                <w:sz w:val="19"/>
              </w:rPr>
              <w:t>5 Dec 1900</w:t>
            </w:r>
          </w:p>
        </w:tc>
      </w:tr>
      <w:tr>
        <w:trPr>
          <w:cantSplit/>
        </w:trPr>
        <w:tc>
          <w:tcPr>
            <w:tcW w:w="2267" w:type="dxa"/>
          </w:tcPr>
          <w:p>
            <w:pPr>
              <w:pStyle w:val="nTable"/>
              <w:spacing w:after="40"/>
              <w:ind w:right="113"/>
              <w:rPr>
                <w:sz w:val="19"/>
              </w:rPr>
            </w:pPr>
            <w:r>
              <w:rPr>
                <w:i/>
                <w:sz w:val="19"/>
              </w:rPr>
              <w:t>Criminal Code Act 1902</w:t>
            </w:r>
            <w:r>
              <w:rPr>
                <w:sz w:val="19"/>
              </w:rPr>
              <w:t xml:space="preserve"> s. 3(2)</w:t>
            </w:r>
          </w:p>
        </w:tc>
        <w:tc>
          <w:tcPr>
            <w:tcW w:w="1132" w:type="dxa"/>
          </w:tcPr>
          <w:p>
            <w:pPr>
              <w:pStyle w:val="nTable"/>
              <w:spacing w:after="40"/>
              <w:ind w:left="57"/>
              <w:rPr>
                <w:sz w:val="19"/>
              </w:rPr>
            </w:pPr>
            <w:r>
              <w:rPr>
                <w:sz w:val="19"/>
              </w:rPr>
              <w:t>1 and 2 Edw. VII No. 14</w:t>
            </w:r>
          </w:p>
        </w:tc>
        <w:tc>
          <w:tcPr>
            <w:tcW w:w="1133" w:type="dxa"/>
          </w:tcPr>
          <w:p>
            <w:pPr>
              <w:pStyle w:val="nTable"/>
              <w:spacing w:after="40"/>
              <w:ind w:left="57"/>
              <w:rPr>
                <w:sz w:val="19"/>
              </w:rPr>
            </w:pPr>
            <w:r>
              <w:rPr>
                <w:sz w:val="19"/>
              </w:rPr>
              <w:t>19 Feb 1902</w:t>
            </w:r>
          </w:p>
        </w:tc>
        <w:tc>
          <w:tcPr>
            <w:tcW w:w="2551" w:type="dxa"/>
          </w:tcPr>
          <w:p>
            <w:pPr>
              <w:pStyle w:val="nTable"/>
              <w:spacing w:after="40"/>
              <w:ind w:left="57"/>
              <w:rPr>
                <w:sz w:val="19"/>
              </w:rPr>
            </w:pPr>
            <w:r>
              <w:rPr>
                <w:sz w:val="19"/>
              </w:rPr>
              <w:t>19 Feb 1902</w:t>
            </w:r>
          </w:p>
        </w:tc>
      </w:tr>
      <w:tr>
        <w:trPr>
          <w:cantSplit/>
        </w:trPr>
        <w:tc>
          <w:tcPr>
            <w:tcW w:w="2267" w:type="dxa"/>
          </w:tcPr>
          <w:p>
            <w:pPr>
              <w:pStyle w:val="nTable"/>
              <w:spacing w:after="40"/>
              <w:ind w:right="113"/>
              <w:rPr>
                <w:sz w:val="19"/>
              </w:rPr>
            </w:pPr>
            <w:r>
              <w:rPr>
                <w:i/>
                <w:sz w:val="19"/>
              </w:rPr>
              <w:t>Bills of Sale Amendment Act 1905</w:t>
            </w:r>
          </w:p>
        </w:tc>
        <w:tc>
          <w:tcPr>
            <w:tcW w:w="1132" w:type="dxa"/>
          </w:tcPr>
          <w:p>
            <w:pPr>
              <w:pStyle w:val="nTable"/>
              <w:spacing w:after="40"/>
              <w:ind w:left="57"/>
              <w:rPr>
                <w:sz w:val="19"/>
              </w:rPr>
            </w:pPr>
            <w:r>
              <w:rPr>
                <w:sz w:val="19"/>
              </w:rPr>
              <w:t>17 of 1905</w:t>
            </w:r>
            <w:r>
              <w:rPr>
                <w:sz w:val="19"/>
              </w:rPr>
              <w:br/>
              <w:t xml:space="preserve">(as amended by No. 40 </w:t>
            </w:r>
            <w:r>
              <w:rPr>
                <w:sz w:val="19"/>
              </w:rPr>
              <w:br/>
              <w:t>of 1957 s. 21(1))</w:t>
            </w:r>
          </w:p>
        </w:tc>
        <w:tc>
          <w:tcPr>
            <w:tcW w:w="1133" w:type="dxa"/>
          </w:tcPr>
          <w:p>
            <w:pPr>
              <w:pStyle w:val="nTable"/>
              <w:spacing w:after="40"/>
              <w:ind w:left="57"/>
              <w:rPr>
                <w:sz w:val="19"/>
              </w:rPr>
            </w:pPr>
            <w:r>
              <w:rPr>
                <w:sz w:val="19"/>
              </w:rPr>
              <w:t>23 Dec 1905</w:t>
            </w:r>
          </w:p>
        </w:tc>
        <w:tc>
          <w:tcPr>
            <w:tcW w:w="2551" w:type="dxa"/>
          </w:tcPr>
          <w:p>
            <w:pPr>
              <w:pStyle w:val="nTable"/>
              <w:spacing w:after="40"/>
              <w:ind w:left="57"/>
              <w:rPr>
                <w:sz w:val="19"/>
              </w:rPr>
            </w:pPr>
            <w:r>
              <w:rPr>
                <w:sz w:val="19"/>
              </w:rPr>
              <w:t>23 Dec 1905</w:t>
            </w:r>
          </w:p>
        </w:tc>
      </w:tr>
      <w:tr>
        <w:trPr>
          <w:cantSplit/>
        </w:trPr>
        <w:tc>
          <w:tcPr>
            <w:tcW w:w="2267" w:type="dxa"/>
          </w:tcPr>
          <w:p>
            <w:pPr>
              <w:pStyle w:val="nTable"/>
              <w:spacing w:after="40"/>
              <w:ind w:right="113"/>
              <w:rPr>
                <w:sz w:val="19"/>
              </w:rPr>
            </w:pPr>
            <w:r>
              <w:rPr>
                <w:i/>
                <w:sz w:val="19"/>
              </w:rPr>
              <w:t>Bills of Sale Amendment Act 1906</w:t>
            </w:r>
          </w:p>
        </w:tc>
        <w:tc>
          <w:tcPr>
            <w:tcW w:w="1132" w:type="dxa"/>
          </w:tcPr>
          <w:p>
            <w:pPr>
              <w:pStyle w:val="nTable"/>
              <w:spacing w:after="40"/>
              <w:ind w:left="57"/>
              <w:rPr>
                <w:sz w:val="19"/>
              </w:rPr>
            </w:pPr>
            <w:r>
              <w:rPr>
                <w:sz w:val="19"/>
              </w:rPr>
              <w:t>13 of 1906</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3" w:type="dxa"/>
          </w:tcPr>
          <w:p>
            <w:pPr>
              <w:pStyle w:val="nTable"/>
              <w:spacing w:after="40"/>
              <w:ind w:left="57"/>
              <w:rPr>
                <w:sz w:val="19"/>
              </w:rPr>
            </w:pPr>
            <w:r>
              <w:rPr>
                <w:sz w:val="19"/>
              </w:rPr>
              <w:t>28 Nov 1906</w:t>
            </w:r>
          </w:p>
        </w:tc>
        <w:tc>
          <w:tcPr>
            <w:tcW w:w="2551" w:type="dxa"/>
          </w:tcPr>
          <w:p>
            <w:pPr>
              <w:pStyle w:val="nTable"/>
              <w:spacing w:after="40"/>
              <w:ind w:left="57"/>
              <w:rPr>
                <w:sz w:val="19"/>
              </w:rPr>
            </w:pPr>
            <w:r>
              <w:rPr>
                <w:sz w:val="19"/>
              </w:rPr>
              <w:t>28 Nov 1906</w:t>
            </w:r>
          </w:p>
        </w:tc>
      </w:tr>
      <w:tr>
        <w:trPr>
          <w:cantSplit/>
        </w:trPr>
        <w:tc>
          <w:tcPr>
            <w:tcW w:w="2267" w:type="dxa"/>
          </w:tcPr>
          <w:p>
            <w:pPr>
              <w:pStyle w:val="nTable"/>
              <w:keepNext/>
              <w:spacing w:after="40"/>
              <w:ind w:right="113"/>
              <w:rPr>
                <w:sz w:val="19"/>
              </w:rPr>
            </w:pPr>
            <w:r>
              <w:rPr>
                <w:i/>
                <w:sz w:val="19"/>
              </w:rPr>
              <w:t>Bills of Sale Act Amendment Act 1912</w:t>
            </w:r>
          </w:p>
        </w:tc>
        <w:tc>
          <w:tcPr>
            <w:tcW w:w="1132" w:type="dxa"/>
          </w:tcPr>
          <w:p>
            <w:pPr>
              <w:pStyle w:val="nTable"/>
              <w:spacing w:after="40"/>
              <w:ind w:left="57"/>
              <w:rPr>
                <w:sz w:val="19"/>
              </w:rPr>
            </w:pPr>
            <w:r>
              <w:rPr>
                <w:sz w:val="19"/>
              </w:rPr>
              <w:t>40 of 1912</w:t>
            </w:r>
            <w:r>
              <w:rPr>
                <w:sz w:val="19"/>
              </w:rPr>
              <w:br/>
              <w:t>(as amended by No. 40 of 1957 s. 21(1))</w:t>
            </w:r>
          </w:p>
        </w:tc>
        <w:tc>
          <w:tcPr>
            <w:tcW w:w="1133" w:type="dxa"/>
          </w:tcPr>
          <w:p>
            <w:pPr>
              <w:pStyle w:val="nTable"/>
              <w:spacing w:after="40"/>
              <w:ind w:left="57"/>
              <w:rPr>
                <w:sz w:val="19"/>
              </w:rPr>
            </w:pPr>
            <w:r>
              <w:rPr>
                <w:sz w:val="19"/>
              </w:rPr>
              <w:t>5 Nov 1912</w:t>
            </w:r>
          </w:p>
        </w:tc>
        <w:tc>
          <w:tcPr>
            <w:tcW w:w="2551" w:type="dxa"/>
          </w:tcPr>
          <w:p>
            <w:pPr>
              <w:pStyle w:val="nTable"/>
              <w:spacing w:after="40"/>
              <w:ind w:left="57"/>
              <w:rPr>
                <w:sz w:val="19"/>
              </w:rPr>
            </w:pPr>
            <w:r>
              <w:rPr>
                <w:sz w:val="19"/>
              </w:rPr>
              <w:t>5 Nov 1912</w:t>
            </w:r>
          </w:p>
        </w:tc>
      </w:tr>
      <w:tr>
        <w:trPr>
          <w:cantSplit/>
        </w:trPr>
        <w:tc>
          <w:tcPr>
            <w:tcW w:w="2267" w:type="dxa"/>
          </w:tcPr>
          <w:p>
            <w:pPr>
              <w:pStyle w:val="nTable"/>
              <w:spacing w:after="40"/>
              <w:ind w:right="113"/>
              <w:rPr>
                <w:sz w:val="19"/>
              </w:rPr>
            </w:pPr>
            <w:r>
              <w:rPr>
                <w:i/>
                <w:sz w:val="19"/>
              </w:rPr>
              <w:t>Bills of Sale Act Amendment Act 1914</w:t>
            </w:r>
          </w:p>
        </w:tc>
        <w:tc>
          <w:tcPr>
            <w:tcW w:w="1132" w:type="dxa"/>
          </w:tcPr>
          <w:p>
            <w:pPr>
              <w:pStyle w:val="nTable"/>
              <w:spacing w:after="40"/>
              <w:ind w:left="57"/>
              <w:rPr>
                <w:sz w:val="19"/>
              </w:rPr>
            </w:pPr>
            <w:r>
              <w:rPr>
                <w:sz w:val="19"/>
              </w:rPr>
              <w:t>24 of 1914</w:t>
            </w:r>
            <w:r>
              <w:rPr>
                <w:sz w:val="19"/>
              </w:rPr>
              <w:br/>
              <w:t>(as amended by No. 40 of 1957 s. 21(1); No. 52 of 1957 s. 2)</w:t>
            </w:r>
          </w:p>
        </w:tc>
        <w:tc>
          <w:tcPr>
            <w:tcW w:w="1133" w:type="dxa"/>
          </w:tcPr>
          <w:p>
            <w:pPr>
              <w:pStyle w:val="nTable"/>
              <w:spacing w:after="40"/>
              <w:ind w:left="57"/>
              <w:rPr>
                <w:sz w:val="19"/>
              </w:rPr>
            </w:pPr>
            <w:r>
              <w:rPr>
                <w:sz w:val="19"/>
              </w:rPr>
              <w:t>22 Sep 1914</w:t>
            </w:r>
          </w:p>
        </w:tc>
        <w:tc>
          <w:tcPr>
            <w:tcW w:w="2551" w:type="dxa"/>
          </w:tcPr>
          <w:p>
            <w:pPr>
              <w:pStyle w:val="nTable"/>
              <w:spacing w:after="40"/>
              <w:ind w:left="57"/>
              <w:rPr>
                <w:sz w:val="19"/>
              </w:rPr>
            </w:pPr>
            <w:r>
              <w:rPr>
                <w:sz w:val="19"/>
              </w:rPr>
              <w:t>22 Sep 1914</w:t>
            </w:r>
          </w:p>
        </w:tc>
      </w:tr>
      <w:tr>
        <w:trPr>
          <w:cantSplit/>
        </w:trPr>
        <w:tc>
          <w:tcPr>
            <w:tcW w:w="2267" w:type="dxa"/>
          </w:tcPr>
          <w:p>
            <w:pPr>
              <w:pStyle w:val="nTable"/>
              <w:spacing w:after="40"/>
              <w:ind w:right="113"/>
              <w:rPr>
                <w:sz w:val="19"/>
              </w:rPr>
            </w:pPr>
            <w:r>
              <w:rPr>
                <w:i/>
                <w:sz w:val="19"/>
              </w:rPr>
              <w:t>Bills of Sale Act Amendment Act 1925</w:t>
            </w:r>
          </w:p>
        </w:tc>
        <w:tc>
          <w:tcPr>
            <w:tcW w:w="1132" w:type="dxa"/>
          </w:tcPr>
          <w:p>
            <w:pPr>
              <w:pStyle w:val="nTable"/>
              <w:spacing w:after="40"/>
              <w:ind w:left="57"/>
              <w:rPr>
                <w:sz w:val="19"/>
              </w:rPr>
            </w:pPr>
            <w:r>
              <w:rPr>
                <w:sz w:val="19"/>
              </w:rPr>
              <w:t>41 of 1925</w:t>
            </w:r>
            <w:r>
              <w:rPr>
                <w:sz w:val="19"/>
              </w:rPr>
              <w:br/>
              <w:t>(as amended by No. 40 of 1957 s. 21(1))</w:t>
            </w:r>
          </w:p>
        </w:tc>
        <w:tc>
          <w:tcPr>
            <w:tcW w:w="1133" w:type="dxa"/>
          </w:tcPr>
          <w:p>
            <w:pPr>
              <w:pStyle w:val="nTable"/>
              <w:spacing w:after="40"/>
              <w:ind w:left="57"/>
              <w:rPr>
                <w:sz w:val="19"/>
              </w:rPr>
            </w:pPr>
            <w:r>
              <w:rPr>
                <w:sz w:val="19"/>
              </w:rPr>
              <w:t>31 Dec 1925</w:t>
            </w:r>
          </w:p>
        </w:tc>
        <w:tc>
          <w:tcPr>
            <w:tcW w:w="2551" w:type="dxa"/>
          </w:tcPr>
          <w:p>
            <w:pPr>
              <w:pStyle w:val="nTable"/>
              <w:spacing w:after="40"/>
              <w:ind w:left="57"/>
              <w:rPr>
                <w:sz w:val="19"/>
              </w:rPr>
            </w:pPr>
            <w:r>
              <w:rPr>
                <w:sz w:val="19"/>
              </w:rPr>
              <w:t>31 Dec 1925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in Appendix to Session 1925</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1927</w:t>
            </w:r>
          </w:p>
        </w:tc>
        <w:tc>
          <w:tcPr>
            <w:tcW w:w="1132" w:type="dxa"/>
          </w:tcPr>
          <w:p>
            <w:pPr>
              <w:pStyle w:val="nTable"/>
              <w:spacing w:after="40"/>
              <w:ind w:left="57"/>
              <w:rPr>
                <w:sz w:val="19"/>
              </w:rPr>
            </w:pPr>
            <w:r>
              <w:rPr>
                <w:sz w:val="19"/>
              </w:rPr>
              <w:t>8 of 1927</w:t>
            </w:r>
          </w:p>
        </w:tc>
        <w:tc>
          <w:tcPr>
            <w:tcW w:w="1133" w:type="dxa"/>
          </w:tcPr>
          <w:p>
            <w:pPr>
              <w:pStyle w:val="nTable"/>
              <w:spacing w:after="40"/>
              <w:ind w:left="57"/>
              <w:rPr>
                <w:sz w:val="19"/>
              </w:rPr>
            </w:pPr>
            <w:r>
              <w:rPr>
                <w:sz w:val="19"/>
              </w:rPr>
              <w:t>29 Oct 1927</w:t>
            </w:r>
          </w:p>
        </w:tc>
        <w:tc>
          <w:tcPr>
            <w:tcW w:w="2551" w:type="dxa"/>
          </w:tcPr>
          <w:p>
            <w:pPr>
              <w:pStyle w:val="nTable"/>
              <w:spacing w:after="40"/>
              <w:ind w:left="57"/>
              <w:rPr>
                <w:sz w:val="19"/>
              </w:rPr>
            </w:pPr>
            <w:r>
              <w:rPr>
                <w:sz w:val="19"/>
              </w:rPr>
              <w:t>29 Oct 1927</w:t>
            </w:r>
          </w:p>
        </w:tc>
      </w:tr>
      <w:tr>
        <w:trPr>
          <w:cantSplit/>
        </w:trPr>
        <w:tc>
          <w:tcPr>
            <w:tcW w:w="2267" w:type="dxa"/>
          </w:tcPr>
          <w:p>
            <w:pPr>
              <w:pStyle w:val="nTable"/>
              <w:spacing w:after="40"/>
              <w:ind w:right="113"/>
              <w:rPr>
                <w:sz w:val="19"/>
              </w:rPr>
            </w:pPr>
            <w:r>
              <w:rPr>
                <w:i/>
                <w:sz w:val="19"/>
              </w:rPr>
              <w:t>Bills of Sale Act Amendment Act 1940</w:t>
            </w:r>
          </w:p>
        </w:tc>
        <w:tc>
          <w:tcPr>
            <w:tcW w:w="1132" w:type="dxa"/>
          </w:tcPr>
          <w:p>
            <w:pPr>
              <w:pStyle w:val="nTable"/>
              <w:spacing w:after="40"/>
              <w:ind w:left="57"/>
              <w:rPr>
                <w:sz w:val="19"/>
              </w:rPr>
            </w:pPr>
            <w:r>
              <w:rPr>
                <w:sz w:val="19"/>
              </w:rPr>
              <w:t>52 of 1940</w:t>
            </w:r>
          </w:p>
        </w:tc>
        <w:tc>
          <w:tcPr>
            <w:tcW w:w="1133" w:type="dxa"/>
          </w:tcPr>
          <w:p>
            <w:pPr>
              <w:pStyle w:val="nTable"/>
              <w:spacing w:after="40"/>
              <w:ind w:left="57"/>
              <w:rPr>
                <w:sz w:val="19"/>
              </w:rPr>
            </w:pPr>
            <w:r>
              <w:rPr>
                <w:sz w:val="19"/>
              </w:rPr>
              <w:t>30 Dec 1940</w:t>
            </w:r>
          </w:p>
        </w:tc>
        <w:tc>
          <w:tcPr>
            <w:tcW w:w="2551" w:type="dxa"/>
          </w:tcPr>
          <w:p>
            <w:pPr>
              <w:pStyle w:val="nTable"/>
              <w:spacing w:after="40"/>
              <w:ind w:left="57"/>
              <w:rPr>
                <w:sz w:val="19"/>
              </w:rPr>
            </w:pPr>
            <w:r>
              <w:rPr>
                <w:sz w:val="19"/>
              </w:rPr>
              <w:t>30 Dec 1940</w:t>
            </w:r>
          </w:p>
        </w:tc>
      </w:tr>
      <w:tr>
        <w:trPr>
          <w:cantSplit/>
        </w:trPr>
        <w:tc>
          <w:tcPr>
            <w:tcW w:w="2267" w:type="dxa"/>
          </w:tcPr>
          <w:p>
            <w:pPr>
              <w:pStyle w:val="nTable"/>
              <w:spacing w:after="40"/>
              <w:ind w:right="113"/>
              <w:rPr>
                <w:sz w:val="19"/>
              </w:rPr>
            </w:pPr>
            <w:r>
              <w:rPr>
                <w:i/>
                <w:sz w:val="19"/>
              </w:rPr>
              <w:t>Bills of Sale Act Amendment Act 1956</w:t>
            </w:r>
          </w:p>
        </w:tc>
        <w:tc>
          <w:tcPr>
            <w:tcW w:w="1132" w:type="dxa"/>
          </w:tcPr>
          <w:p>
            <w:pPr>
              <w:pStyle w:val="nTable"/>
              <w:spacing w:after="40"/>
              <w:ind w:left="57"/>
              <w:rPr>
                <w:sz w:val="19"/>
              </w:rPr>
            </w:pPr>
            <w:r>
              <w:rPr>
                <w:sz w:val="19"/>
              </w:rPr>
              <w:t>9 of 1956</w:t>
            </w:r>
          </w:p>
        </w:tc>
        <w:tc>
          <w:tcPr>
            <w:tcW w:w="1133" w:type="dxa"/>
          </w:tcPr>
          <w:p>
            <w:pPr>
              <w:pStyle w:val="nTable"/>
              <w:spacing w:after="40"/>
              <w:ind w:left="57"/>
              <w:rPr>
                <w:sz w:val="19"/>
              </w:rPr>
            </w:pPr>
            <w:r>
              <w:rPr>
                <w:sz w:val="19"/>
              </w:rPr>
              <w:t>11 Oct 1956</w:t>
            </w:r>
          </w:p>
        </w:tc>
        <w:tc>
          <w:tcPr>
            <w:tcW w:w="2551" w:type="dxa"/>
          </w:tcPr>
          <w:p>
            <w:pPr>
              <w:pStyle w:val="nTable"/>
              <w:spacing w:after="40"/>
              <w:ind w:left="57"/>
              <w:rPr>
                <w:sz w:val="19"/>
              </w:rPr>
            </w:pPr>
            <w:r>
              <w:rPr>
                <w:sz w:val="19"/>
              </w:rPr>
              <w:t>11 Oct 1956</w:t>
            </w:r>
          </w:p>
        </w:tc>
      </w:tr>
      <w:tr>
        <w:trPr>
          <w:cantSplit/>
        </w:trPr>
        <w:tc>
          <w:tcPr>
            <w:tcW w:w="2267" w:type="dxa"/>
          </w:tcPr>
          <w:p>
            <w:pPr>
              <w:pStyle w:val="nTable"/>
              <w:spacing w:after="40"/>
              <w:ind w:right="113"/>
              <w:rPr>
                <w:sz w:val="19"/>
              </w:rPr>
            </w:pPr>
            <w:r>
              <w:rPr>
                <w:i/>
                <w:sz w:val="19"/>
              </w:rPr>
              <w:t>Bills of Sale Act Amendment and Revision Act 1957</w:t>
            </w:r>
          </w:p>
        </w:tc>
        <w:tc>
          <w:tcPr>
            <w:tcW w:w="1132" w:type="dxa"/>
          </w:tcPr>
          <w:p>
            <w:pPr>
              <w:pStyle w:val="nTable"/>
              <w:spacing w:after="40"/>
              <w:ind w:left="57"/>
              <w:rPr>
                <w:sz w:val="19"/>
              </w:rPr>
            </w:pPr>
            <w:r>
              <w:rPr>
                <w:sz w:val="19"/>
              </w:rPr>
              <w:t>40 of 1957</w:t>
            </w:r>
          </w:p>
        </w:tc>
        <w:tc>
          <w:tcPr>
            <w:tcW w:w="1133" w:type="dxa"/>
          </w:tcPr>
          <w:p>
            <w:pPr>
              <w:pStyle w:val="nTable"/>
              <w:spacing w:after="40"/>
              <w:ind w:left="57"/>
              <w:rPr>
                <w:sz w:val="19"/>
              </w:rPr>
            </w:pPr>
            <w:r>
              <w:rPr>
                <w:sz w:val="19"/>
              </w:rPr>
              <w:t>22 Nov 1957</w:t>
            </w:r>
          </w:p>
        </w:tc>
        <w:tc>
          <w:tcPr>
            <w:tcW w:w="2551" w:type="dxa"/>
          </w:tcPr>
          <w:p>
            <w:pPr>
              <w:pStyle w:val="nTable"/>
              <w:spacing w:after="40"/>
              <w:ind w:left="57"/>
              <w:rPr>
                <w:sz w:val="19"/>
              </w:rPr>
            </w:pPr>
            <w:r>
              <w:rPr>
                <w:sz w:val="19"/>
              </w:rPr>
              <w:t xml:space="preserve">1 Jul 1958 (see s. 1(2) and </w:t>
            </w:r>
            <w:r>
              <w:rPr>
                <w:i/>
                <w:sz w:val="19"/>
              </w:rPr>
              <w:t>Gazette</w:t>
            </w:r>
            <w:r>
              <w:rPr>
                <w:sz w:val="19"/>
              </w:rPr>
              <w:t xml:space="preserve"> 16 May 1958 p. 989)</w:t>
            </w:r>
          </w:p>
        </w:tc>
      </w:tr>
      <w:tr>
        <w:trPr>
          <w:cantSplit/>
        </w:trPr>
        <w:tc>
          <w:tcPr>
            <w:tcW w:w="2267" w:type="dxa"/>
          </w:tcPr>
          <w:p>
            <w:pPr>
              <w:pStyle w:val="nTable"/>
              <w:spacing w:after="40"/>
              <w:ind w:right="113"/>
              <w:rPr>
                <w:sz w:val="19"/>
              </w:rPr>
            </w:pPr>
            <w:r>
              <w:rPr>
                <w:i/>
                <w:sz w:val="19"/>
              </w:rPr>
              <w:t>Bills of Sale Act Amendment Act 1957</w:t>
            </w:r>
          </w:p>
        </w:tc>
        <w:tc>
          <w:tcPr>
            <w:tcW w:w="1132" w:type="dxa"/>
          </w:tcPr>
          <w:p>
            <w:pPr>
              <w:pStyle w:val="nTable"/>
              <w:spacing w:after="40"/>
              <w:ind w:left="57"/>
              <w:rPr>
                <w:sz w:val="19"/>
              </w:rPr>
            </w:pPr>
            <w:r>
              <w:rPr>
                <w:sz w:val="19"/>
              </w:rPr>
              <w:t>52 of 1957</w:t>
            </w:r>
          </w:p>
        </w:tc>
        <w:tc>
          <w:tcPr>
            <w:tcW w:w="1133" w:type="dxa"/>
          </w:tcPr>
          <w:p>
            <w:pPr>
              <w:pStyle w:val="nTable"/>
              <w:spacing w:after="40"/>
              <w:ind w:left="57"/>
              <w:rPr>
                <w:sz w:val="19"/>
              </w:rPr>
            </w:pPr>
            <w:r>
              <w:rPr>
                <w:sz w:val="19"/>
              </w:rPr>
              <w:t>9 Dec 1957</w:t>
            </w:r>
          </w:p>
        </w:tc>
        <w:tc>
          <w:tcPr>
            <w:tcW w:w="2551" w:type="dxa"/>
          </w:tcPr>
          <w:p>
            <w:pPr>
              <w:pStyle w:val="nTable"/>
              <w:spacing w:after="40"/>
              <w:ind w:left="57"/>
              <w:rPr>
                <w:sz w:val="19"/>
              </w:rPr>
            </w:pPr>
            <w:r>
              <w:rPr>
                <w:sz w:val="19"/>
              </w:rPr>
              <w:t>9 Dec 1957</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1962</w:t>
            </w:r>
          </w:p>
        </w:tc>
        <w:tc>
          <w:tcPr>
            <w:tcW w:w="1132" w:type="dxa"/>
          </w:tcPr>
          <w:p>
            <w:pPr>
              <w:pStyle w:val="nTable"/>
              <w:spacing w:after="40"/>
              <w:ind w:left="57"/>
              <w:rPr>
                <w:sz w:val="19"/>
              </w:rPr>
            </w:pPr>
            <w:r>
              <w:rPr>
                <w:sz w:val="19"/>
              </w:rPr>
              <w:t>40 of 1962</w:t>
            </w:r>
          </w:p>
        </w:tc>
        <w:tc>
          <w:tcPr>
            <w:tcW w:w="1133" w:type="dxa"/>
          </w:tcPr>
          <w:p>
            <w:pPr>
              <w:pStyle w:val="nTable"/>
              <w:spacing w:after="40"/>
              <w:ind w:left="57"/>
              <w:rPr>
                <w:sz w:val="19"/>
              </w:rPr>
            </w:pPr>
            <w:r>
              <w:rPr>
                <w:sz w:val="19"/>
              </w:rPr>
              <w:t>29 Oct 1962</w:t>
            </w:r>
          </w:p>
        </w:tc>
        <w:tc>
          <w:tcPr>
            <w:tcW w:w="2551" w:type="dxa"/>
          </w:tcPr>
          <w:p>
            <w:pPr>
              <w:pStyle w:val="nTable"/>
              <w:spacing w:after="40"/>
              <w:ind w:left="57"/>
              <w:rPr>
                <w:sz w:val="19"/>
              </w:rPr>
            </w:pPr>
            <w:r>
              <w:rPr>
                <w:sz w:val="19"/>
              </w:rPr>
              <w:t>29 Oct 1962</w:t>
            </w:r>
          </w:p>
        </w:tc>
      </w:tr>
      <w:tr>
        <w:trPr>
          <w:cantSplit/>
        </w:trPr>
        <w:tc>
          <w:tcPr>
            <w:tcW w:w="2267" w:type="dxa"/>
          </w:tcPr>
          <w:p>
            <w:pPr>
              <w:pStyle w:val="nTable"/>
              <w:spacing w:after="40"/>
              <w:ind w:right="113"/>
              <w:rPr>
                <w:sz w:val="19"/>
              </w:rPr>
            </w:pPr>
            <w:r>
              <w:rPr>
                <w:i/>
                <w:sz w:val="19"/>
              </w:rPr>
              <w:t>Bills of Sale Act Amendment Act 1963</w:t>
            </w:r>
          </w:p>
        </w:tc>
        <w:tc>
          <w:tcPr>
            <w:tcW w:w="1132" w:type="dxa"/>
          </w:tcPr>
          <w:p>
            <w:pPr>
              <w:pStyle w:val="nTable"/>
              <w:spacing w:after="40"/>
              <w:ind w:left="57"/>
              <w:rPr>
                <w:sz w:val="19"/>
              </w:rPr>
            </w:pPr>
            <w:r>
              <w:rPr>
                <w:sz w:val="19"/>
              </w:rPr>
              <w:t>14 of 1963</w:t>
            </w:r>
          </w:p>
        </w:tc>
        <w:tc>
          <w:tcPr>
            <w:tcW w:w="1133" w:type="dxa"/>
          </w:tcPr>
          <w:p>
            <w:pPr>
              <w:pStyle w:val="nTable"/>
              <w:spacing w:after="40"/>
              <w:ind w:left="57"/>
              <w:rPr>
                <w:sz w:val="19"/>
              </w:rPr>
            </w:pPr>
            <w:r>
              <w:rPr>
                <w:sz w:val="19"/>
              </w:rPr>
              <w:t>5 Nov 1963</w:t>
            </w:r>
          </w:p>
        </w:tc>
        <w:tc>
          <w:tcPr>
            <w:tcW w:w="2551" w:type="dxa"/>
          </w:tcPr>
          <w:p>
            <w:pPr>
              <w:pStyle w:val="nTable"/>
              <w:spacing w:after="40"/>
              <w:ind w:left="57"/>
              <w:rPr>
                <w:sz w:val="19"/>
              </w:rPr>
            </w:pPr>
            <w:r>
              <w:rPr>
                <w:sz w:val="19"/>
              </w:rPr>
              <w:t>5 Nov 1963</w:t>
            </w:r>
          </w:p>
        </w:tc>
      </w:tr>
      <w:tr>
        <w:trPr>
          <w:cantSplit/>
        </w:trPr>
        <w:tc>
          <w:tcPr>
            <w:tcW w:w="2267" w:type="dxa"/>
          </w:tcPr>
          <w:p>
            <w:pPr>
              <w:pStyle w:val="nTable"/>
              <w:spacing w:after="40"/>
              <w:ind w:right="113"/>
              <w:rPr>
                <w:sz w:val="19"/>
              </w:rPr>
            </w:pPr>
            <w:r>
              <w:rPr>
                <w:i/>
                <w:sz w:val="19"/>
              </w:rPr>
              <w:t>Decimal Currency Act 1965</w:t>
            </w:r>
          </w:p>
        </w:tc>
        <w:tc>
          <w:tcPr>
            <w:tcW w:w="1132" w:type="dxa"/>
          </w:tcPr>
          <w:p>
            <w:pPr>
              <w:pStyle w:val="nTable"/>
              <w:spacing w:after="40"/>
              <w:ind w:left="57"/>
              <w:rPr>
                <w:sz w:val="19"/>
              </w:rPr>
            </w:pPr>
            <w:r>
              <w:rPr>
                <w:sz w:val="19"/>
              </w:rPr>
              <w:t>113 of 1965</w:t>
            </w:r>
          </w:p>
        </w:tc>
        <w:tc>
          <w:tcPr>
            <w:tcW w:w="1133" w:type="dxa"/>
          </w:tcPr>
          <w:p>
            <w:pPr>
              <w:pStyle w:val="nTable"/>
              <w:spacing w:after="40"/>
              <w:ind w:left="57"/>
              <w:rPr>
                <w:sz w:val="19"/>
              </w:rPr>
            </w:pPr>
            <w:r>
              <w:rPr>
                <w:sz w:val="19"/>
              </w:rPr>
              <w:t>21 Dec 1965</w:t>
            </w:r>
          </w:p>
        </w:tc>
        <w:tc>
          <w:tcPr>
            <w:tcW w:w="2551" w:type="dxa"/>
          </w:tcPr>
          <w:p>
            <w:pPr>
              <w:pStyle w:val="nTable"/>
              <w:spacing w:after="40"/>
              <w:ind w:left="57"/>
              <w:rPr>
                <w:sz w:val="19"/>
              </w:rPr>
            </w:pPr>
            <w:r>
              <w:rPr>
                <w:sz w:val="19"/>
              </w:rPr>
              <w:t xml:space="preserve">s. 4-9: 14 Feb 1966 (see s. 2(2)); </w:t>
            </w:r>
            <w:r>
              <w:rPr>
                <w:sz w:val="19"/>
              </w:rPr>
              <w:br/>
              <w:t>balance: 21 Dec 1965</w:t>
            </w:r>
          </w:p>
        </w:tc>
      </w:tr>
      <w:tr>
        <w:trPr>
          <w:cantSplit/>
        </w:trPr>
        <w:tc>
          <w:tcPr>
            <w:tcW w:w="2267" w:type="dxa"/>
          </w:tcPr>
          <w:p>
            <w:pPr>
              <w:pStyle w:val="nTable"/>
              <w:spacing w:after="40"/>
              <w:ind w:right="113"/>
              <w:rPr>
                <w:sz w:val="19"/>
              </w:rPr>
            </w:pPr>
            <w:r>
              <w:rPr>
                <w:i/>
                <w:sz w:val="19"/>
              </w:rPr>
              <w:t>Bills of Sale Act Amendment Act 1966</w:t>
            </w:r>
          </w:p>
        </w:tc>
        <w:tc>
          <w:tcPr>
            <w:tcW w:w="1132" w:type="dxa"/>
          </w:tcPr>
          <w:p>
            <w:pPr>
              <w:pStyle w:val="nTable"/>
              <w:keepNext/>
              <w:spacing w:after="40"/>
              <w:ind w:left="57"/>
              <w:rPr>
                <w:sz w:val="19"/>
              </w:rPr>
            </w:pPr>
            <w:r>
              <w:rPr>
                <w:sz w:val="19"/>
              </w:rPr>
              <w:t>33 of 1966</w:t>
            </w:r>
          </w:p>
        </w:tc>
        <w:tc>
          <w:tcPr>
            <w:tcW w:w="1133" w:type="dxa"/>
          </w:tcPr>
          <w:p>
            <w:pPr>
              <w:pStyle w:val="nTable"/>
              <w:spacing w:after="40"/>
              <w:ind w:left="57"/>
              <w:rPr>
                <w:sz w:val="19"/>
              </w:rPr>
            </w:pPr>
            <w:r>
              <w:rPr>
                <w:sz w:val="19"/>
              </w:rPr>
              <w:t>31 Oct 1966</w:t>
            </w:r>
          </w:p>
        </w:tc>
        <w:tc>
          <w:tcPr>
            <w:tcW w:w="2551" w:type="dxa"/>
          </w:tcPr>
          <w:p>
            <w:pPr>
              <w:pStyle w:val="nTable"/>
              <w:spacing w:after="40"/>
              <w:ind w:left="57"/>
              <w:rPr>
                <w:sz w:val="19"/>
              </w:rPr>
            </w:pPr>
            <w:r>
              <w:rPr>
                <w:sz w:val="19"/>
              </w:rPr>
              <w:t xml:space="preserve">16 Dec 1966 (see s. 2 and </w:t>
            </w:r>
            <w:r>
              <w:rPr>
                <w:i/>
                <w:sz w:val="19"/>
              </w:rPr>
              <w:t>Gazette</w:t>
            </w:r>
            <w:r>
              <w:rPr>
                <w:sz w:val="19"/>
              </w:rPr>
              <w:t xml:space="preserve"> 16 Dec 1966 p. 3315)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7 Apr 1971</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1971</w:t>
            </w:r>
          </w:p>
        </w:tc>
        <w:tc>
          <w:tcPr>
            <w:tcW w:w="1132" w:type="dxa"/>
          </w:tcPr>
          <w:p>
            <w:pPr>
              <w:pStyle w:val="nTable"/>
              <w:spacing w:after="40"/>
              <w:ind w:left="57"/>
              <w:rPr>
                <w:sz w:val="19"/>
              </w:rPr>
            </w:pPr>
            <w:r>
              <w:rPr>
                <w:sz w:val="19"/>
              </w:rPr>
              <w:t>32 of 1971</w:t>
            </w:r>
          </w:p>
        </w:tc>
        <w:tc>
          <w:tcPr>
            <w:tcW w:w="1133" w:type="dxa"/>
          </w:tcPr>
          <w:p>
            <w:pPr>
              <w:pStyle w:val="nTable"/>
              <w:spacing w:after="40"/>
              <w:ind w:left="57"/>
              <w:rPr>
                <w:sz w:val="19"/>
              </w:rPr>
            </w:pPr>
            <w:r>
              <w:rPr>
                <w:sz w:val="19"/>
              </w:rPr>
              <w:t>6 Dec 1971</w:t>
            </w:r>
          </w:p>
        </w:tc>
        <w:tc>
          <w:tcPr>
            <w:tcW w:w="2551" w:type="dxa"/>
          </w:tcPr>
          <w:p>
            <w:pPr>
              <w:pStyle w:val="nTable"/>
              <w:spacing w:after="40"/>
              <w:ind w:left="57"/>
              <w:rPr>
                <w:sz w:val="19"/>
              </w:rPr>
            </w:pPr>
            <w:r>
              <w:rPr>
                <w:sz w:val="19"/>
              </w:rPr>
              <w:t xml:space="preserve">1 Jan 1972 (see s. 2 and </w:t>
            </w:r>
            <w:r>
              <w:rPr>
                <w:i/>
                <w:sz w:val="19"/>
              </w:rPr>
              <w:t>Gazette</w:t>
            </w:r>
            <w:r>
              <w:rPr>
                <w:sz w:val="19"/>
              </w:rPr>
              <w:t xml:space="preserve"> 17 Dec 1971 p. 5251)</w:t>
            </w:r>
          </w:p>
        </w:tc>
      </w:tr>
      <w:tr>
        <w:trPr>
          <w:cantSplit/>
        </w:trPr>
        <w:tc>
          <w:tcPr>
            <w:tcW w:w="2267" w:type="dxa"/>
          </w:tcPr>
          <w:p>
            <w:pPr>
              <w:pStyle w:val="nTable"/>
              <w:spacing w:after="40"/>
              <w:ind w:right="113"/>
              <w:rPr>
                <w:sz w:val="19"/>
              </w:rPr>
            </w:pPr>
            <w:r>
              <w:rPr>
                <w:i/>
                <w:sz w:val="19"/>
              </w:rPr>
              <w:t>Metric Conversion Act 1972</w:t>
            </w:r>
          </w:p>
        </w:tc>
        <w:tc>
          <w:tcPr>
            <w:tcW w:w="1132" w:type="dxa"/>
          </w:tcPr>
          <w:p>
            <w:pPr>
              <w:pStyle w:val="nTable"/>
              <w:spacing w:after="40"/>
              <w:ind w:left="57"/>
              <w:rPr>
                <w:sz w:val="19"/>
              </w:rPr>
            </w:pPr>
            <w:r>
              <w:rPr>
                <w:sz w:val="19"/>
              </w:rPr>
              <w:t>94 of 1972</w:t>
            </w:r>
          </w:p>
        </w:tc>
        <w:tc>
          <w:tcPr>
            <w:tcW w:w="1133" w:type="dxa"/>
          </w:tcPr>
          <w:p>
            <w:pPr>
              <w:pStyle w:val="nTable"/>
              <w:spacing w:after="40"/>
              <w:ind w:left="57"/>
              <w:rPr>
                <w:sz w:val="19"/>
              </w:rPr>
            </w:pPr>
            <w:r>
              <w:rPr>
                <w:sz w:val="19"/>
              </w:rPr>
              <w:t>4 Dec 1972</w:t>
            </w:r>
          </w:p>
        </w:tc>
        <w:tc>
          <w:tcPr>
            <w:tcW w:w="2551" w:type="dxa"/>
          </w:tcPr>
          <w:p>
            <w:pPr>
              <w:pStyle w:val="nTable"/>
              <w:spacing w:after="40"/>
              <w:ind w:left="57"/>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cantSplit/>
        </w:trPr>
        <w:tc>
          <w:tcPr>
            <w:tcW w:w="2267" w:type="dxa"/>
          </w:tcPr>
          <w:p>
            <w:pPr>
              <w:pStyle w:val="nTable"/>
              <w:spacing w:after="40"/>
              <w:ind w:right="113"/>
              <w:rPr>
                <w:sz w:val="19"/>
              </w:rPr>
            </w:pPr>
            <w:r>
              <w:rPr>
                <w:i/>
                <w:sz w:val="19"/>
              </w:rPr>
              <w:t>Bills of Sale Amendment Act 1981</w:t>
            </w:r>
          </w:p>
        </w:tc>
        <w:tc>
          <w:tcPr>
            <w:tcW w:w="1132" w:type="dxa"/>
          </w:tcPr>
          <w:p>
            <w:pPr>
              <w:pStyle w:val="nTable"/>
              <w:spacing w:after="40"/>
              <w:ind w:left="57"/>
              <w:rPr>
                <w:sz w:val="19"/>
              </w:rPr>
            </w:pPr>
            <w:r>
              <w:rPr>
                <w:sz w:val="19"/>
              </w:rPr>
              <w:t>74 of 1981</w:t>
            </w:r>
          </w:p>
        </w:tc>
        <w:tc>
          <w:tcPr>
            <w:tcW w:w="1133" w:type="dxa"/>
          </w:tcPr>
          <w:p>
            <w:pPr>
              <w:pStyle w:val="nTable"/>
              <w:spacing w:after="40"/>
              <w:ind w:left="57"/>
              <w:rPr>
                <w:sz w:val="19"/>
              </w:rPr>
            </w:pPr>
            <w:r>
              <w:rPr>
                <w:sz w:val="19"/>
              </w:rPr>
              <w:t>30 Oct 1981</w:t>
            </w:r>
          </w:p>
        </w:tc>
        <w:tc>
          <w:tcPr>
            <w:tcW w:w="2551" w:type="dxa"/>
          </w:tcPr>
          <w:p>
            <w:pPr>
              <w:pStyle w:val="nTable"/>
              <w:spacing w:after="40"/>
              <w:ind w:left="57"/>
              <w:rPr>
                <w:sz w:val="19"/>
              </w:rPr>
            </w:pPr>
            <w:r>
              <w:rPr>
                <w:sz w:val="19"/>
              </w:rPr>
              <w:t>27 Nov 1981 (see s. 2)</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2" w:type="dxa"/>
          </w:tcPr>
          <w:p>
            <w:pPr>
              <w:pStyle w:val="nTable"/>
              <w:spacing w:after="40"/>
              <w:ind w:left="57"/>
              <w:rPr>
                <w:sz w:val="19"/>
              </w:rPr>
            </w:pPr>
            <w:r>
              <w:rPr>
                <w:sz w:val="19"/>
              </w:rPr>
              <w:t>10 of 1982</w:t>
            </w:r>
          </w:p>
        </w:tc>
        <w:tc>
          <w:tcPr>
            <w:tcW w:w="1133" w:type="dxa"/>
          </w:tcPr>
          <w:p>
            <w:pPr>
              <w:pStyle w:val="nTable"/>
              <w:spacing w:after="40"/>
              <w:ind w:left="57"/>
              <w:rPr>
                <w:sz w:val="19"/>
              </w:rPr>
            </w:pPr>
            <w:r>
              <w:rPr>
                <w:sz w:val="19"/>
              </w:rPr>
              <w:t>14 May 1982</w:t>
            </w:r>
          </w:p>
        </w:tc>
        <w:tc>
          <w:tcPr>
            <w:tcW w:w="2551" w:type="dxa"/>
          </w:tcPr>
          <w:p>
            <w:pPr>
              <w:pStyle w:val="nTable"/>
              <w:spacing w:after="40"/>
              <w:ind w:left="57"/>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Bills of Sale Amendment Act 1983</w:t>
            </w:r>
          </w:p>
        </w:tc>
        <w:tc>
          <w:tcPr>
            <w:tcW w:w="1132" w:type="dxa"/>
          </w:tcPr>
          <w:p>
            <w:pPr>
              <w:pStyle w:val="nTable"/>
              <w:spacing w:after="40"/>
              <w:ind w:left="57"/>
              <w:rPr>
                <w:sz w:val="19"/>
              </w:rPr>
            </w:pPr>
            <w:r>
              <w:rPr>
                <w:sz w:val="19"/>
              </w:rPr>
              <w:t>49 of 1983</w:t>
            </w:r>
          </w:p>
        </w:tc>
        <w:tc>
          <w:tcPr>
            <w:tcW w:w="1133" w:type="dxa"/>
          </w:tcPr>
          <w:p>
            <w:pPr>
              <w:pStyle w:val="nTable"/>
              <w:spacing w:after="40"/>
              <w:ind w:left="57"/>
              <w:rPr>
                <w:sz w:val="19"/>
              </w:rPr>
            </w:pPr>
            <w:r>
              <w:rPr>
                <w:sz w:val="19"/>
              </w:rPr>
              <w:t>5 Dec 1983</w:t>
            </w:r>
          </w:p>
        </w:tc>
        <w:tc>
          <w:tcPr>
            <w:tcW w:w="2551" w:type="dxa"/>
          </w:tcPr>
          <w:p>
            <w:pPr>
              <w:pStyle w:val="nTable"/>
              <w:spacing w:after="40"/>
              <w:ind w:left="57"/>
              <w:rPr>
                <w:sz w:val="19"/>
              </w:rPr>
            </w:pPr>
            <w:r>
              <w:rPr>
                <w:sz w:val="19"/>
              </w:rPr>
              <w:t xml:space="preserve">1 Mar 1984 (see s. 2 and </w:t>
            </w:r>
            <w:r>
              <w:rPr>
                <w:i/>
                <w:sz w:val="19"/>
              </w:rPr>
              <w:t>Gazette</w:t>
            </w:r>
            <w:r>
              <w:rPr>
                <w:sz w:val="19"/>
              </w:rPr>
              <w:t xml:space="preserve"> 20 Jan 1984 p. 120)</w:t>
            </w:r>
          </w:p>
        </w:tc>
      </w:tr>
      <w:tr>
        <w:trPr>
          <w:cantSplit/>
        </w:trPr>
        <w:tc>
          <w:tcPr>
            <w:tcW w:w="2267" w:type="dxa"/>
          </w:tcPr>
          <w:p>
            <w:pPr>
              <w:pStyle w:val="nTable"/>
              <w:spacing w:after="40"/>
              <w:ind w:right="113"/>
              <w:rPr>
                <w:sz w:val="19"/>
              </w:rPr>
            </w:pPr>
            <w:r>
              <w:rPr>
                <w:i/>
                <w:sz w:val="19"/>
              </w:rPr>
              <w:t>Bills of Sale Amendment Act 1984</w:t>
            </w:r>
          </w:p>
        </w:tc>
        <w:tc>
          <w:tcPr>
            <w:tcW w:w="1132" w:type="dxa"/>
          </w:tcPr>
          <w:p>
            <w:pPr>
              <w:pStyle w:val="nTable"/>
              <w:spacing w:after="40"/>
              <w:ind w:left="57"/>
              <w:rPr>
                <w:sz w:val="19"/>
              </w:rPr>
            </w:pPr>
            <w:r>
              <w:rPr>
                <w:sz w:val="19"/>
              </w:rPr>
              <w:t>11 of 1984</w:t>
            </w:r>
          </w:p>
        </w:tc>
        <w:tc>
          <w:tcPr>
            <w:tcW w:w="1133" w:type="dxa"/>
          </w:tcPr>
          <w:p>
            <w:pPr>
              <w:pStyle w:val="nTable"/>
              <w:spacing w:after="40"/>
              <w:ind w:left="57"/>
              <w:rPr>
                <w:sz w:val="19"/>
              </w:rPr>
            </w:pPr>
            <w:r>
              <w:rPr>
                <w:sz w:val="19"/>
              </w:rPr>
              <w:t>31 May 1984</w:t>
            </w:r>
          </w:p>
        </w:tc>
        <w:tc>
          <w:tcPr>
            <w:tcW w:w="2551" w:type="dxa"/>
          </w:tcPr>
          <w:p>
            <w:pPr>
              <w:pStyle w:val="nTable"/>
              <w:spacing w:after="40"/>
              <w:ind w:left="57"/>
              <w:rPr>
                <w:sz w:val="19"/>
              </w:rPr>
            </w:pPr>
            <w:r>
              <w:rPr>
                <w:sz w:val="19"/>
              </w:rPr>
              <w:t>31 May 1984</w:t>
            </w:r>
          </w:p>
        </w:tc>
      </w:tr>
      <w:tr>
        <w:trPr>
          <w:cantSplit/>
        </w:trPr>
        <w:tc>
          <w:tcPr>
            <w:tcW w:w="2267" w:type="dxa"/>
          </w:tcPr>
          <w:p>
            <w:pPr>
              <w:pStyle w:val="nTable"/>
              <w:spacing w:after="40"/>
              <w:ind w:right="113"/>
              <w:rPr>
                <w:sz w:val="19"/>
              </w:rPr>
            </w:pPr>
            <w:r>
              <w:rPr>
                <w:i/>
                <w:sz w:val="19"/>
              </w:rPr>
              <w:t>Acts Amendment and Repeal (Credit) Act 1984</w:t>
            </w:r>
            <w:r>
              <w:rPr>
                <w:sz w:val="19"/>
              </w:rPr>
              <w:t xml:space="preserve"> Pt. II</w:t>
            </w:r>
          </w:p>
        </w:tc>
        <w:tc>
          <w:tcPr>
            <w:tcW w:w="1132" w:type="dxa"/>
          </w:tcPr>
          <w:p>
            <w:pPr>
              <w:pStyle w:val="nTable"/>
              <w:spacing w:after="40"/>
              <w:ind w:left="57"/>
              <w:rPr>
                <w:sz w:val="19"/>
              </w:rPr>
            </w:pPr>
            <w:r>
              <w:rPr>
                <w:sz w:val="19"/>
              </w:rPr>
              <w:t>102 of 1984</w:t>
            </w:r>
          </w:p>
        </w:tc>
        <w:tc>
          <w:tcPr>
            <w:tcW w:w="1133" w:type="dxa"/>
          </w:tcPr>
          <w:p>
            <w:pPr>
              <w:pStyle w:val="nTable"/>
              <w:spacing w:after="40"/>
              <w:ind w:left="57"/>
              <w:rPr>
                <w:sz w:val="19"/>
              </w:rPr>
            </w:pPr>
            <w:r>
              <w:rPr>
                <w:sz w:val="19"/>
              </w:rPr>
              <w:t>19 Dec 1984</w:t>
            </w:r>
          </w:p>
        </w:tc>
        <w:tc>
          <w:tcPr>
            <w:tcW w:w="2551" w:type="dxa"/>
          </w:tcPr>
          <w:p>
            <w:pPr>
              <w:pStyle w:val="nTable"/>
              <w:spacing w:after="40"/>
              <w:ind w:left="57"/>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ind w:right="113"/>
              <w:rPr>
                <w:sz w:val="19"/>
              </w:rPr>
            </w:pPr>
            <w:r>
              <w:rPr>
                <w:i/>
                <w:sz w:val="19"/>
              </w:rPr>
              <w:t>Bills of Sale Amendment Act 1986</w:t>
            </w:r>
            <w:r>
              <w:rPr>
                <w:sz w:val="19"/>
              </w:rPr>
              <w:t xml:space="preserve"> </w:t>
            </w:r>
            <w:r>
              <w:rPr>
                <w:sz w:val="19"/>
                <w:vertAlign w:val="superscript"/>
              </w:rPr>
              <w:t>3</w:t>
            </w:r>
          </w:p>
        </w:tc>
        <w:tc>
          <w:tcPr>
            <w:tcW w:w="1132" w:type="dxa"/>
          </w:tcPr>
          <w:p>
            <w:pPr>
              <w:pStyle w:val="nTable"/>
              <w:spacing w:after="40"/>
              <w:ind w:left="57"/>
              <w:rPr>
                <w:sz w:val="19"/>
              </w:rPr>
            </w:pPr>
            <w:r>
              <w:rPr>
                <w:sz w:val="19"/>
              </w:rPr>
              <w:t>20 of 1986</w:t>
            </w:r>
          </w:p>
        </w:tc>
        <w:tc>
          <w:tcPr>
            <w:tcW w:w="1133" w:type="dxa"/>
          </w:tcPr>
          <w:p>
            <w:pPr>
              <w:pStyle w:val="nTable"/>
              <w:spacing w:after="40"/>
              <w:ind w:left="57"/>
              <w:rPr>
                <w:sz w:val="19"/>
              </w:rPr>
            </w:pPr>
            <w:r>
              <w:rPr>
                <w:sz w:val="19"/>
              </w:rPr>
              <w:t>25 Jul 1986</w:t>
            </w:r>
          </w:p>
        </w:tc>
        <w:tc>
          <w:tcPr>
            <w:tcW w:w="2551" w:type="dxa"/>
          </w:tcPr>
          <w:p>
            <w:pPr>
              <w:pStyle w:val="nTable"/>
              <w:spacing w:after="40"/>
              <w:ind w:left="57"/>
              <w:rPr>
                <w:sz w:val="19"/>
              </w:rPr>
            </w:pPr>
            <w:r>
              <w:rPr>
                <w:sz w:val="19"/>
              </w:rPr>
              <w:t xml:space="preserve">18 Aug 1986 (see s. 2 and </w:t>
            </w:r>
            <w:r>
              <w:rPr>
                <w:i/>
                <w:sz w:val="19"/>
              </w:rPr>
              <w:t>Gazette</w:t>
            </w:r>
            <w:r>
              <w:rPr>
                <w:sz w:val="19"/>
              </w:rPr>
              <w:t xml:space="preserve"> 15 Aug 1986 p. 2925)</w:t>
            </w:r>
          </w:p>
        </w:tc>
      </w:tr>
      <w:tr>
        <w:trPr>
          <w:cantSplit/>
        </w:trPr>
        <w:tc>
          <w:tcPr>
            <w:tcW w:w="2267" w:type="dxa"/>
          </w:tcPr>
          <w:p>
            <w:pPr>
              <w:pStyle w:val="nTable"/>
              <w:spacing w:after="40"/>
              <w:ind w:right="113"/>
              <w:rPr>
                <w:sz w:val="19"/>
              </w:rPr>
            </w:pPr>
            <w:r>
              <w:rPr>
                <w:i/>
                <w:sz w:val="19"/>
              </w:rPr>
              <w:t>Bills of Sale Amendment Act 1987</w:t>
            </w:r>
            <w:r>
              <w:rPr>
                <w:sz w:val="19"/>
              </w:rPr>
              <w:t xml:space="preserve"> </w:t>
            </w:r>
            <w:r>
              <w:rPr>
                <w:sz w:val="19"/>
                <w:vertAlign w:val="superscript"/>
              </w:rPr>
              <w:t>4</w:t>
            </w:r>
          </w:p>
        </w:tc>
        <w:tc>
          <w:tcPr>
            <w:tcW w:w="1132" w:type="dxa"/>
          </w:tcPr>
          <w:p>
            <w:pPr>
              <w:pStyle w:val="nTable"/>
              <w:spacing w:after="40"/>
              <w:ind w:left="57"/>
              <w:rPr>
                <w:sz w:val="19"/>
              </w:rPr>
            </w:pPr>
            <w:r>
              <w:rPr>
                <w:sz w:val="19"/>
              </w:rPr>
              <w:t>102 of 1987</w:t>
            </w:r>
          </w:p>
        </w:tc>
        <w:tc>
          <w:tcPr>
            <w:tcW w:w="1133" w:type="dxa"/>
          </w:tcPr>
          <w:p>
            <w:pPr>
              <w:pStyle w:val="nTable"/>
              <w:spacing w:after="40"/>
              <w:ind w:left="57"/>
              <w:rPr>
                <w:sz w:val="19"/>
              </w:rPr>
            </w:pPr>
            <w:r>
              <w:rPr>
                <w:sz w:val="19"/>
              </w:rPr>
              <w:t>16 Dec 1987</w:t>
            </w:r>
          </w:p>
        </w:tc>
        <w:tc>
          <w:tcPr>
            <w:tcW w:w="2551" w:type="dxa"/>
          </w:tcPr>
          <w:p>
            <w:pPr>
              <w:pStyle w:val="nTable"/>
              <w:spacing w:after="40"/>
              <w:ind w:left="57"/>
              <w:rPr>
                <w:sz w:val="19"/>
              </w:rPr>
            </w:pPr>
            <w:r>
              <w:rPr>
                <w:sz w:val="19"/>
              </w:rPr>
              <w:t xml:space="preserve">14 Nov 1988 (see s. 2 and </w:t>
            </w:r>
            <w:r>
              <w:rPr>
                <w:i/>
                <w:sz w:val="19"/>
              </w:rPr>
              <w:t>Gazette</w:t>
            </w:r>
            <w:r>
              <w:rPr>
                <w:sz w:val="19"/>
              </w:rPr>
              <w:t xml:space="preserve"> 5 Aug 1988 p. 2583)</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12 Feb 1996</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ind w:left="57"/>
              <w:rPr>
                <w:sz w:val="19"/>
              </w:rPr>
            </w:pPr>
            <w:r>
              <w:rPr>
                <w:sz w:val="19"/>
              </w:rPr>
              <w:t>14 of 1996</w:t>
            </w:r>
          </w:p>
        </w:tc>
        <w:tc>
          <w:tcPr>
            <w:tcW w:w="1133" w:type="dxa"/>
          </w:tcPr>
          <w:p>
            <w:pPr>
              <w:pStyle w:val="nTable"/>
              <w:spacing w:after="40"/>
              <w:ind w:left="57"/>
              <w:rPr>
                <w:sz w:val="19"/>
              </w:rPr>
            </w:pPr>
            <w:r>
              <w:rPr>
                <w:sz w:val="19"/>
              </w:rPr>
              <w:t>28 Jun 1996</w:t>
            </w:r>
          </w:p>
        </w:tc>
        <w:tc>
          <w:tcPr>
            <w:tcW w:w="2551" w:type="dxa"/>
          </w:tcPr>
          <w:p>
            <w:pPr>
              <w:pStyle w:val="nTable"/>
              <w:spacing w:after="40"/>
              <w:ind w:left="57"/>
              <w:rPr>
                <w:sz w:val="19"/>
              </w:rPr>
            </w:pPr>
            <w:r>
              <w:rPr>
                <w:sz w:val="19"/>
              </w:rPr>
              <w:t>1 Jul 1996 (see s. 2)</w:t>
            </w:r>
          </w:p>
        </w:tc>
      </w:tr>
      <w:tr>
        <w:trPr>
          <w:cantSplit/>
        </w:trPr>
        <w:tc>
          <w:tcPr>
            <w:tcW w:w="2267" w:type="dxa"/>
          </w:tcPr>
          <w:p>
            <w:pPr>
              <w:pStyle w:val="nTable"/>
              <w:spacing w:after="40"/>
              <w:ind w:right="113"/>
              <w:rPr>
                <w:sz w:val="19"/>
              </w:rPr>
            </w:pPr>
            <w:r>
              <w:rPr>
                <w:i/>
                <w:sz w:val="19"/>
              </w:rPr>
              <w:t>Consumer Credit (Western Australia) Act 1996</w:t>
            </w:r>
            <w:r>
              <w:rPr>
                <w:sz w:val="19"/>
              </w:rPr>
              <w:t xml:space="preserve"> s. 13</w:t>
            </w:r>
          </w:p>
        </w:tc>
        <w:tc>
          <w:tcPr>
            <w:tcW w:w="1132" w:type="dxa"/>
          </w:tcPr>
          <w:p>
            <w:pPr>
              <w:pStyle w:val="nTable"/>
              <w:spacing w:after="40"/>
              <w:ind w:left="57"/>
              <w:rPr>
                <w:sz w:val="19"/>
              </w:rPr>
            </w:pPr>
            <w:r>
              <w:rPr>
                <w:sz w:val="19"/>
              </w:rPr>
              <w:t>30 of 1996</w:t>
            </w:r>
          </w:p>
        </w:tc>
        <w:tc>
          <w:tcPr>
            <w:tcW w:w="1133" w:type="dxa"/>
          </w:tcPr>
          <w:p>
            <w:pPr>
              <w:pStyle w:val="nTable"/>
              <w:spacing w:after="40"/>
              <w:ind w:left="57"/>
              <w:rPr>
                <w:sz w:val="19"/>
              </w:rPr>
            </w:pPr>
            <w:r>
              <w:rPr>
                <w:sz w:val="19"/>
              </w:rPr>
              <w:t>10 Sep 1996</w:t>
            </w:r>
          </w:p>
        </w:tc>
        <w:tc>
          <w:tcPr>
            <w:tcW w:w="2551" w:type="dxa"/>
          </w:tcPr>
          <w:p>
            <w:pPr>
              <w:pStyle w:val="nTable"/>
              <w:spacing w:after="40"/>
              <w:ind w:left="57"/>
              <w:rPr>
                <w:sz w:val="19"/>
              </w:rPr>
            </w:pPr>
            <w:r>
              <w:rPr>
                <w:sz w:val="19"/>
              </w:rPr>
              <w:t>1 Nov 1996 (see s. 2)</w:t>
            </w:r>
          </w:p>
        </w:tc>
      </w:tr>
      <w:tr>
        <w:trPr>
          <w:cantSplit/>
        </w:trPr>
        <w:tc>
          <w:tcPr>
            <w:tcW w:w="2267" w:type="dxa"/>
          </w:tcPr>
          <w:p>
            <w:pPr>
              <w:pStyle w:val="nTable"/>
              <w:spacing w:after="40"/>
              <w:ind w:right="113"/>
              <w:rPr>
                <w:sz w:val="19"/>
              </w:rPr>
            </w:pPr>
            <w:r>
              <w:rPr>
                <w:i/>
                <w:sz w:val="19"/>
              </w:rPr>
              <w:t>Statutes (Repeals and Minor Amendments) Act 1997</w:t>
            </w:r>
            <w:r>
              <w:rPr>
                <w:sz w:val="19"/>
              </w:rPr>
              <w:t xml:space="preserve"> s. 23</w:t>
            </w:r>
          </w:p>
        </w:tc>
        <w:tc>
          <w:tcPr>
            <w:tcW w:w="1132" w:type="dxa"/>
          </w:tcPr>
          <w:p>
            <w:pPr>
              <w:pStyle w:val="nTable"/>
              <w:spacing w:after="40"/>
              <w:ind w:left="57"/>
              <w:rPr>
                <w:sz w:val="19"/>
              </w:rPr>
            </w:pPr>
            <w:r>
              <w:rPr>
                <w:sz w:val="19"/>
              </w:rPr>
              <w:t>57 of 1997</w:t>
            </w:r>
          </w:p>
        </w:tc>
        <w:tc>
          <w:tcPr>
            <w:tcW w:w="1133" w:type="dxa"/>
          </w:tcPr>
          <w:p>
            <w:pPr>
              <w:pStyle w:val="nTable"/>
              <w:spacing w:after="40"/>
              <w:ind w:left="57"/>
              <w:rPr>
                <w:sz w:val="19"/>
              </w:rPr>
            </w:pPr>
            <w:r>
              <w:rPr>
                <w:sz w:val="19"/>
              </w:rPr>
              <w:t>15 Dec 1997</w:t>
            </w:r>
          </w:p>
        </w:tc>
        <w:tc>
          <w:tcPr>
            <w:tcW w:w="2551" w:type="dxa"/>
          </w:tcPr>
          <w:p>
            <w:pPr>
              <w:pStyle w:val="nTable"/>
              <w:spacing w:after="40"/>
              <w:ind w:left="57"/>
              <w:rPr>
                <w:sz w:val="19"/>
              </w:rPr>
            </w:pPr>
            <w:r>
              <w:rPr>
                <w:sz w:val="19"/>
              </w:rPr>
              <w:t>15 Dec 1997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2" w:type="dxa"/>
          </w:tcPr>
          <w:p>
            <w:pPr>
              <w:pStyle w:val="nTable"/>
              <w:spacing w:after="40"/>
              <w:ind w:left="57"/>
              <w:rPr>
                <w:sz w:val="19"/>
              </w:rPr>
            </w:pPr>
            <w:r>
              <w:rPr>
                <w:sz w:val="19"/>
              </w:rPr>
              <w:t>10 of 1998</w:t>
            </w:r>
          </w:p>
        </w:tc>
        <w:tc>
          <w:tcPr>
            <w:tcW w:w="1133" w:type="dxa"/>
          </w:tcPr>
          <w:p>
            <w:pPr>
              <w:pStyle w:val="nTable"/>
              <w:spacing w:after="40"/>
              <w:ind w:left="57"/>
              <w:rPr>
                <w:sz w:val="19"/>
              </w:rPr>
            </w:pPr>
            <w:r>
              <w:rPr>
                <w:sz w:val="19"/>
              </w:rPr>
              <w:t>30 Apr 1998</w:t>
            </w:r>
          </w:p>
        </w:tc>
        <w:tc>
          <w:tcPr>
            <w:tcW w:w="2551" w:type="dxa"/>
          </w:tcPr>
          <w:p>
            <w:pPr>
              <w:pStyle w:val="nTable"/>
              <w:spacing w:after="40"/>
              <w:ind w:left="57"/>
              <w:rPr>
                <w:sz w:val="19"/>
              </w:rPr>
            </w:pPr>
            <w:r>
              <w:rPr>
                <w:sz w:val="19"/>
              </w:rPr>
              <w:t>30 Apr 1998 (see s. 2(1))</w:t>
            </w:r>
          </w:p>
        </w:tc>
      </w:tr>
      <w:tr>
        <w:trPr>
          <w:cantSplit/>
        </w:trPr>
        <w:tc>
          <w:tcPr>
            <w:tcW w:w="2267" w:type="dxa"/>
          </w:tcPr>
          <w:p>
            <w:pPr>
              <w:pStyle w:val="nTable"/>
              <w:spacing w:after="40"/>
              <w:ind w:right="113"/>
              <w:rPr>
                <w:i/>
                <w:sz w:val="19"/>
              </w:rPr>
            </w:pPr>
            <w:r>
              <w:rPr>
                <w:i/>
                <w:sz w:val="19"/>
              </w:rPr>
              <w:t xml:space="preserve">Corporations (Consequential Amendments) Act 2001 </w:t>
            </w:r>
            <w:r>
              <w:rPr>
                <w:sz w:val="19"/>
              </w:rPr>
              <w:t>Pt. 8</w:t>
            </w:r>
          </w:p>
        </w:tc>
        <w:tc>
          <w:tcPr>
            <w:tcW w:w="1132" w:type="dxa"/>
          </w:tcPr>
          <w:p>
            <w:pPr>
              <w:pStyle w:val="nTable"/>
              <w:spacing w:after="40"/>
              <w:ind w:left="57"/>
              <w:rPr>
                <w:sz w:val="19"/>
              </w:rPr>
            </w:pPr>
            <w:r>
              <w:rPr>
                <w:sz w:val="19"/>
              </w:rPr>
              <w:t>10 of 2001</w:t>
            </w:r>
          </w:p>
        </w:tc>
        <w:tc>
          <w:tcPr>
            <w:tcW w:w="1133" w:type="dxa"/>
          </w:tcPr>
          <w:p>
            <w:pPr>
              <w:pStyle w:val="nTable"/>
              <w:spacing w:after="40"/>
              <w:ind w:left="57"/>
              <w:rPr>
                <w:sz w:val="19"/>
              </w:rPr>
            </w:pPr>
            <w:r>
              <w:rPr>
                <w:sz w:val="19"/>
              </w:rPr>
              <w:t>28 Jun 2001</w:t>
            </w:r>
          </w:p>
        </w:tc>
        <w:tc>
          <w:tcPr>
            <w:tcW w:w="2551" w:type="dxa"/>
          </w:tcPr>
          <w:p>
            <w:pPr>
              <w:pStyle w:val="nTable"/>
              <w:spacing w:after="40"/>
              <w:ind w:left="57"/>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3" w:type="dxa"/>
            <w:gridSpan w:val="4"/>
          </w:tcPr>
          <w:p>
            <w:pPr>
              <w:pStyle w:val="nTable"/>
              <w:spacing w:after="40"/>
              <w:ind w:right="113"/>
              <w:rPr>
                <w:sz w:val="19"/>
              </w:rPr>
            </w:pPr>
            <w:r>
              <w:rPr>
                <w:b/>
                <w:sz w:val="19"/>
              </w:rPr>
              <w:t xml:space="preserve">Reprint of the </w:t>
            </w:r>
            <w:r>
              <w:rPr>
                <w:b/>
                <w:i/>
                <w:sz w:val="19"/>
              </w:rPr>
              <w:t>Bills of Sale Act 1899</w:t>
            </w:r>
            <w:r>
              <w:rPr>
                <w:b/>
                <w:sz w:val="19"/>
              </w:rPr>
              <w:t xml:space="preserve"> as at 24 Aug 2001</w:t>
            </w:r>
            <w:r>
              <w:rPr>
                <w:bCs/>
                <w:sz w:val="19"/>
              </w:rPr>
              <w:t xml:space="preserve"> </w:t>
            </w:r>
            <w:r>
              <w:rPr>
                <w:sz w:val="19"/>
              </w:rPr>
              <w:t>(includes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2"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2"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5</w:t>
            </w:r>
          </w:p>
        </w:tc>
        <w:tc>
          <w:tcPr>
            <w:tcW w:w="1132"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12 </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bookmarkStart w:id="531" w:name="UpToHere"/>
      <w:bookmarkEnd w:id="531"/>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MiscOpen"/>
        <w:spacing w:before="0"/>
        <w:rPr>
          <w:snapToGrid w:val="0"/>
        </w:rPr>
      </w:pPr>
      <w:r>
        <w:rPr>
          <w:snapToGrid w:val="0"/>
        </w:rPr>
        <w:t>“</w:t>
      </w: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snapToGrid w:val="0"/>
        </w:rPr>
        <w:t>“bill of sale”</w:t>
      </w:r>
      <w:r>
        <w:rPr>
          <w:snapToGrid w:val="0"/>
        </w:rPr>
        <w:t xml:space="preserve"> has the meaning given to that term in section 17A of the principal Act.</w:t>
      </w:r>
    </w:p>
    <w:p>
      <w:pPr>
        <w:pStyle w:val="MiscClose"/>
        <w:rPr>
          <w:snapToGrid w:val="0"/>
        </w:rPr>
      </w:pPr>
      <w:r>
        <w:rPr>
          <w:snapToGrid w:val="0"/>
        </w:rPr>
        <w:t>”.</w:t>
      </w: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 </w:t>
      </w:r>
    </w:p>
    <w:p>
      <w:pPr>
        <w:pStyle w:val="MiscOpen"/>
        <w:keepNext w:val="0"/>
        <w:keepLines w:val="0"/>
        <w:spacing w:before="0"/>
        <w:rPr>
          <w:snapToGrid w:val="0"/>
        </w:rPr>
      </w:pPr>
      <w:r>
        <w:rPr>
          <w:snapToGrid w:val="0"/>
        </w:rPr>
        <w:t>“</w:t>
      </w: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MiscClose"/>
        <w:keepLines w:val="0"/>
        <w:rPr>
          <w:snapToGrid w:val="0"/>
        </w:rPr>
      </w:pPr>
      <w:r>
        <w:rPr>
          <w:snapToGrid w:val="0"/>
        </w:rPr>
        <w: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491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fldSimple w:instr=" styleref CharSchno ">
            <w:r>
              <w:rPr>
                <w:noProof/>
              </w:rPr>
              <w:t>Eleventh Schedule</w:t>
            </w:r>
          </w:fldSimple>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Eleventh Schedule</w:t>
            </w:r>
          </w:fldSimple>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C1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CC6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DEF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03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1214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96B3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A484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4E8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0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B4EB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00A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9C66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59"/>
    <w:docVar w:name="WAFER_20151207092559" w:val="RemoveTrackChanges"/>
    <w:docVar w:name="WAFER_20151207092559_GUID" w:val="60162042-cf24-4b61-8a72-d0fea3355f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13659</Words>
  <Characters>60646</Characters>
  <Application>Microsoft Office Word</Application>
  <DocSecurity>0</DocSecurity>
  <Lines>1837</Lines>
  <Paragraphs>774</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1899 - 05-e0-02</dc:title>
  <dc:subject/>
  <dc:creator/>
  <cp:keywords/>
  <dc:description/>
  <cp:lastModifiedBy>svcMRProcess</cp:lastModifiedBy>
  <cp:revision>4</cp:revision>
  <cp:lastPrinted>2001-09-13T06:58:00Z</cp:lastPrinted>
  <dcterms:created xsi:type="dcterms:W3CDTF">2020-02-13T15:56:00Z</dcterms:created>
  <dcterms:modified xsi:type="dcterms:W3CDTF">2020-02-13T15:56:00Z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74</vt:i4>
  </property>
  <property fmtid="{D5CDD505-2E9C-101B-9397-08002B2CF9AE}" pid="6" name="AsAtDate">
    <vt:lpwstr>17 Sep 2009</vt:lpwstr>
  </property>
  <property fmtid="{D5CDD505-2E9C-101B-9397-08002B2CF9AE}" pid="7" name="Suffix">
    <vt:lpwstr>05-e0-02</vt:lpwstr>
  </property>
</Properties>
</file>