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_Toc241051478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_Toc241051479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_Toc241051480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_Toc241051481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_Toc241051483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the Board</w:t>
      </w:r>
      <w:r>
        <w:tab/>
      </w:r>
      <w:r>
        <w:fldChar w:fldCharType="begin"/>
      </w:r>
      <w:r>
        <w:instrText xml:space="preserve"> PAGEREF _Toc241051484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_Toc241051485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_Toc241051486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_Toc241051487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the Board and disclosure of interest</w:t>
      </w:r>
      <w:r>
        <w:tab/>
      </w:r>
      <w:r>
        <w:fldChar w:fldCharType="begin"/>
      </w:r>
      <w:r>
        <w:instrText xml:space="preserve"> PAGEREF _Toc241051488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_Toc241051489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_Toc241051490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_Toc241051491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the Board</w:t>
      </w:r>
      <w:r>
        <w:tab/>
      </w:r>
      <w:r>
        <w:fldChar w:fldCharType="begin"/>
      </w:r>
      <w:r>
        <w:instrText xml:space="preserve"> PAGEREF _Toc241051492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the Board</w:t>
      </w:r>
      <w:r>
        <w:tab/>
      </w:r>
      <w:r>
        <w:fldChar w:fldCharType="begin"/>
      </w:r>
      <w:r>
        <w:instrText xml:space="preserve"> PAGEREF _Toc241051493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_Toc241051494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_Toc241051495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 xml:space="preserve"> Financial Management Act 2006</w:t>
      </w:r>
      <w:r>
        <w:rPr>
          <w:szCs w:val="24"/>
        </w:rPr>
        <w:t xml:space="preserve"> and </w:t>
      </w:r>
      <w:r>
        <w:rPr>
          <w:i/>
          <w:iCs/>
          <w:szCs w:val="24"/>
        </w:rPr>
        <w:t>Auditor General Act 2006</w:t>
      </w:r>
      <w:r>
        <w:tab/>
      </w:r>
      <w:r>
        <w:fldChar w:fldCharType="begin"/>
      </w:r>
      <w:r>
        <w:instrText xml:space="preserve"> PAGEREF _Toc241051496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_Toc241051497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_Toc241051499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_Toc241051500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_Toc241051501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_Toc241051502 \h </w:instrText>
      </w:r>
      <w:r>
        <w:fldChar w:fldCharType="separate"/>
      </w:r>
      <w:r>
        <w:t>19</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_Toc241051503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_Toc241051504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_Toc241051505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_Toc241051506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_Toc241051507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_Toc241051509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_Toc241051510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_Toc241051511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_Toc241051512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the Board</w:t>
      </w:r>
      <w:r>
        <w:tab/>
      </w:r>
      <w:r>
        <w:fldChar w:fldCharType="begin"/>
      </w:r>
      <w:r>
        <w:instrText xml:space="preserve"> PAGEREF _Toc241051513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_Toc241051514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_Toc241051515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_Toc241051516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_Toc241051517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_Toc241051518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_Toc241051519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_Toc241051520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_Toc241051521 \h </w:instrText>
      </w:r>
      <w:r>
        <w:fldChar w:fldCharType="separate"/>
      </w:r>
      <w:r>
        <w:t>33</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_Toc241051522 \h </w:instrText>
      </w:r>
      <w:r>
        <w:fldChar w:fldCharType="separate"/>
      </w:r>
      <w:r>
        <w:t>33</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_Toc241051524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_Toc241051525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_Toc241051526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_Toc241051527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_Toc241051528 \h </w:instrText>
      </w:r>
      <w:r>
        <w:fldChar w:fldCharType="separate"/>
      </w:r>
      <w:r>
        <w:t>35</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_Toc241051529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_Toc241051530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_Toc241051531 \h </w:instrText>
      </w:r>
      <w:r>
        <w:fldChar w:fldCharType="separate"/>
      </w:r>
      <w:r>
        <w:t>37</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_Toc241051532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_Toc241051533 \h </w:instrText>
      </w:r>
      <w:r>
        <w:fldChar w:fldCharType="separate"/>
      </w:r>
      <w:r>
        <w:t>38</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_Toc241051534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_Toc241051535 \h </w:instrText>
      </w:r>
      <w:r>
        <w:fldChar w:fldCharType="separate"/>
      </w:r>
      <w:r>
        <w:t>39</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_Toc241051536 \h </w:instrText>
      </w:r>
      <w:r>
        <w:fldChar w:fldCharType="separate"/>
      </w:r>
      <w:r>
        <w:t>39</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_Toc241051537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napToGrid w:val="0"/>
          <w:szCs w:val="22"/>
        </w:rPr>
        <w:tab/>
        <w:t>1.</w:t>
      </w:r>
      <w:r>
        <w:tab/>
      </w:r>
      <w:r>
        <w:fldChar w:fldCharType="begin"/>
      </w:r>
      <w:r>
        <w:instrText xml:space="preserve"> PAGEREF _Toc241051540 \h </w:instrText>
      </w:r>
      <w:r>
        <w:fldChar w:fldCharType="separate"/>
      </w:r>
      <w:r>
        <w:t>41</w:t>
      </w:r>
      <w:r>
        <w:fldChar w:fldCharType="end"/>
      </w:r>
    </w:p>
    <w:p>
      <w:pPr>
        <w:pStyle w:val="TOC8"/>
        <w:rPr>
          <w:sz w:val="24"/>
          <w:szCs w:val="24"/>
        </w:rPr>
      </w:pPr>
      <w:r>
        <w:rPr>
          <w:snapToGrid w:val="0"/>
          <w:szCs w:val="22"/>
        </w:rPr>
        <w:tab/>
        <w:t>2.</w:t>
      </w:r>
      <w:r>
        <w:tab/>
      </w:r>
      <w:r>
        <w:fldChar w:fldCharType="begin"/>
      </w:r>
      <w:r>
        <w:instrText xml:space="preserve"> PAGEREF _Toc241051541 \h </w:instrText>
      </w:r>
      <w:r>
        <w:fldChar w:fldCharType="separate"/>
      </w:r>
      <w:r>
        <w:t>41</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The 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_Toc241051543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_Toc241051545 \h </w:instrText>
      </w:r>
      <w:r>
        <w:fldChar w:fldCharType="separate"/>
      </w:r>
      <w:r>
        <w:t>43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80"/>
        <w:rPr>
          <w:snapToGrid w:val="0"/>
        </w:rPr>
      </w:pPr>
      <w:bookmarkStart w:id="24" w:name="_Toc95730140"/>
      <w:bookmarkStart w:id="25" w:name="_Toc147630768"/>
      <w:bookmarkStart w:id="26" w:name="_Toc241051478"/>
      <w:r>
        <w:rPr>
          <w:rStyle w:val="CharSectno"/>
        </w:rPr>
        <w:t>1</w:t>
      </w:r>
      <w:r>
        <w:rPr>
          <w:snapToGrid w:val="0"/>
        </w:rPr>
        <w:t>.</w:t>
      </w:r>
      <w:r>
        <w:rPr>
          <w:snapToGrid w:val="0"/>
        </w:rPr>
        <w:tab/>
        <w:t>Short title</w:t>
      </w:r>
      <w:bookmarkEnd w:id="24"/>
      <w:bookmarkEnd w:id="25"/>
      <w:bookmarkEnd w:id="26"/>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27" w:name="_Toc95730141"/>
      <w:bookmarkStart w:id="28" w:name="_Toc147630769"/>
      <w:bookmarkStart w:id="29" w:name="_Toc241051479"/>
      <w:r>
        <w:rPr>
          <w:rStyle w:val="CharSectno"/>
        </w:rPr>
        <w:t>2</w:t>
      </w:r>
      <w:r>
        <w:rPr>
          <w:snapToGrid w:val="0"/>
        </w:rPr>
        <w:t>.</w:t>
      </w:r>
      <w:r>
        <w:rPr>
          <w:snapToGrid w:val="0"/>
        </w:rPr>
        <w:tab/>
        <w:t>Commencement</w:t>
      </w:r>
      <w:bookmarkEnd w:id="27"/>
      <w:bookmarkEnd w:id="28"/>
      <w:bookmarkEnd w:id="29"/>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30" w:name="_Toc95730142"/>
      <w:bookmarkStart w:id="31" w:name="_Toc147630770"/>
      <w:bookmarkStart w:id="32" w:name="_Toc241051480"/>
      <w:r>
        <w:rPr>
          <w:rStyle w:val="CharSectno"/>
        </w:rPr>
        <w:t>3</w:t>
      </w:r>
      <w:r>
        <w:rPr>
          <w:snapToGrid w:val="0"/>
        </w:rPr>
        <w:t>.</w:t>
      </w:r>
      <w:r>
        <w:rPr>
          <w:snapToGrid w:val="0"/>
        </w:rPr>
        <w:tab/>
        <w:t>Interpretation</w:t>
      </w:r>
      <w:bookmarkEnd w:id="30"/>
      <w:bookmarkEnd w:id="31"/>
      <w:bookmarkEnd w:id="32"/>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r>
      <w:r>
        <w:rPr>
          <w:rStyle w:val="CharDefText"/>
        </w:rPr>
        <w:t>appointed day</w:t>
      </w:r>
      <w:r>
        <w:t xml:space="preserve"> means the day fixed by the Minister under subsection (2);</w:t>
      </w:r>
    </w:p>
    <w:p>
      <w:pPr>
        <w:pStyle w:val="Defstart"/>
        <w:spacing w:before="60"/>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spacing w:before="60"/>
      </w:pPr>
      <w:r>
        <w:rPr>
          <w:b/>
        </w:rPr>
        <w:tab/>
      </w:r>
      <w:r>
        <w:rPr>
          <w:rStyle w:val="CharDefText"/>
        </w:rPr>
        <w:t>Board</w:t>
      </w:r>
      <w:r>
        <w:t xml:space="preserve"> means the Construction Industry Long Service Leave Payments Board established under section 5;</w:t>
      </w:r>
    </w:p>
    <w:p>
      <w:pPr>
        <w:pStyle w:val="Defstart"/>
        <w:spacing w:before="60"/>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spacing w:before="60"/>
      </w:pPr>
      <w:r>
        <w:rPr>
          <w:b/>
        </w:rPr>
        <w:tab/>
      </w:r>
      <w:r>
        <w:rPr>
          <w:rStyle w:val="CharDefText"/>
        </w:rPr>
        <w:t>construction industry</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pPr>
      <w:r>
        <w:tab/>
        <w:t>(3a)</w:t>
      </w:r>
      <w:r>
        <w:tab/>
        <w:t xml:space="preserve">For the purposes of the definition of </w:t>
      </w:r>
      <w:r>
        <w:rPr>
          <w:rStyle w:val="CharDefText"/>
          <w:bCs/>
          <w:snapToGrid w:val="0"/>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 No. 36 of 2006 s. 44.]</w:t>
      </w:r>
    </w:p>
    <w:p>
      <w:pPr>
        <w:pStyle w:val="Heading5"/>
        <w:rPr>
          <w:snapToGrid w:val="0"/>
        </w:rPr>
      </w:pPr>
      <w:bookmarkStart w:id="33" w:name="_Toc95730143"/>
      <w:bookmarkStart w:id="34" w:name="_Toc147630771"/>
      <w:bookmarkStart w:id="35" w:name="_Toc241051481"/>
      <w:r>
        <w:rPr>
          <w:rStyle w:val="CharSectno"/>
        </w:rPr>
        <w:t>4</w:t>
      </w:r>
      <w:r>
        <w:rPr>
          <w:snapToGrid w:val="0"/>
        </w:rPr>
        <w:t>.</w:t>
      </w:r>
      <w:r>
        <w:rPr>
          <w:snapToGrid w:val="0"/>
        </w:rPr>
        <w:tab/>
        <w:t>Crown bound</w:t>
      </w:r>
      <w:bookmarkEnd w:id="33"/>
      <w:bookmarkEnd w:id="34"/>
      <w:bookmarkEnd w:id="35"/>
    </w:p>
    <w:p>
      <w:pPr>
        <w:pStyle w:val="Subsection"/>
        <w:rPr>
          <w:snapToGrid w:val="0"/>
        </w:rPr>
      </w:pPr>
      <w:r>
        <w:rPr>
          <w:snapToGrid w:val="0"/>
        </w:rPr>
        <w:tab/>
      </w:r>
      <w:r>
        <w:rPr>
          <w:snapToGrid w:val="0"/>
        </w:rPr>
        <w:tab/>
        <w:t>This Act binds the Crown in right of the State.</w:t>
      </w:r>
    </w:p>
    <w:p>
      <w:pPr>
        <w:pStyle w:val="Heading2"/>
      </w:pPr>
      <w:bookmarkStart w:id="36" w:name="_Toc95729727"/>
      <w:bookmarkStart w:id="37" w:name="_Toc95729792"/>
      <w:bookmarkStart w:id="38" w:name="_Toc95730144"/>
      <w:bookmarkStart w:id="39" w:name="_Toc95730218"/>
      <w:bookmarkStart w:id="40" w:name="_Toc97003705"/>
      <w:bookmarkStart w:id="41" w:name="_Toc102810424"/>
      <w:bookmarkStart w:id="42" w:name="_Toc116956523"/>
      <w:bookmarkStart w:id="43" w:name="_Toc116956587"/>
      <w:bookmarkStart w:id="44" w:name="_Toc116960852"/>
      <w:bookmarkStart w:id="45" w:name="_Toc118525487"/>
      <w:bookmarkStart w:id="46" w:name="_Toc118525793"/>
      <w:bookmarkStart w:id="47" w:name="_Toc120001169"/>
      <w:bookmarkStart w:id="48" w:name="_Toc139864255"/>
      <w:bookmarkStart w:id="49" w:name="_Toc140029709"/>
      <w:bookmarkStart w:id="50" w:name="_Toc140029777"/>
      <w:bookmarkStart w:id="51" w:name="_Toc147305016"/>
      <w:bookmarkStart w:id="52" w:name="_Toc147313791"/>
      <w:bookmarkStart w:id="53" w:name="_Toc147630398"/>
      <w:bookmarkStart w:id="54" w:name="_Toc147630772"/>
      <w:bookmarkStart w:id="55" w:name="_Toc147631917"/>
      <w:bookmarkStart w:id="56" w:name="_Toc147631986"/>
      <w:bookmarkStart w:id="57" w:name="_Toc157844274"/>
      <w:bookmarkStart w:id="58" w:name="_Toc241051482"/>
      <w:r>
        <w:rPr>
          <w:rStyle w:val="CharPartNo"/>
        </w:rPr>
        <w:t>Part II</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80"/>
        <w:rPr>
          <w:snapToGrid w:val="0"/>
        </w:rPr>
      </w:pPr>
      <w:bookmarkStart w:id="59" w:name="_Toc95730145"/>
      <w:bookmarkStart w:id="60" w:name="_Toc147630773"/>
      <w:bookmarkStart w:id="61" w:name="_Toc241051483"/>
      <w:r>
        <w:rPr>
          <w:rStyle w:val="CharSectno"/>
        </w:rPr>
        <w:t>5</w:t>
      </w:r>
      <w:r>
        <w:rPr>
          <w:snapToGrid w:val="0"/>
        </w:rPr>
        <w:t>.</w:t>
      </w:r>
      <w:r>
        <w:rPr>
          <w:snapToGrid w:val="0"/>
        </w:rPr>
        <w:tab/>
        <w:t>Construction Industry Long Service Leave Payments Board established</w:t>
      </w:r>
      <w:bookmarkEnd w:id="59"/>
      <w:bookmarkEnd w:id="60"/>
      <w:bookmarkEnd w:id="61"/>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62" w:name="_Toc95730146"/>
      <w:bookmarkStart w:id="63" w:name="_Toc147630774"/>
      <w:bookmarkStart w:id="64" w:name="_Toc241051484"/>
      <w:r>
        <w:rPr>
          <w:rStyle w:val="CharSectno"/>
        </w:rPr>
        <w:t>6</w:t>
      </w:r>
      <w:r>
        <w:rPr>
          <w:snapToGrid w:val="0"/>
        </w:rPr>
        <w:t>.</w:t>
      </w:r>
      <w:r>
        <w:rPr>
          <w:snapToGrid w:val="0"/>
        </w:rPr>
        <w:tab/>
        <w:t>Membership of the Board</w:t>
      </w:r>
      <w:bookmarkEnd w:id="62"/>
      <w:bookmarkEnd w:id="63"/>
      <w:bookmarkEnd w:id="6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65" w:name="_Toc95730147"/>
      <w:bookmarkStart w:id="66" w:name="_Toc147630775"/>
      <w:bookmarkStart w:id="67" w:name="_Toc241051485"/>
      <w:r>
        <w:rPr>
          <w:rStyle w:val="CharSectno"/>
        </w:rPr>
        <w:t>7</w:t>
      </w:r>
      <w:r>
        <w:rPr>
          <w:snapToGrid w:val="0"/>
        </w:rPr>
        <w:t>.</w:t>
      </w:r>
      <w:r>
        <w:rPr>
          <w:snapToGrid w:val="0"/>
        </w:rPr>
        <w:tab/>
        <w:t>Acting members</w:t>
      </w:r>
      <w:bookmarkEnd w:id="65"/>
      <w:bookmarkEnd w:id="66"/>
      <w:bookmarkEnd w:id="67"/>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68" w:name="_Toc95730148"/>
      <w:bookmarkStart w:id="69" w:name="_Toc147630776"/>
      <w:bookmarkStart w:id="70" w:name="_Toc241051486"/>
      <w:r>
        <w:rPr>
          <w:rStyle w:val="CharSectno"/>
        </w:rPr>
        <w:t>8</w:t>
      </w:r>
      <w:r>
        <w:rPr>
          <w:snapToGrid w:val="0"/>
        </w:rPr>
        <w:t>.</w:t>
      </w:r>
      <w:r>
        <w:rPr>
          <w:snapToGrid w:val="0"/>
        </w:rPr>
        <w:tab/>
        <w:t>Vacation of office</w:t>
      </w:r>
      <w:bookmarkEnd w:id="68"/>
      <w:bookmarkEnd w:id="69"/>
      <w:bookmarkEnd w:id="70"/>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71" w:name="_Toc95730149"/>
      <w:bookmarkStart w:id="72" w:name="_Toc147630777"/>
      <w:bookmarkStart w:id="73" w:name="_Toc241051487"/>
      <w:r>
        <w:rPr>
          <w:rStyle w:val="CharSectno"/>
        </w:rPr>
        <w:t>9</w:t>
      </w:r>
      <w:r>
        <w:rPr>
          <w:snapToGrid w:val="0"/>
        </w:rPr>
        <w:t>.</w:t>
      </w:r>
      <w:r>
        <w:rPr>
          <w:snapToGrid w:val="0"/>
        </w:rPr>
        <w:tab/>
        <w:t>Fees and allowances</w:t>
      </w:r>
      <w:bookmarkEnd w:id="71"/>
      <w:bookmarkEnd w:id="72"/>
      <w:bookmarkEnd w:id="73"/>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74" w:name="_Toc95730150"/>
      <w:bookmarkStart w:id="75" w:name="_Toc147630778"/>
      <w:bookmarkStart w:id="76" w:name="_Toc241051488"/>
      <w:r>
        <w:rPr>
          <w:rStyle w:val="CharSectno"/>
        </w:rPr>
        <w:t>10</w:t>
      </w:r>
      <w:r>
        <w:rPr>
          <w:snapToGrid w:val="0"/>
        </w:rPr>
        <w:t>.</w:t>
      </w:r>
      <w:r>
        <w:rPr>
          <w:snapToGrid w:val="0"/>
        </w:rPr>
        <w:tab/>
        <w:t>Meetings of the Board and disclosure of interest</w:t>
      </w:r>
      <w:bookmarkEnd w:id="74"/>
      <w:bookmarkEnd w:id="75"/>
      <w:bookmarkEnd w:id="76"/>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77" w:name="_Toc95730151"/>
      <w:bookmarkStart w:id="78" w:name="_Toc147630779"/>
      <w:bookmarkStart w:id="79" w:name="_Toc241051489"/>
      <w:r>
        <w:rPr>
          <w:rStyle w:val="CharSectno"/>
        </w:rPr>
        <w:t>11</w:t>
      </w:r>
      <w:r>
        <w:rPr>
          <w:snapToGrid w:val="0"/>
        </w:rPr>
        <w:t>.</w:t>
      </w:r>
      <w:r>
        <w:rPr>
          <w:snapToGrid w:val="0"/>
        </w:rPr>
        <w:tab/>
        <w:t>Minister may require Board to give information</w:t>
      </w:r>
      <w:bookmarkEnd w:id="77"/>
      <w:bookmarkEnd w:id="78"/>
      <w:bookmarkEnd w:id="79"/>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80" w:name="_Toc95730152"/>
      <w:bookmarkStart w:id="81" w:name="_Toc147630780"/>
      <w:bookmarkStart w:id="82" w:name="_Toc241051490"/>
      <w:r>
        <w:rPr>
          <w:rStyle w:val="CharSectno"/>
        </w:rPr>
        <w:t>12</w:t>
      </w:r>
      <w:r>
        <w:rPr>
          <w:snapToGrid w:val="0"/>
        </w:rPr>
        <w:t>.</w:t>
      </w:r>
      <w:r>
        <w:rPr>
          <w:snapToGrid w:val="0"/>
        </w:rPr>
        <w:tab/>
        <w:t>Indemnity</w:t>
      </w:r>
      <w:bookmarkEnd w:id="80"/>
      <w:bookmarkEnd w:id="81"/>
      <w:bookmarkEnd w:id="82"/>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83" w:name="_Toc95730153"/>
      <w:bookmarkStart w:id="84" w:name="_Toc147630781"/>
      <w:bookmarkStart w:id="85" w:name="_Toc241051491"/>
      <w:r>
        <w:rPr>
          <w:rStyle w:val="CharSectno"/>
        </w:rPr>
        <w:t>13</w:t>
      </w:r>
      <w:r>
        <w:rPr>
          <w:snapToGrid w:val="0"/>
        </w:rPr>
        <w:t>.</w:t>
      </w:r>
      <w:r>
        <w:rPr>
          <w:snapToGrid w:val="0"/>
        </w:rPr>
        <w:tab/>
        <w:t>Staff</w:t>
      </w:r>
      <w:bookmarkEnd w:id="83"/>
      <w:bookmarkEnd w:id="84"/>
      <w:bookmarkEnd w:id="85"/>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86" w:name="_Toc95730154"/>
      <w:bookmarkStart w:id="87" w:name="_Toc147630782"/>
      <w:bookmarkStart w:id="88" w:name="_Toc241051492"/>
      <w:r>
        <w:rPr>
          <w:rStyle w:val="CharSectno"/>
        </w:rPr>
        <w:t>14</w:t>
      </w:r>
      <w:r>
        <w:rPr>
          <w:snapToGrid w:val="0"/>
        </w:rPr>
        <w:t>.</w:t>
      </w:r>
      <w:r>
        <w:rPr>
          <w:snapToGrid w:val="0"/>
        </w:rPr>
        <w:tab/>
        <w:t>Functions of the Board</w:t>
      </w:r>
      <w:bookmarkEnd w:id="86"/>
      <w:bookmarkEnd w:id="87"/>
      <w:bookmarkEnd w:id="88"/>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89" w:name="_Toc95730155"/>
      <w:bookmarkStart w:id="90" w:name="_Toc147630783"/>
      <w:bookmarkStart w:id="91" w:name="_Toc241051493"/>
      <w:r>
        <w:rPr>
          <w:rStyle w:val="CharSectno"/>
        </w:rPr>
        <w:t>15</w:t>
      </w:r>
      <w:r>
        <w:rPr>
          <w:snapToGrid w:val="0"/>
        </w:rPr>
        <w:t>.</w:t>
      </w:r>
      <w:r>
        <w:rPr>
          <w:snapToGrid w:val="0"/>
        </w:rPr>
        <w:tab/>
        <w:t>Funds of the Board</w:t>
      </w:r>
      <w:bookmarkEnd w:id="89"/>
      <w:bookmarkEnd w:id="90"/>
      <w:bookmarkEnd w:id="9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92" w:name="_Toc95730156"/>
      <w:bookmarkStart w:id="93" w:name="_Toc147630784"/>
      <w:bookmarkStart w:id="94" w:name="_Toc241051494"/>
      <w:r>
        <w:rPr>
          <w:rStyle w:val="CharSectno"/>
        </w:rPr>
        <w:t>16</w:t>
      </w:r>
      <w:r>
        <w:rPr>
          <w:snapToGrid w:val="0"/>
        </w:rPr>
        <w:t>.</w:t>
      </w:r>
      <w:r>
        <w:rPr>
          <w:snapToGrid w:val="0"/>
        </w:rPr>
        <w:tab/>
        <w:t>Power to borrow and guarantee</w:t>
      </w:r>
      <w:bookmarkEnd w:id="92"/>
      <w:bookmarkEnd w:id="93"/>
      <w:bookmarkEnd w:id="9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spacing w:before="180"/>
        <w:rPr>
          <w:snapToGrid w:val="0"/>
        </w:rPr>
      </w:pPr>
      <w:bookmarkStart w:id="95" w:name="_Toc95730157"/>
      <w:bookmarkStart w:id="96" w:name="_Toc147630785"/>
      <w:bookmarkStart w:id="97" w:name="_Toc241051495"/>
      <w:r>
        <w:rPr>
          <w:rStyle w:val="CharSectno"/>
        </w:rPr>
        <w:t>17</w:t>
      </w:r>
      <w:r>
        <w:rPr>
          <w:snapToGrid w:val="0"/>
        </w:rPr>
        <w:t>.</w:t>
      </w:r>
      <w:r>
        <w:rPr>
          <w:snapToGrid w:val="0"/>
        </w:rPr>
        <w:tab/>
        <w:t>Notification of certain contracts to be given to Minister</w:t>
      </w:r>
      <w:bookmarkEnd w:id="95"/>
      <w:bookmarkEnd w:id="96"/>
      <w:bookmarkEnd w:id="97"/>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98" w:name="_Toc95730158"/>
      <w:bookmarkStart w:id="99" w:name="_Toc147630786"/>
      <w:bookmarkStart w:id="100" w:name="_Toc241051496"/>
      <w:r>
        <w:rPr>
          <w:rStyle w:val="CharSectno"/>
        </w:rPr>
        <w:t>18</w:t>
      </w:r>
      <w:r>
        <w:rPr>
          <w:snapToGrid w:val="0"/>
        </w:rPr>
        <w:t>.</w:t>
      </w:r>
      <w:r>
        <w:rPr>
          <w:snapToGrid w:val="0"/>
        </w:rPr>
        <w:tab/>
        <w:t xml:space="preserve">Application of </w:t>
      </w:r>
      <w:bookmarkEnd w:id="98"/>
      <w:bookmarkEnd w:id="99"/>
      <w:r>
        <w:rPr>
          <w:i/>
          <w:iCs/>
        </w:rPr>
        <w:t xml:space="preserve"> Financial Management Act 2006</w:t>
      </w:r>
      <w:r>
        <w:t xml:space="preserve"> and </w:t>
      </w:r>
      <w:r>
        <w:rPr>
          <w:i/>
          <w:iCs/>
        </w:rPr>
        <w:t>Auditor General Act 2006</w:t>
      </w:r>
      <w:bookmarkEnd w:id="10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 17.]</w:t>
      </w:r>
    </w:p>
    <w:p>
      <w:pPr>
        <w:pStyle w:val="Heading5"/>
        <w:rPr>
          <w:snapToGrid w:val="0"/>
        </w:rPr>
      </w:pPr>
      <w:bookmarkStart w:id="101" w:name="_Toc95730159"/>
      <w:bookmarkStart w:id="102" w:name="_Toc147630787"/>
      <w:bookmarkStart w:id="103" w:name="_Toc241051497"/>
      <w:r>
        <w:rPr>
          <w:rStyle w:val="CharSectno"/>
        </w:rPr>
        <w:t>19</w:t>
      </w:r>
      <w:r>
        <w:rPr>
          <w:snapToGrid w:val="0"/>
        </w:rPr>
        <w:t>.</w:t>
      </w:r>
      <w:r>
        <w:rPr>
          <w:snapToGrid w:val="0"/>
        </w:rPr>
        <w:tab/>
        <w:t>Investigations by actuary</w:t>
      </w:r>
      <w:bookmarkEnd w:id="101"/>
      <w:bookmarkEnd w:id="102"/>
      <w:bookmarkEnd w:id="103"/>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04" w:name="_Toc95729743"/>
      <w:bookmarkStart w:id="105" w:name="_Toc95729808"/>
      <w:bookmarkStart w:id="106" w:name="_Toc95730160"/>
      <w:bookmarkStart w:id="107" w:name="_Toc95730234"/>
      <w:bookmarkStart w:id="108" w:name="_Toc97003721"/>
      <w:bookmarkStart w:id="109" w:name="_Toc102810440"/>
      <w:bookmarkStart w:id="110" w:name="_Toc116956539"/>
      <w:bookmarkStart w:id="111" w:name="_Toc116956603"/>
      <w:bookmarkStart w:id="112" w:name="_Toc116960868"/>
      <w:bookmarkStart w:id="113" w:name="_Toc118525503"/>
      <w:bookmarkStart w:id="114" w:name="_Toc118525809"/>
      <w:bookmarkStart w:id="115" w:name="_Toc120001185"/>
      <w:bookmarkStart w:id="116" w:name="_Toc139864271"/>
      <w:bookmarkStart w:id="117" w:name="_Toc140029725"/>
      <w:bookmarkStart w:id="118" w:name="_Toc140029793"/>
      <w:bookmarkStart w:id="119" w:name="_Toc147305032"/>
      <w:bookmarkStart w:id="120" w:name="_Toc147313807"/>
      <w:bookmarkStart w:id="121" w:name="_Toc147630414"/>
      <w:bookmarkStart w:id="122" w:name="_Toc147630788"/>
      <w:bookmarkStart w:id="123" w:name="_Toc147631933"/>
      <w:bookmarkStart w:id="124" w:name="_Toc147632002"/>
      <w:bookmarkStart w:id="125" w:name="_Toc157844290"/>
      <w:bookmarkStart w:id="126" w:name="_Toc241051498"/>
      <w:r>
        <w:rPr>
          <w:rStyle w:val="CharPartNo"/>
        </w:rPr>
        <w:t>Part III</w:t>
      </w:r>
      <w:r>
        <w:rPr>
          <w:rStyle w:val="CharDivNo"/>
        </w:rPr>
        <w:t> </w:t>
      </w:r>
      <w:r>
        <w:t>—</w:t>
      </w:r>
      <w:r>
        <w:rPr>
          <w:rStyle w:val="CharDivText"/>
        </w:rPr>
        <w:t> </w:t>
      </w:r>
      <w:r>
        <w:rPr>
          <w:rStyle w:val="CharPartText"/>
        </w:rPr>
        <w:t>Entitlement to long service leave and pay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95730161"/>
      <w:bookmarkStart w:id="128" w:name="_Toc147630789"/>
      <w:bookmarkStart w:id="129" w:name="_Toc241051499"/>
      <w:r>
        <w:rPr>
          <w:rStyle w:val="CharSectno"/>
        </w:rPr>
        <w:t>21</w:t>
      </w:r>
      <w:r>
        <w:rPr>
          <w:snapToGrid w:val="0"/>
        </w:rPr>
        <w:t>.</w:t>
      </w:r>
      <w:r>
        <w:rPr>
          <w:snapToGrid w:val="0"/>
        </w:rPr>
        <w:tab/>
        <w:t>Entitlement to paid long service leave and pay</w:t>
      </w:r>
      <w:bookmarkEnd w:id="127"/>
      <w:bookmarkEnd w:id="128"/>
      <w:bookmarkEnd w:id="129"/>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spacing w:before="80"/>
        <w:ind w:left="890" w:hanging="890"/>
      </w:pPr>
      <w:r>
        <w:tab/>
        <w:t>[Section 21 amended by No. 30 of 1989 s. 6; No. 36 of 2006 s. 45.]</w:t>
      </w:r>
    </w:p>
    <w:p>
      <w:pPr>
        <w:pStyle w:val="Heading5"/>
        <w:rPr>
          <w:snapToGrid w:val="0"/>
        </w:rPr>
      </w:pPr>
      <w:bookmarkStart w:id="130" w:name="_Toc95730162"/>
      <w:bookmarkStart w:id="131" w:name="_Toc147630790"/>
      <w:bookmarkStart w:id="132" w:name="_Toc241051500"/>
      <w:r>
        <w:rPr>
          <w:rStyle w:val="CharSectno"/>
        </w:rPr>
        <w:t>22</w:t>
      </w:r>
      <w:r>
        <w:rPr>
          <w:snapToGrid w:val="0"/>
        </w:rPr>
        <w:t>.</w:t>
      </w:r>
      <w:r>
        <w:rPr>
          <w:snapToGrid w:val="0"/>
        </w:rPr>
        <w:tab/>
        <w:t>Lump sum payments</w:t>
      </w:r>
      <w:bookmarkEnd w:id="130"/>
      <w:bookmarkEnd w:id="131"/>
      <w:bookmarkEnd w:id="132"/>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spacing w:before="120"/>
        <w:rPr>
          <w:snapToGrid w:val="0"/>
        </w:rPr>
      </w:pPr>
      <w:r>
        <w:rPr>
          <w:snapToGrid w:val="0"/>
        </w:rPr>
        <w:tab/>
        <w:t>(b)</w:t>
      </w:r>
      <w:r>
        <w:rPr>
          <w:snapToGrid w:val="0"/>
        </w:rPr>
        <w:tab/>
        <w:t>where he has completed at least 10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33" w:name="_Toc95730163"/>
      <w:bookmarkStart w:id="134" w:name="_Toc147630791"/>
      <w:bookmarkStart w:id="135" w:name="_Toc241051501"/>
      <w:r>
        <w:rPr>
          <w:rStyle w:val="CharSectno"/>
        </w:rPr>
        <w:t>23</w:t>
      </w:r>
      <w:r>
        <w:rPr>
          <w:snapToGrid w:val="0"/>
        </w:rPr>
        <w:t>.</w:t>
      </w:r>
      <w:r>
        <w:rPr>
          <w:snapToGrid w:val="0"/>
        </w:rPr>
        <w:tab/>
        <w:t>Cessation of continuous service entitlement</w:t>
      </w:r>
      <w:bookmarkEnd w:id="133"/>
      <w:bookmarkEnd w:id="134"/>
      <w:bookmarkEnd w:id="135"/>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36" w:name="_Toc95730164"/>
      <w:bookmarkStart w:id="137" w:name="_Toc147630792"/>
      <w:bookmarkStart w:id="138" w:name="_Toc241051502"/>
      <w:r>
        <w:rPr>
          <w:rStyle w:val="CharSectno"/>
        </w:rPr>
        <w:t>24</w:t>
      </w:r>
      <w:r>
        <w:rPr>
          <w:snapToGrid w:val="0"/>
        </w:rPr>
        <w:t>.</w:t>
      </w:r>
      <w:r>
        <w:rPr>
          <w:snapToGrid w:val="0"/>
        </w:rPr>
        <w:tab/>
        <w:t>Taking of leave</w:t>
      </w:r>
      <w:bookmarkEnd w:id="136"/>
      <w:bookmarkEnd w:id="137"/>
      <w:bookmarkEnd w:id="13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139" w:name="_Toc95730165"/>
      <w:bookmarkStart w:id="140" w:name="_Toc147630793"/>
      <w:bookmarkStart w:id="141" w:name="_Toc241051503"/>
      <w:r>
        <w:rPr>
          <w:rStyle w:val="CharSectno"/>
        </w:rPr>
        <w:t>24A</w:t>
      </w:r>
      <w:r>
        <w:rPr>
          <w:snapToGrid w:val="0"/>
        </w:rPr>
        <w:t xml:space="preserve">. </w:t>
      </w:r>
      <w:r>
        <w:rPr>
          <w:snapToGrid w:val="0"/>
        </w:rPr>
        <w:tab/>
        <w:t>Proportional leave in advance after 7 years service</w:t>
      </w:r>
      <w:bookmarkEnd w:id="139"/>
      <w:bookmarkEnd w:id="140"/>
      <w:bookmarkEnd w:id="141"/>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 amended by No. 36 of 2006 s. 47.]</w:t>
      </w:r>
    </w:p>
    <w:p>
      <w:pPr>
        <w:pStyle w:val="Heading5"/>
        <w:rPr>
          <w:snapToGrid w:val="0"/>
        </w:rPr>
      </w:pPr>
      <w:bookmarkStart w:id="142" w:name="_Toc95730166"/>
      <w:bookmarkStart w:id="143" w:name="_Toc147630794"/>
      <w:bookmarkStart w:id="144" w:name="_Toc241051504"/>
      <w:r>
        <w:rPr>
          <w:rStyle w:val="CharSectno"/>
        </w:rPr>
        <w:t>25</w:t>
      </w:r>
      <w:r>
        <w:rPr>
          <w:snapToGrid w:val="0"/>
        </w:rPr>
        <w:t>.</w:t>
      </w:r>
      <w:r>
        <w:rPr>
          <w:snapToGrid w:val="0"/>
        </w:rPr>
        <w:tab/>
        <w:t>Payment when due</w:t>
      </w:r>
      <w:bookmarkEnd w:id="142"/>
      <w:bookmarkEnd w:id="143"/>
      <w:bookmarkEnd w:id="144"/>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45" w:name="_Toc95730168"/>
      <w:r>
        <w:t>[</w:t>
      </w:r>
      <w:r>
        <w:rPr>
          <w:b/>
        </w:rPr>
        <w:t>27.</w:t>
      </w:r>
      <w:r>
        <w:rPr>
          <w:b/>
        </w:rPr>
        <w:tab/>
      </w:r>
      <w:r>
        <w:t>Deleted by No. 36 of 2006 s. 48.]</w:t>
      </w:r>
    </w:p>
    <w:p>
      <w:pPr>
        <w:pStyle w:val="Heading5"/>
        <w:rPr>
          <w:snapToGrid w:val="0"/>
        </w:rPr>
      </w:pPr>
      <w:bookmarkStart w:id="146" w:name="_Toc147630795"/>
      <w:bookmarkStart w:id="147" w:name="_Toc241051505"/>
      <w:r>
        <w:rPr>
          <w:rStyle w:val="CharSectno"/>
        </w:rPr>
        <w:t>28</w:t>
      </w:r>
      <w:r>
        <w:rPr>
          <w:snapToGrid w:val="0"/>
        </w:rPr>
        <w:t>.</w:t>
      </w:r>
      <w:r>
        <w:rPr>
          <w:snapToGrid w:val="0"/>
        </w:rPr>
        <w:tab/>
        <w:t>Prohibition on other employment</w:t>
      </w:r>
      <w:bookmarkEnd w:id="145"/>
      <w:bookmarkEnd w:id="146"/>
      <w:bookmarkEnd w:id="147"/>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48" w:name="_Toc147630796"/>
      <w:bookmarkStart w:id="149" w:name="_Toc241051506"/>
      <w:bookmarkStart w:id="150" w:name="_Toc95730170"/>
      <w:r>
        <w:rPr>
          <w:rStyle w:val="CharSectno"/>
        </w:rPr>
        <w:t>29</w:t>
      </w:r>
      <w:r>
        <w:t>.</w:t>
      </w:r>
      <w:r>
        <w:tab/>
        <w:t>Public holidays</w:t>
      </w:r>
      <w:bookmarkEnd w:id="148"/>
      <w:bookmarkEnd w:id="149"/>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spacing w:before="120"/>
        <w:rPr>
          <w:snapToGrid w:val="0"/>
        </w:rPr>
      </w:pPr>
      <w:bookmarkStart w:id="151" w:name="_Toc147630797"/>
      <w:bookmarkStart w:id="152" w:name="_Toc241051507"/>
      <w:r>
        <w:rPr>
          <w:rStyle w:val="CharSectno"/>
        </w:rPr>
        <w:t>29A</w:t>
      </w:r>
      <w:r>
        <w:rPr>
          <w:snapToGrid w:val="0"/>
        </w:rPr>
        <w:t xml:space="preserve">. </w:t>
      </w:r>
      <w:r>
        <w:rPr>
          <w:snapToGrid w:val="0"/>
        </w:rPr>
        <w:tab/>
        <w:t>Reciprocal arrangements</w:t>
      </w:r>
      <w:bookmarkEnd w:id="150"/>
      <w:bookmarkEnd w:id="151"/>
      <w:bookmarkEnd w:id="152"/>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r>
      <w:r>
        <w:rPr>
          <w:rStyle w:val="CharDefText"/>
          <w:spacing w:val="-6"/>
        </w:rPr>
        <w:t>construction industry</w:t>
      </w:r>
      <w:r>
        <w:rPr>
          <w:spacing w:val="-6"/>
        </w:rPr>
        <w:t xml:space="preserve"> has the same meaning as in section 3(1);</w:t>
      </w:r>
    </w:p>
    <w:p>
      <w:pPr>
        <w:pStyle w:val="Defstart"/>
        <w:spacing w:before="60"/>
      </w:pPr>
      <w:r>
        <w:rPr>
          <w:b/>
        </w:rPr>
        <w:tab/>
      </w:r>
      <w:r>
        <w:rPr>
          <w:rStyle w:val="CharDefText"/>
        </w:rPr>
        <w:t>corresponding law</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r>
      <w:r>
        <w:rPr>
          <w:rStyle w:val="CharDefText"/>
        </w:rPr>
        <w:t>corresponding public employer in this State</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53" w:name="_Toc95729754"/>
      <w:bookmarkStart w:id="154" w:name="_Toc95729819"/>
      <w:bookmarkStart w:id="155" w:name="_Toc95730171"/>
      <w:bookmarkStart w:id="156" w:name="_Toc95730245"/>
      <w:bookmarkStart w:id="157" w:name="_Toc97003732"/>
      <w:bookmarkStart w:id="158" w:name="_Toc102810451"/>
      <w:bookmarkStart w:id="159" w:name="_Toc116956550"/>
      <w:bookmarkStart w:id="160" w:name="_Toc116956614"/>
      <w:bookmarkStart w:id="161" w:name="_Toc116960879"/>
      <w:bookmarkStart w:id="162" w:name="_Toc118525514"/>
      <w:bookmarkStart w:id="163" w:name="_Toc118525820"/>
      <w:bookmarkStart w:id="164" w:name="_Toc120001196"/>
      <w:bookmarkStart w:id="165" w:name="_Toc139864282"/>
      <w:bookmarkStart w:id="166" w:name="_Toc140029736"/>
      <w:bookmarkStart w:id="167" w:name="_Toc140029804"/>
      <w:bookmarkStart w:id="168" w:name="_Toc147305044"/>
      <w:bookmarkStart w:id="169" w:name="_Toc147313819"/>
      <w:bookmarkStart w:id="170" w:name="_Toc147630424"/>
      <w:bookmarkStart w:id="171" w:name="_Toc147630798"/>
      <w:bookmarkStart w:id="172" w:name="_Toc147631943"/>
      <w:bookmarkStart w:id="173" w:name="_Toc147632012"/>
      <w:bookmarkStart w:id="174" w:name="_Toc157844300"/>
      <w:bookmarkStart w:id="175" w:name="_Toc241051508"/>
      <w:r>
        <w:rPr>
          <w:rStyle w:val="CharPartNo"/>
        </w:rPr>
        <w:t>Part IV</w:t>
      </w:r>
      <w:r>
        <w:rPr>
          <w:rStyle w:val="CharDivNo"/>
        </w:rPr>
        <w:t> </w:t>
      </w:r>
      <w:r>
        <w:t>—</w:t>
      </w:r>
      <w:r>
        <w:rPr>
          <w:rStyle w:val="CharDivText"/>
        </w:rPr>
        <w:t> </w:t>
      </w:r>
      <w:r>
        <w:rPr>
          <w:rStyle w:val="CharPartText"/>
        </w:rPr>
        <w:t>Registration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95730172"/>
      <w:bookmarkStart w:id="177" w:name="_Toc147630799"/>
      <w:bookmarkStart w:id="178" w:name="_Toc241051509"/>
      <w:r>
        <w:rPr>
          <w:rStyle w:val="CharSectno"/>
        </w:rPr>
        <w:t>30</w:t>
      </w:r>
      <w:r>
        <w:rPr>
          <w:snapToGrid w:val="0"/>
        </w:rPr>
        <w:t>.</w:t>
      </w:r>
      <w:r>
        <w:rPr>
          <w:snapToGrid w:val="0"/>
        </w:rPr>
        <w:tab/>
        <w:t>Registration of employers and employees</w:t>
      </w:r>
      <w:bookmarkEnd w:id="176"/>
      <w:bookmarkEnd w:id="177"/>
      <w:bookmarkEnd w:id="178"/>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179" w:name="_Toc95730173"/>
      <w:bookmarkStart w:id="180" w:name="_Toc147630800"/>
      <w:bookmarkStart w:id="181" w:name="_Toc241051510"/>
      <w:r>
        <w:rPr>
          <w:rStyle w:val="CharSectno"/>
        </w:rPr>
        <w:t>31</w:t>
      </w:r>
      <w:r>
        <w:rPr>
          <w:snapToGrid w:val="0"/>
        </w:rPr>
        <w:t>.</w:t>
      </w:r>
      <w:r>
        <w:rPr>
          <w:snapToGrid w:val="0"/>
        </w:rPr>
        <w:tab/>
        <w:t>Return to be made by employer</w:t>
      </w:r>
      <w:bookmarkEnd w:id="179"/>
      <w:bookmarkEnd w:id="180"/>
      <w:bookmarkEnd w:id="181"/>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182" w:name="_Toc95730174"/>
      <w:bookmarkStart w:id="183" w:name="_Toc147630801"/>
      <w:bookmarkStart w:id="184" w:name="_Toc241051511"/>
      <w:r>
        <w:rPr>
          <w:rStyle w:val="CharSectno"/>
        </w:rPr>
        <w:t>32</w:t>
      </w:r>
      <w:r>
        <w:rPr>
          <w:snapToGrid w:val="0"/>
        </w:rPr>
        <w:t>.</w:t>
      </w:r>
      <w:r>
        <w:rPr>
          <w:snapToGrid w:val="0"/>
        </w:rPr>
        <w:tab/>
        <w:t>Employer to maintain record of employees</w:t>
      </w:r>
      <w:bookmarkEnd w:id="182"/>
      <w:bookmarkEnd w:id="183"/>
      <w:bookmarkEnd w:id="184"/>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185" w:name="_Toc95730175"/>
      <w:bookmarkStart w:id="186" w:name="_Toc147630802"/>
      <w:bookmarkStart w:id="187" w:name="_Toc241051512"/>
      <w:r>
        <w:rPr>
          <w:rStyle w:val="CharSectno"/>
        </w:rPr>
        <w:t>33</w:t>
      </w:r>
      <w:r>
        <w:rPr>
          <w:snapToGrid w:val="0"/>
        </w:rPr>
        <w:t>.</w:t>
      </w:r>
      <w:r>
        <w:rPr>
          <w:snapToGrid w:val="0"/>
        </w:rPr>
        <w:tab/>
        <w:t>Exempt employer</w:t>
      </w:r>
      <w:bookmarkEnd w:id="185"/>
      <w:bookmarkEnd w:id="186"/>
      <w:bookmarkEnd w:id="187"/>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88" w:name="_Toc95730176"/>
      <w:bookmarkStart w:id="189" w:name="_Toc147630803"/>
      <w:bookmarkStart w:id="190" w:name="_Toc241051513"/>
      <w:r>
        <w:rPr>
          <w:rStyle w:val="CharSectno"/>
        </w:rPr>
        <w:t>34</w:t>
      </w:r>
      <w:r>
        <w:rPr>
          <w:snapToGrid w:val="0"/>
        </w:rPr>
        <w:t>.</w:t>
      </w:r>
      <w:r>
        <w:rPr>
          <w:snapToGrid w:val="0"/>
        </w:rPr>
        <w:tab/>
        <w:t>Contribution by employer and assessment by the Board</w:t>
      </w:r>
      <w:bookmarkEnd w:id="188"/>
      <w:bookmarkEnd w:id="189"/>
      <w:bookmarkEnd w:id="19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191" w:name="_Toc95730177"/>
      <w:bookmarkStart w:id="192" w:name="_Toc147630804"/>
      <w:bookmarkStart w:id="193" w:name="_Toc241051514"/>
      <w:r>
        <w:rPr>
          <w:rStyle w:val="CharSectno"/>
        </w:rPr>
        <w:t>35</w:t>
      </w:r>
      <w:r>
        <w:rPr>
          <w:snapToGrid w:val="0"/>
        </w:rPr>
        <w:t>.</w:t>
      </w:r>
      <w:r>
        <w:rPr>
          <w:snapToGrid w:val="0"/>
        </w:rPr>
        <w:tab/>
        <w:t>Register of Employers and Register of Employees</w:t>
      </w:r>
      <w:bookmarkEnd w:id="191"/>
      <w:bookmarkEnd w:id="192"/>
      <w:bookmarkEnd w:id="19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194" w:name="_Toc95730178"/>
      <w:bookmarkStart w:id="195" w:name="_Toc147630805"/>
      <w:bookmarkStart w:id="196" w:name="_Toc241051515"/>
      <w:r>
        <w:rPr>
          <w:rStyle w:val="CharSectno"/>
        </w:rPr>
        <w:t>36</w:t>
      </w:r>
      <w:r>
        <w:rPr>
          <w:snapToGrid w:val="0"/>
        </w:rPr>
        <w:t>.</w:t>
      </w:r>
      <w:r>
        <w:rPr>
          <w:snapToGrid w:val="0"/>
        </w:rPr>
        <w:tab/>
        <w:t>Employer leaving Western Australia</w:t>
      </w:r>
      <w:bookmarkEnd w:id="194"/>
      <w:bookmarkEnd w:id="195"/>
      <w:bookmarkEnd w:id="19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197" w:name="_Toc95730179"/>
      <w:bookmarkStart w:id="198" w:name="_Toc147630806"/>
      <w:bookmarkStart w:id="199" w:name="_Toc241051516"/>
      <w:r>
        <w:rPr>
          <w:rStyle w:val="CharSectno"/>
        </w:rPr>
        <w:t>37</w:t>
      </w:r>
      <w:r>
        <w:rPr>
          <w:snapToGrid w:val="0"/>
        </w:rPr>
        <w:t>.</w:t>
      </w:r>
      <w:r>
        <w:rPr>
          <w:snapToGrid w:val="0"/>
        </w:rPr>
        <w:tab/>
        <w:t>Recovery of long service leave contribution</w:t>
      </w:r>
      <w:bookmarkEnd w:id="197"/>
      <w:bookmarkEnd w:id="198"/>
      <w:bookmarkEnd w:id="199"/>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00" w:name="_Toc95730180"/>
      <w:bookmarkStart w:id="201" w:name="_Toc147630807"/>
      <w:bookmarkStart w:id="202" w:name="_Toc241051517"/>
      <w:r>
        <w:rPr>
          <w:rStyle w:val="CharSectno"/>
        </w:rPr>
        <w:t>38</w:t>
      </w:r>
      <w:r>
        <w:rPr>
          <w:snapToGrid w:val="0"/>
        </w:rPr>
        <w:t>.</w:t>
      </w:r>
      <w:r>
        <w:rPr>
          <w:snapToGrid w:val="0"/>
        </w:rPr>
        <w:tab/>
        <w:t>Liquidator to give notice</w:t>
      </w:r>
      <w:bookmarkEnd w:id="200"/>
      <w:bookmarkEnd w:id="201"/>
      <w:bookmarkEnd w:id="20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03" w:name="_Toc95730181"/>
      <w:bookmarkStart w:id="204" w:name="_Toc147630808"/>
      <w:bookmarkStart w:id="205" w:name="_Toc241051518"/>
      <w:r>
        <w:rPr>
          <w:rStyle w:val="CharSectno"/>
        </w:rPr>
        <w:t>39</w:t>
      </w:r>
      <w:r>
        <w:rPr>
          <w:snapToGrid w:val="0"/>
        </w:rPr>
        <w:t>.</w:t>
      </w:r>
      <w:r>
        <w:rPr>
          <w:snapToGrid w:val="0"/>
        </w:rPr>
        <w:tab/>
        <w:t>Agent for absentee principal winding up business</w:t>
      </w:r>
      <w:bookmarkEnd w:id="203"/>
      <w:bookmarkEnd w:id="204"/>
      <w:bookmarkEnd w:id="205"/>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206" w:name="_Toc95730182"/>
      <w:bookmarkStart w:id="207" w:name="_Toc147630809"/>
      <w:bookmarkStart w:id="208" w:name="_Toc241051519"/>
      <w:r>
        <w:rPr>
          <w:rStyle w:val="CharSectno"/>
        </w:rPr>
        <w:t>40</w:t>
      </w:r>
      <w:r>
        <w:rPr>
          <w:snapToGrid w:val="0"/>
        </w:rPr>
        <w:t>.</w:t>
      </w:r>
      <w:r>
        <w:rPr>
          <w:snapToGrid w:val="0"/>
        </w:rPr>
        <w:tab/>
        <w:t>Where long service leave charges are not paid during lifetime</w:t>
      </w:r>
      <w:bookmarkEnd w:id="206"/>
      <w:bookmarkEnd w:id="207"/>
      <w:bookmarkEnd w:id="208"/>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09" w:name="_Toc95730183"/>
      <w:bookmarkStart w:id="210" w:name="_Toc147630810"/>
      <w:bookmarkStart w:id="211" w:name="_Toc241051520"/>
      <w:r>
        <w:rPr>
          <w:rStyle w:val="CharSectno"/>
        </w:rPr>
        <w:t>41</w:t>
      </w:r>
      <w:r>
        <w:rPr>
          <w:snapToGrid w:val="0"/>
        </w:rPr>
        <w:t>.</w:t>
      </w:r>
      <w:r>
        <w:rPr>
          <w:snapToGrid w:val="0"/>
        </w:rPr>
        <w:tab/>
        <w:t>Provisions for payment of long service leave charges by executors or administrators</w:t>
      </w:r>
      <w:bookmarkEnd w:id="209"/>
      <w:bookmarkEnd w:id="210"/>
      <w:bookmarkEnd w:id="211"/>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12" w:name="_Toc95730184"/>
      <w:bookmarkStart w:id="213" w:name="_Toc147630811"/>
      <w:bookmarkStart w:id="214" w:name="_Toc241051521"/>
      <w:r>
        <w:rPr>
          <w:rStyle w:val="CharSectno"/>
        </w:rPr>
        <w:t>42</w:t>
      </w:r>
      <w:r>
        <w:rPr>
          <w:snapToGrid w:val="0"/>
        </w:rPr>
        <w:t>.</w:t>
      </w:r>
      <w:r>
        <w:rPr>
          <w:snapToGrid w:val="0"/>
        </w:rPr>
        <w:tab/>
        <w:t>Contributions by joint employers</w:t>
      </w:r>
      <w:bookmarkEnd w:id="212"/>
      <w:bookmarkEnd w:id="213"/>
      <w:bookmarkEnd w:id="214"/>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15" w:name="_Toc95730185"/>
      <w:bookmarkStart w:id="216" w:name="_Toc147630812"/>
      <w:bookmarkStart w:id="217" w:name="_Toc241051522"/>
      <w:r>
        <w:rPr>
          <w:rStyle w:val="CharSectno"/>
        </w:rPr>
        <w:t>43</w:t>
      </w:r>
      <w:r>
        <w:rPr>
          <w:snapToGrid w:val="0"/>
        </w:rPr>
        <w:t>.</w:t>
      </w:r>
      <w:r>
        <w:rPr>
          <w:snapToGrid w:val="0"/>
        </w:rPr>
        <w:tab/>
        <w:t>Payment of penalties no relief from contributions</w:t>
      </w:r>
      <w:bookmarkEnd w:id="215"/>
      <w:bookmarkEnd w:id="216"/>
      <w:bookmarkEnd w:id="21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18" w:name="_Toc95729769"/>
      <w:bookmarkStart w:id="219" w:name="_Toc95729834"/>
      <w:bookmarkStart w:id="220" w:name="_Toc95730186"/>
      <w:bookmarkStart w:id="221" w:name="_Toc95730260"/>
      <w:bookmarkStart w:id="222" w:name="_Toc97003747"/>
      <w:bookmarkStart w:id="223" w:name="_Toc102810466"/>
      <w:bookmarkStart w:id="224" w:name="_Toc116956565"/>
      <w:bookmarkStart w:id="225" w:name="_Toc116956629"/>
      <w:bookmarkStart w:id="226" w:name="_Toc116960894"/>
      <w:bookmarkStart w:id="227" w:name="_Toc118525529"/>
      <w:bookmarkStart w:id="228" w:name="_Toc118525835"/>
      <w:bookmarkStart w:id="229" w:name="_Toc120001211"/>
      <w:bookmarkStart w:id="230" w:name="_Toc139864297"/>
      <w:bookmarkStart w:id="231" w:name="_Toc140029751"/>
      <w:bookmarkStart w:id="232" w:name="_Toc140029819"/>
      <w:bookmarkStart w:id="233" w:name="_Toc147305059"/>
      <w:bookmarkStart w:id="234" w:name="_Toc147313834"/>
      <w:bookmarkStart w:id="235" w:name="_Toc147630439"/>
      <w:bookmarkStart w:id="236" w:name="_Toc147630813"/>
      <w:bookmarkStart w:id="237" w:name="_Toc147631958"/>
      <w:bookmarkStart w:id="238" w:name="_Toc147632027"/>
      <w:bookmarkStart w:id="239" w:name="_Toc157844315"/>
      <w:bookmarkStart w:id="240" w:name="_Toc241051523"/>
      <w:r>
        <w:rPr>
          <w:rStyle w:val="CharPartNo"/>
        </w:rPr>
        <w:t>Part V</w:t>
      </w:r>
      <w:r>
        <w:rPr>
          <w:rStyle w:val="CharDivNo"/>
        </w:rPr>
        <w:t> </w:t>
      </w:r>
      <w:r>
        <w:t>—</w:t>
      </w:r>
      <w:r>
        <w:rPr>
          <w:rStyle w:val="CharDivText"/>
        </w:rPr>
        <w:t> </w:t>
      </w:r>
      <w:r>
        <w:rPr>
          <w:rStyle w:val="CharPartText"/>
        </w:rPr>
        <w:t>Miscellaneous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95730187"/>
      <w:bookmarkStart w:id="242" w:name="_Toc147630814"/>
      <w:bookmarkStart w:id="243" w:name="_Toc241051524"/>
      <w:r>
        <w:rPr>
          <w:rStyle w:val="CharSectno"/>
        </w:rPr>
        <w:t>44</w:t>
      </w:r>
      <w:r>
        <w:rPr>
          <w:snapToGrid w:val="0"/>
        </w:rPr>
        <w:t>.</w:t>
      </w:r>
      <w:r>
        <w:rPr>
          <w:snapToGrid w:val="0"/>
        </w:rPr>
        <w:tab/>
        <w:t>Inspectors</w:t>
      </w:r>
      <w:bookmarkEnd w:id="241"/>
      <w:bookmarkEnd w:id="242"/>
      <w:bookmarkEnd w:id="243"/>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44" w:name="_Toc95730188"/>
      <w:bookmarkStart w:id="245" w:name="_Toc147630815"/>
      <w:bookmarkStart w:id="246" w:name="_Toc241051525"/>
      <w:r>
        <w:rPr>
          <w:rStyle w:val="CharSectno"/>
        </w:rPr>
        <w:t>45</w:t>
      </w:r>
      <w:r>
        <w:rPr>
          <w:snapToGrid w:val="0"/>
        </w:rPr>
        <w:t>.</w:t>
      </w:r>
      <w:r>
        <w:rPr>
          <w:snapToGrid w:val="0"/>
        </w:rPr>
        <w:tab/>
        <w:t>Power to obtain information and evidence</w:t>
      </w:r>
      <w:bookmarkEnd w:id="244"/>
      <w:bookmarkEnd w:id="245"/>
      <w:bookmarkEnd w:id="246"/>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47" w:name="_Toc95730189"/>
      <w:bookmarkStart w:id="248" w:name="_Toc147630816"/>
      <w:bookmarkStart w:id="249" w:name="_Toc241051526"/>
      <w:r>
        <w:rPr>
          <w:rStyle w:val="CharSectno"/>
        </w:rPr>
        <w:t>46</w:t>
      </w:r>
      <w:r>
        <w:rPr>
          <w:snapToGrid w:val="0"/>
        </w:rPr>
        <w:t>.</w:t>
      </w:r>
      <w:r>
        <w:rPr>
          <w:snapToGrid w:val="0"/>
        </w:rPr>
        <w:tab/>
        <w:t>Access to books etc.</w:t>
      </w:r>
      <w:bookmarkEnd w:id="247"/>
      <w:bookmarkEnd w:id="248"/>
      <w:bookmarkEnd w:id="24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250" w:name="_Toc95730190"/>
      <w:bookmarkStart w:id="251" w:name="_Toc147630817"/>
      <w:bookmarkStart w:id="252" w:name="_Toc241051527"/>
      <w:r>
        <w:rPr>
          <w:rStyle w:val="CharSectno"/>
        </w:rPr>
        <w:t>47</w:t>
      </w:r>
      <w:r>
        <w:rPr>
          <w:snapToGrid w:val="0"/>
        </w:rPr>
        <w:t>.</w:t>
      </w:r>
      <w:r>
        <w:rPr>
          <w:snapToGrid w:val="0"/>
        </w:rPr>
        <w:tab/>
        <w:t>Proceedings for offences against this Act</w:t>
      </w:r>
      <w:bookmarkEnd w:id="250"/>
      <w:bookmarkEnd w:id="251"/>
      <w:bookmarkEnd w:id="252"/>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253" w:name="_Toc95730191"/>
      <w:bookmarkStart w:id="254" w:name="_Toc147630818"/>
      <w:bookmarkStart w:id="255" w:name="_Toc241051528"/>
      <w:r>
        <w:rPr>
          <w:rStyle w:val="CharSectno"/>
        </w:rPr>
        <w:t>48</w:t>
      </w:r>
      <w:r>
        <w:rPr>
          <w:snapToGrid w:val="0"/>
        </w:rPr>
        <w:t>.</w:t>
      </w:r>
      <w:r>
        <w:rPr>
          <w:snapToGrid w:val="0"/>
        </w:rPr>
        <w:tab/>
        <w:t>Institution of proceedings</w:t>
      </w:r>
      <w:bookmarkEnd w:id="253"/>
      <w:bookmarkEnd w:id="254"/>
      <w:bookmarkEnd w:id="255"/>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256" w:name="_Toc95730192"/>
      <w:bookmarkStart w:id="257" w:name="_Toc147630819"/>
      <w:bookmarkStart w:id="258" w:name="_Toc241051529"/>
      <w:r>
        <w:rPr>
          <w:rStyle w:val="CharSectno"/>
        </w:rPr>
        <w:t>49</w:t>
      </w:r>
      <w:r>
        <w:rPr>
          <w:snapToGrid w:val="0"/>
        </w:rPr>
        <w:t>.</w:t>
      </w:r>
      <w:r>
        <w:rPr>
          <w:snapToGrid w:val="0"/>
        </w:rPr>
        <w:tab/>
        <w:t>Evidence</w:t>
      </w:r>
      <w:bookmarkEnd w:id="256"/>
      <w:bookmarkEnd w:id="257"/>
      <w:bookmarkEnd w:id="258"/>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259" w:name="_Toc95730193"/>
      <w:bookmarkStart w:id="260" w:name="_Toc147630820"/>
      <w:bookmarkStart w:id="261" w:name="_Toc241051530"/>
      <w:r>
        <w:rPr>
          <w:rStyle w:val="CharSectno"/>
        </w:rPr>
        <w:t>50</w:t>
      </w:r>
      <w:r>
        <w:rPr>
          <w:snapToGrid w:val="0"/>
        </w:rPr>
        <w:t>.</w:t>
      </w:r>
      <w:r>
        <w:rPr>
          <w:snapToGrid w:val="0"/>
        </w:rPr>
        <w:tab/>
        <w:t>Appeals</w:t>
      </w:r>
      <w:bookmarkEnd w:id="259"/>
      <w:bookmarkEnd w:id="260"/>
      <w:bookmarkEnd w:id="261"/>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262" w:name="_Toc95730194"/>
      <w:bookmarkStart w:id="263" w:name="_Toc147630821"/>
      <w:bookmarkStart w:id="264" w:name="_Toc241051531"/>
      <w:r>
        <w:rPr>
          <w:rStyle w:val="CharSectno"/>
        </w:rPr>
        <w:t>51</w:t>
      </w:r>
      <w:r>
        <w:rPr>
          <w:snapToGrid w:val="0"/>
        </w:rPr>
        <w:t>.</w:t>
      </w:r>
      <w:r>
        <w:rPr>
          <w:snapToGrid w:val="0"/>
        </w:rPr>
        <w:tab/>
        <w:t>Employee accumulating continuous service in more than one capacity</w:t>
      </w:r>
      <w:bookmarkEnd w:id="262"/>
      <w:bookmarkEnd w:id="263"/>
      <w:bookmarkEnd w:id="264"/>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265"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rPr>
          <w:snapToGrid w:val="0"/>
        </w:rPr>
      </w:pPr>
      <w:bookmarkStart w:id="266" w:name="_Toc147630822"/>
      <w:bookmarkStart w:id="267" w:name="_Toc241051532"/>
      <w:r>
        <w:rPr>
          <w:rStyle w:val="CharSectno"/>
        </w:rPr>
        <w:t>52</w:t>
      </w:r>
      <w:r>
        <w:rPr>
          <w:snapToGrid w:val="0"/>
        </w:rPr>
        <w:t>.</w:t>
      </w:r>
      <w:r>
        <w:rPr>
          <w:snapToGrid w:val="0"/>
        </w:rPr>
        <w:tab/>
        <w:t>Obstructing an inspector or other persons</w:t>
      </w:r>
      <w:bookmarkEnd w:id="265"/>
      <w:bookmarkEnd w:id="266"/>
      <w:bookmarkEnd w:id="267"/>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268" w:name="_Toc95730196"/>
      <w:bookmarkStart w:id="269" w:name="_Toc147630823"/>
      <w:bookmarkStart w:id="270" w:name="_Toc241051533"/>
      <w:r>
        <w:rPr>
          <w:rStyle w:val="CharSectno"/>
        </w:rPr>
        <w:t>53</w:t>
      </w:r>
      <w:r>
        <w:rPr>
          <w:snapToGrid w:val="0"/>
        </w:rPr>
        <w:t>.</w:t>
      </w:r>
      <w:r>
        <w:rPr>
          <w:snapToGrid w:val="0"/>
        </w:rPr>
        <w:tab/>
        <w:t>Protection of persons giving information under this Act</w:t>
      </w:r>
      <w:bookmarkEnd w:id="268"/>
      <w:bookmarkEnd w:id="269"/>
      <w:bookmarkEnd w:id="270"/>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271" w:name="_Toc95730197"/>
      <w:bookmarkStart w:id="272" w:name="_Toc147630824"/>
      <w:bookmarkStart w:id="273" w:name="_Toc241051534"/>
      <w:r>
        <w:rPr>
          <w:rStyle w:val="CharSectno"/>
        </w:rPr>
        <w:t>54</w:t>
      </w:r>
      <w:r>
        <w:rPr>
          <w:snapToGrid w:val="0"/>
        </w:rPr>
        <w:t>.</w:t>
      </w:r>
      <w:r>
        <w:rPr>
          <w:snapToGrid w:val="0"/>
        </w:rPr>
        <w:tab/>
        <w:t>Secrecy</w:t>
      </w:r>
      <w:bookmarkEnd w:id="271"/>
      <w:bookmarkEnd w:id="272"/>
      <w:bookmarkEnd w:id="27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274" w:name="_Toc95730198"/>
      <w:bookmarkStart w:id="275" w:name="_Toc147630825"/>
      <w:bookmarkStart w:id="276" w:name="_Toc241051535"/>
      <w:r>
        <w:rPr>
          <w:rStyle w:val="CharSectno"/>
        </w:rPr>
        <w:t>55</w:t>
      </w:r>
      <w:r>
        <w:rPr>
          <w:snapToGrid w:val="0"/>
        </w:rPr>
        <w:t>.</w:t>
      </w:r>
      <w:r>
        <w:rPr>
          <w:snapToGrid w:val="0"/>
        </w:rPr>
        <w:tab/>
        <w:t>Effect of other awards or agreements</w:t>
      </w:r>
      <w:bookmarkEnd w:id="274"/>
      <w:bookmarkEnd w:id="275"/>
      <w:bookmarkEnd w:id="276"/>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277" w:name="_Toc147630826"/>
      <w:bookmarkStart w:id="278" w:name="_Toc241051536"/>
      <w:bookmarkStart w:id="279" w:name="_Toc95730199"/>
      <w:r>
        <w:rPr>
          <w:rStyle w:val="CharSectno"/>
        </w:rPr>
        <w:t>56</w:t>
      </w:r>
      <w:r>
        <w:t>.</w:t>
      </w:r>
      <w:r>
        <w:tab/>
        <w:t>Transitional provisions</w:t>
      </w:r>
      <w:bookmarkEnd w:id="277"/>
      <w:bookmarkEnd w:id="27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280" w:name="_Toc147630827"/>
      <w:bookmarkStart w:id="281" w:name="_Toc241051537"/>
      <w:r>
        <w:rPr>
          <w:rStyle w:val="CharSectno"/>
        </w:rPr>
        <w:t>57</w:t>
      </w:r>
      <w:r>
        <w:rPr>
          <w:snapToGrid w:val="0"/>
        </w:rPr>
        <w:t>.</w:t>
      </w:r>
      <w:r>
        <w:rPr>
          <w:snapToGrid w:val="0"/>
        </w:rPr>
        <w:tab/>
        <w:t>Regulations</w:t>
      </w:r>
      <w:bookmarkEnd w:id="279"/>
      <w:bookmarkEnd w:id="280"/>
      <w:bookmarkEnd w:id="28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82" w:name="_Toc95729783"/>
      <w:bookmarkStart w:id="283" w:name="_Toc95729848"/>
      <w:bookmarkStart w:id="284" w:name="_Toc95730200"/>
      <w:bookmarkStart w:id="285" w:name="_Toc116956579"/>
      <w:bookmarkStart w:id="286" w:name="_Toc116956643"/>
      <w:bookmarkStart w:id="287" w:name="_Toc116960908"/>
      <w:bookmarkStart w:id="288" w:name="_Toc118525543"/>
      <w:bookmarkStart w:id="289" w:name="_Toc118525849"/>
      <w:bookmarkStart w:id="290" w:name="_Toc120001225"/>
      <w:bookmarkStart w:id="291" w:name="_Toc139864311"/>
      <w:bookmarkStart w:id="292" w:name="_Toc140029765"/>
      <w:bookmarkStart w:id="293" w:name="_Toc140029833"/>
      <w:bookmarkStart w:id="294" w:name="_Toc147305074"/>
      <w:bookmarkStart w:id="295" w:name="_Toc147313849"/>
      <w:bookmarkStart w:id="296" w:name="_Toc147630454"/>
      <w:bookmarkStart w:id="297" w:name="_Toc147630828"/>
      <w:bookmarkStart w:id="298" w:name="_Toc147631973"/>
      <w:bookmarkStart w:id="299" w:name="_Toc147632042"/>
      <w:bookmarkStart w:id="300" w:name="_Toc157844330"/>
      <w:bookmarkStart w:id="301" w:name="_Toc241051538"/>
      <w:r>
        <w:rPr>
          <w:rStyle w:val="CharSchNo"/>
        </w:rPr>
        <w:t>Schedule</w:t>
      </w:r>
      <w:bookmarkEnd w:id="282"/>
      <w:bookmarkEnd w:id="283"/>
      <w:bookmarkEnd w:id="284"/>
      <w:bookmarkEnd w:id="285"/>
      <w:bookmarkEnd w:id="286"/>
      <w:bookmarkEnd w:id="287"/>
      <w:bookmarkEnd w:id="288"/>
      <w:bookmarkEnd w:id="289"/>
      <w:bookmarkEnd w:id="290"/>
      <w:bookmarkEnd w:id="291"/>
      <w:bookmarkEnd w:id="292"/>
      <w:bookmarkEnd w:id="293"/>
      <w:r>
        <w:rPr>
          <w:b w:val="0"/>
          <w:bCs/>
        </w:rPr>
        <w:t xml:space="preserve"> — </w:t>
      </w:r>
      <w:r>
        <w:rPr>
          <w:rStyle w:val="CharSchText"/>
        </w:rPr>
        <w:t>Transitional provisions</w:t>
      </w:r>
      <w:bookmarkEnd w:id="294"/>
      <w:bookmarkEnd w:id="295"/>
      <w:bookmarkEnd w:id="296"/>
      <w:bookmarkEnd w:id="297"/>
      <w:bookmarkEnd w:id="298"/>
      <w:bookmarkEnd w:id="299"/>
      <w:bookmarkEnd w:id="300"/>
      <w:bookmarkEnd w:id="301"/>
    </w:p>
    <w:p>
      <w:pPr>
        <w:pStyle w:val="yFootnoteheading"/>
        <w:rPr>
          <w:snapToGrid w:val="0"/>
        </w:rPr>
      </w:pPr>
      <w:r>
        <w:rPr>
          <w:snapToGrid w:val="0"/>
        </w:rPr>
        <w:tab/>
        <w:t>[Heading amended by No. 36 of 2006 s. 52.]</w:t>
      </w:r>
    </w:p>
    <w:p>
      <w:pPr>
        <w:pStyle w:val="yShoulderClause"/>
        <w:rPr>
          <w:snapToGrid w:val="0"/>
        </w:rPr>
      </w:pPr>
      <w:r>
        <w:t>[s. 56]</w:t>
      </w:r>
    </w:p>
    <w:p>
      <w:pPr>
        <w:pStyle w:val="yHeading2"/>
        <w:outlineLvl w:val="9"/>
      </w:pPr>
      <w:bookmarkStart w:id="302" w:name="_Toc147305076"/>
      <w:bookmarkStart w:id="303" w:name="_Toc147313851"/>
      <w:bookmarkStart w:id="304" w:name="_Toc147630455"/>
      <w:bookmarkStart w:id="305" w:name="_Toc147630829"/>
      <w:bookmarkStart w:id="306" w:name="_Toc147631974"/>
      <w:bookmarkStart w:id="307" w:name="_Toc147632043"/>
      <w:bookmarkStart w:id="308" w:name="_Toc157844331"/>
      <w:bookmarkStart w:id="309" w:name="_Toc241051539"/>
      <w:r>
        <w:rPr>
          <w:rStyle w:val="CharSDivNo"/>
          <w:snapToGrid/>
        </w:rPr>
        <w:t>Division 1</w:t>
      </w:r>
      <w:r>
        <w:rPr>
          <w:snapToGrid/>
        </w:rPr>
        <w:t> — </w:t>
      </w:r>
      <w:r>
        <w:rPr>
          <w:rStyle w:val="CharSDivText"/>
        </w:rPr>
        <w:t>The appointed day</w:t>
      </w:r>
      <w:bookmarkEnd w:id="302"/>
      <w:bookmarkEnd w:id="303"/>
      <w:bookmarkEnd w:id="304"/>
      <w:bookmarkEnd w:id="305"/>
      <w:bookmarkEnd w:id="306"/>
      <w:bookmarkEnd w:id="307"/>
      <w:bookmarkEnd w:id="308"/>
      <w:bookmarkEnd w:id="309"/>
    </w:p>
    <w:p>
      <w:pPr>
        <w:pStyle w:val="yFootnoteheading"/>
        <w:rPr>
          <w:snapToGrid w:val="0"/>
        </w:rPr>
      </w:pPr>
      <w:r>
        <w:rPr>
          <w:snapToGrid w:val="0"/>
        </w:rPr>
        <w:tab/>
        <w:t>[Heading amended by No. 36 of 2006 s. 52.]</w:t>
      </w:r>
    </w:p>
    <w:p>
      <w:pPr>
        <w:pStyle w:val="yHeading5"/>
        <w:rPr>
          <w:snapToGrid w:val="0"/>
        </w:rPr>
      </w:pPr>
      <w:bookmarkStart w:id="310" w:name="_Toc147630830"/>
      <w:bookmarkStart w:id="311" w:name="_Toc241051540"/>
      <w:r>
        <w:rPr>
          <w:snapToGrid w:val="0"/>
        </w:rPr>
        <w:t>1.</w:t>
      </w:r>
      <w:bookmarkEnd w:id="310"/>
      <w:bookmarkEnd w:id="311"/>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312" w:name="_Toc147630831"/>
      <w:bookmarkStart w:id="313" w:name="_Toc241051541"/>
      <w:r>
        <w:rPr>
          <w:snapToGrid w:val="0"/>
        </w:rPr>
        <w:t>2.</w:t>
      </w:r>
      <w:bookmarkEnd w:id="312"/>
      <w:bookmarkEnd w:id="313"/>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Footnotesection"/>
      </w:pPr>
      <w:r>
        <w:tab/>
        <w:t>[Division 1 amended by No. 36 of 2006 s. 52.]</w:t>
      </w:r>
    </w:p>
    <w:p>
      <w:pPr>
        <w:pStyle w:val="yHeading3"/>
        <w:rPr>
          <w:i/>
          <w:iCs/>
        </w:rPr>
      </w:pPr>
      <w:bookmarkStart w:id="314" w:name="_Toc147305079"/>
      <w:bookmarkStart w:id="315" w:name="_Toc147313854"/>
      <w:bookmarkStart w:id="316" w:name="_Toc147630458"/>
      <w:bookmarkStart w:id="317" w:name="_Toc147630832"/>
      <w:bookmarkStart w:id="318" w:name="_Toc147631977"/>
      <w:bookmarkStart w:id="319" w:name="_Toc147632046"/>
      <w:bookmarkStart w:id="320" w:name="_Toc157844334"/>
      <w:bookmarkStart w:id="321" w:name="_Toc241051542"/>
      <w:r>
        <w:rPr>
          <w:rStyle w:val="CharSDivNo"/>
        </w:rPr>
        <w:t>Division 2</w:t>
      </w:r>
      <w:r>
        <w:rPr>
          <w:sz w:val="28"/>
        </w:rPr>
        <w:t> — </w:t>
      </w:r>
      <w:r>
        <w:rPr>
          <w:rStyle w:val="CharSDivText"/>
          <w:snapToGrid w:val="0"/>
        </w:rPr>
        <w:t>The Labour Relations Legislation Amendment Act 2006</w:t>
      </w:r>
      <w:bookmarkEnd w:id="314"/>
      <w:bookmarkEnd w:id="315"/>
      <w:bookmarkEnd w:id="316"/>
      <w:bookmarkEnd w:id="317"/>
      <w:bookmarkEnd w:id="318"/>
      <w:bookmarkEnd w:id="319"/>
      <w:bookmarkEnd w:id="320"/>
      <w:bookmarkEnd w:id="321"/>
    </w:p>
    <w:p>
      <w:pPr>
        <w:pStyle w:val="yFootnoteheading"/>
        <w:rPr>
          <w:snapToGrid w:val="0"/>
        </w:rPr>
      </w:pPr>
      <w:r>
        <w:tab/>
      </w:r>
      <w:r>
        <w:rPr>
          <w:snapToGrid w:val="0"/>
        </w:rPr>
        <w:t>[Heading inserted by No. 36 of 2006 s. 52.]</w:t>
      </w:r>
    </w:p>
    <w:p>
      <w:pPr>
        <w:pStyle w:val="yHeading5"/>
      </w:pPr>
      <w:bookmarkStart w:id="322" w:name="_Toc147630833"/>
      <w:bookmarkStart w:id="323" w:name="_Toc241051543"/>
      <w:r>
        <w:t>3.</w:t>
      </w:r>
      <w:r>
        <w:rPr>
          <w:b w:val="0"/>
        </w:rPr>
        <w:tab/>
      </w:r>
      <w:r>
        <w:t>Service prior to commencement day</w:t>
      </w:r>
      <w:bookmarkEnd w:id="322"/>
      <w:bookmarkEnd w:id="323"/>
    </w:p>
    <w:p>
      <w:pPr>
        <w:pStyle w:val="ySubsection"/>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 xml:space="preserve">if the employee has completed at least 14 years service prior to the commencement </w:t>
      </w:r>
      <w:r>
        <w:br/>
        <w:t>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p>
    <w:p>
      <w:pPr>
        <w:pStyle w:val="yFootnotesection"/>
      </w:pPr>
      <w:r>
        <w:tab/>
        <w:t>[Division 2 inserted by No. 36 of 2006 s. 52.]</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24" w:name="_Toc95729784"/>
      <w:bookmarkStart w:id="325" w:name="_Toc95729849"/>
      <w:bookmarkStart w:id="326" w:name="_Toc95730201"/>
      <w:bookmarkStart w:id="327" w:name="_Toc95730275"/>
      <w:bookmarkStart w:id="328" w:name="_Toc97003762"/>
      <w:bookmarkStart w:id="329" w:name="_Toc102810481"/>
      <w:bookmarkStart w:id="330" w:name="_Toc116956580"/>
      <w:bookmarkStart w:id="331" w:name="_Toc116956644"/>
      <w:bookmarkStart w:id="332" w:name="_Toc116960910"/>
      <w:bookmarkStart w:id="333" w:name="_Toc118525545"/>
      <w:bookmarkStart w:id="334" w:name="_Toc118525851"/>
      <w:bookmarkStart w:id="335" w:name="_Toc120001227"/>
      <w:bookmarkStart w:id="336" w:name="_Toc139864315"/>
      <w:bookmarkStart w:id="337" w:name="_Toc140029769"/>
      <w:bookmarkStart w:id="338" w:name="_Toc140029837"/>
      <w:bookmarkStart w:id="339" w:name="_Toc147305081"/>
      <w:bookmarkStart w:id="340" w:name="_Toc147313856"/>
      <w:bookmarkStart w:id="341" w:name="_Toc147630460"/>
      <w:bookmarkStart w:id="342" w:name="_Toc147630834"/>
      <w:bookmarkStart w:id="343" w:name="_Toc147631979"/>
      <w:bookmarkStart w:id="344" w:name="_Toc147632048"/>
      <w:bookmarkStart w:id="345" w:name="_Toc157844336"/>
      <w:bookmarkStart w:id="346" w:name="_Toc241051544"/>
      <w:r>
        <w:t>Notes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7" w:name="_Toc147630835"/>
      <w:bookmarkStart w:id="348" w:name="_Toc241051545"/>
      <w:r>
        <w:rPr>
          <w:snapToGrid w:val="0"/>
        </w:rPr>
        <w:t>Compilation table</w:t>
      </w:r>
      <w:bookmarkEnd w:id="347"/>
      <w:bookmarkEnd w:id="348"/>
    </w:p>
    <w:tbl>
      <w:tblPr>
        <w:tblW w:w="7057" w:type="dxa"/>
        <w:tblInd w:w="96" w:type="dxa"/>
        <w:tblLayout w:type="fixed"/>
        <w:tblCellMar>
          <w:left w:w="56" w:type="dxa"/>
          <w:right w:w="56" w:type="dxa"/>
        </w:tblCellMar>
        <w:tblLook w:val="0000" w:firstRow="0" w:lastRow="0" w:firstColumn="0" w:lastColumn="0" w:noHBand="0" w:noVBand="0"/>
      </w:tblPr>
      <w:tblGrid>
        <w:gridCol w:w="2186"/>
        <w:gridCol w:w="22"/>
        <w:gridCol w:w="46"/>
        <w:gridCol w:w="1066"/>
        <w:gridCol w:w="62"/>
        <w:gridCol w:w="1128"/>
        <w:gridCol w:w="10"/>
        <w:gridCol w:w="13"/>
        <w:gridCol w:w="2515"/>
        <w:gridCol w:w="9"/>
      </w:tblGrid>
      <w:tr>
        <w:trPr>
          <w:gridAfter w:val="1"/>
          <w:wAfter w:w="9" w:type="dxa"/>
          <w:cantSplit/>
          <w:tblHeader/>
        </w:trPr>
        <w:tc>
          <w:tcPr>
            <w:tcW w:w="2254" w:type="dxa"/>
            <w:gridSpan w:val="3"/>
            <w:tcBorders>
              <w:top w:val="single" w:sz="8" w:space="0" w:color="auto"/>
              <w:bottom w:val="single" w:sz="8" w:space="0" w:color="auto"/>
            </w:tcBorders>
          </w:tcPr>
          <w:p>
            <w:pPr>
              <w:pStyle w:val="nTable"/>
              <w:spacing w:after="40"/>
              <w:ind w:right="170"/>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54" w:type="dxa"/>
            <w:gridSpan w:val="3"/>
          </w:tcPr>
          <w:p>
            <w:pPr>
              <w:pStyle w:val="nTable"/>
              <w:spacing w:after="40"/>
              <w:ind w:right="170"/>
              <w:rPr>
                <w:sz w:val="19"/>
              </w:rPr>
            </w:pPr>
            <w:r>
              <w:rPr>
                <w:i/>
                <w:sz w:val="19"/>
              </w:rPr>
              <w:t>Construction Industry Portable Paid Long Service Leave Act 1985</w:t>
            </w:r>
          </w:p>
        </w:tc>
        <w:tc>
          <w:tcPr>
            <w:tcW w:w="1128" w:type="dxa"/>
            <w:gridSpan w:val="2"/>
          </w:tcPr>
          <w:p>
            <w:pPr>
              <w:pStyle w:val="nTable"/>
              <w:spacing w:after="40"/>
              <w:rPr>
                <w:sz w:val="19"/>
              </w:rPr>
            </w:pPr>
            <w:r>
              <w:rPr>
                <w:sz w:val="19"/>
              </w:rPr>
              <w:t>72 of 1985</w:t>
            </w:r>
          </w:p>
        </w:tc>
        <w:tc>
          <w:tcPr>
            <w:tcW w:w="1128" w:type="dxa"/>
          </w:tcPr>
          <w:p>
            <w:pPr>
              <w:pStyle w:val="nTable"/>
              <w:spacing w:after="40"/>
              <w:rPr>
                <w:sz w:val="19"/>
              </w:rPr>
            </w:pPr>
            <w:r>
              <w:rPr>
                <w:sz w:val="19"/>
              </w:rPr>
              <w:t>13 Dec 1985</w:t>
            </w:r>
          </w:p>
        </w:tc>
        <w:tc>
          <w:tcPr>
            <w:tcW w:w="2538" w:type="dxa"/>
            <w:gridSpan w:val="3"/>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gridAfter w:val="1"/>
          <w:wAfter w:w="9" w:type="dxa"/>
          <w:cantSplit/>
        </w:trPr>
        <w:tc>
          <w:tcPr>
            <w:tcW w:w="2254" w:type="dxa"/>
            <w:gridSpan w:val="3"/>
          </w:tcPr>
          <w:p>
            <w:pPr>
              <w:pStyle w:val="nTable"/>
              <w:spacing w:after="40"/>
              <w:ind w:right="170"/>
              <w:rPr>
                <w:sz w:val="19"/>
              </w:rPr>
            </w:pPr>
            <w:r>
              <w:rPr>
                <w:i/>
                <w:sz w:val="19"/>
              </w:rPr>
              <w:t>Act Amendment (Financial Administration and Audit) Act 1986</w:t>
            </w:r>
            <w:r>
              <w:rPr>
                <w:sz w:val="19"/>
              </w:rPr>
              <w:t xml:space="preserve"> s. 4</w:t>
            </w:r>
          </w:p>
        </w:tc>
        <w:tc>
          <w:tcPr>
            <w:tcW w:w="1128" w:type="dxa"/>
            <w:gridSpan w:val="2"/>
          </w:tcPr>
          <w:p>
            <w:pPr>
              <w:pStyle w:val="nTable"/>
              <w:spacing w:after="40"/>
              <w:rPr>
                <w:sz w:val="19"/>
              </w:rPr>
            </w:pPr>
            <w:r>
              <w:rPr>
                <w:sz w:val="19"/>
              </w:rPr>
              <w:t>4 of 1986</w:t>
            </w:r>
          </w:p>
        </w:tc>
        <w:tc>
          <w:tcPr>
            <w:tcW w:w="1128" w:type="dxa"/>
          </w:tcPr>
          <w:p>
            <w:pPr>
              <w:pStyle w:val="nTable"/>
              <w:spacing w:after="40"/>
              <w:rPr>
                <w:sz w:val="19"/>
              </w:rPr>
            </w:pPr>
            <w:r>
              <w:rPr>
                <w:sz w:val="19"/>
              </w:rPr>
              <w:t>27 Jun 1986</w:t>
            </w:r>
          </w:p>
        </w:tc>
        <w:tc>
          <w:tcPr>
            <w:tcW w:w="2538" w:type="dxa"/>
            <w:gridSpan w:val="3"/>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gridAfter w:val="1"/>
          <w:wAfter w:w="9" w:type="dxa"/>
          <w:cantSplit/>
        </w:trPr>
        <w:tc>
          <w:tcPr>
            <w:tcW w:w="2254" w:type="dxa"/>
            <w:gridSpan w:val="3"/>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28" w:type="dxa"/>
            <w:gridSpan w:val="2"/>
          </w:tcPr>
          <w:p>
            <w:pPr>
              <w:pStyle w:val="nTable"/>
              <w:spacing w:after="40"/>
              <w:rPr>
                <w:sz w:val="19"/>
              </w:rPr>
            </w:pPr>
            <w:r>
              <w:rPr>
                <w:sz w:val="19"/>
              </w:rPr>
              <w:t>30 of 1989</w:t>
            </w:r>
          </w:p>
        </w:tc>
        <w:tc>
          <w:tcPr>
            <w:tcW w:w="1128" w:type="dxa"/>
          </w:tcPr>
          <w:p>
            <w:pPr>
              <w:pStyle w:val="nTable"/>
              <w:spacing w:after="40"/>
              <w:rPr>
                <w:sz w:val="19"/>
              </w:rPr>
            </w:pPr>
            <w:r>
              <w:rPr>
                <w:sz w:val="19"/>
              </w:rPr>
              <w:t>12 Dec 1989</w:t>
            </w:r>
          </w:p>
        </w:tc>
        <w:tc>
          <w:tcPr>
            <w:tcW w:w="2538" w:type="dxa"/>
            <w:gridSpan w:val="3"/>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gridAfter w:val="1"/>
          <w:wAfter w:w="9" w:type="dxa"/>
          <w:cantSplit/>
        </w:trPr>
        <w:tc>
          <w:tcPr>
            <w:tcW w:w="2254" w:type="dxa"/>
            <w:gridSpan w:val="3"/>
          </w:tcPr>
          <w:p>
            <w:pPr>
              <w:pStyle w:val="nTable"/>
              <w:spacing w:after="40"/>
              <w:ind w:right="170"/>
              <w:rPr>
                <w:sz w:val="19"/>
              </w:rPr>
            </w:pPr>
            <w:r>
              <w:rPr>
                <w:i/>
                <w:sz w:val="19"/>
              </w:rPr>
              <w:t>Financial Administration Legislation Amendment Act 1993</w:t>
            </w:r>
            <w:r>
              <w:rPr>
                <w:sz w:val="19"/>
              </w:rPr>
              <w:t xml:space="preserve"> s. 11</w:t>
            </w:r>
          </w:p>
        </w:tc>
        <w:tc>
          <w:tcPr>
            <w:tcW w:w="1128" w:type="dxa"/>
            <w:gridSpan w:val="2"/>
          </w:tcPr>
          <w:p>
            <w:pPr>
              <w:pStyle w:val="nTable"/>
              <w:spacing w:after="40"/>
              <w:rPr>
                <w:sz w:val="19"/>
              </w:rPr>
            </w:pPr>
            <w:r>
              <w:rPr>
                <w:sz w:val="19"/>
              </w:rPr>
              <w:t>6 of 1993</w:t>
            </w:r>
          </w:p>
        </w:tc>
        <w:tc>
          <w:tcPr>
            <w:tcW w:w="1128" w:type="dxa"/>
          </w:tcPr>
          <w:p>
            <w:pPr>
              <w:pStyle w:val="nTable"/>
              <w:spacing w:after="40"/>
              <w:rPr>
                <w:sz w:val="19"/>
              </w:rPr>
            </w:pPr>
            <w:r>
              <w:rPr>
                <w:sz w:val="19"/>
              </w:rPr>
              <w:t>27 Aug 1993</w:t>
            </w:r>
          </w:p>
        </w:tc>
        <w:tc>
          <w:tcPr>
            <w:tcW w:w="2538" w:type="dxa"/>
            <w:gridSpan w:val="3"/>
          </w:tcPr>
          <w:p>
            <w:pPr>
              <w:pStyle w:val="nTable"/>
              <w:spacing w:after="40"/>
              <w:rPr>
                <w:sz w:val="19"/>
              </w:rPr>
            </w:pPr>
            <w:r>
              <w:rPr>
                <w:sz w:val="19"/>
              </w:rPr>
              <w:t>1 Jul 1993 (see s. 2(1))</w:t>
            </w:r>
          </w:p>
        </w:tc>
      </w:tr>
      <w:tr>
        <w:trPr>
          <w:gridAfter w:val="1"/>
          <w:wAfter w:w="9" w:type="dxa"/>
          <w:cantSplit/>
        </w:trPr>
        <w:tc>
          <w:tcPr>
            <w:tcW w:w="2254" w:type="dxa"/>
            <w:gridSpan w:val="3"/>
          </w:tcPr>
          <w:p>
            <w:pPr>
              <w:pStyle w:val="nTable"/>
              <w:spacing w:after="40"/>
              <w:ind w:right="170"/>
              <w:rPr>
                <w:sz w:val="19"/>
              </w:rPr>
            </w:pPr>
            <w:r>
              <w:rPr>
                <w:i/>
                <w:sz w:val="19"/>
              </w:rPr>
              <w:t>Acts Amendment (Public Sector Management) Act 1994</w:t>
            </w:r>
            <w:r>
              <w:rPr>
                <w:sz w:val="19"/>
              </w:rPr>
              <w:t xml:space="preserve"> s. 3(2)</w:t>
            </w:r>
          </w:p>
        </w:tc>
        <w:tc>
          <w:tcPr>
            <w:tcW w:w="1128" w:type="dxa"/>
            <w:gridSpan w:val="2"/>
          </w:tcPr>
          <w:p>
            <w:pPr>
              <w:pStyle w:val="nTable"/>
              <w:spacing w:after="40"/>
              <w:rPr>
                <w:sz w:val="19"/>
              </w:rPr>
            </w:pPr>
            <w:r>
              <w:rPr>
                <w:sz w:val="19"/>
              </w:rPr>
              <w:t>32 of 1994</w:t>
            </w:r>
          </w:p>
        </w:tc>
        <w:tc>
          <w:tcPr>
            <w:tcW w:w="1128" w:type="dxa"/>
          </w:tcPr>
          <w:p>
            <w:pPr>
              <w:pStyle w:val="nTable"/>
              <w:spacing w:after="40"/>
              <w:rPr>
                <w:sz w:val="19"/>
              </w:rPr>
            </w:pPr>
            <w:r>
              <w:rPr>
                <w:sz w:val="19"/>
              </w:rPr>
              <w:t>29 Jun 1994</w:t>
            </w:r>
          </w:p>
        </w:tc>
        <w:tc>
          <w:tcPr>
            <w:tcW w:w="2538"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54" w:type="dxa"/>
            <w:gridSpan w:val="3"/>
          </w:tcPr>
          <w:p>
            <w:pPr>
              <w:pStyle w:val="nTable"/>
              <w:spacing w:after="40"/>
              <w:ind w:right="170"/>
              <w:rPr>
                <w:sz w:val="19"/>
              </w:rPr>
            </w:pPr>
            <w:r>
              <w:rPr>
                <w:i/>
                <w:sz w:val="19"/>
              </w:rPr>
              <w:t>Local Government (Consequential Amendments) Act 1996</w:t>
            </w:r>
            <w:r>
              <w:rPr>
                <w:sz w:val="19"/>
              </w:rPr>
              <w:t xml:space="preserve"> s. 4</w:t>
            </w:r>
          </w:p>
        </w:tc>
        <w:tc>
          <w:tcPr>
            <w:tcW w:w="1128" w:type="dxa"/>
            <w:gridSpan w:val="2"/>
          </w:tcPr>
          <w:p>
            <w:pPr>
              <w:pStyle w:val="nTable"/>
              <w:spacing w:after="40"/>
              <w:rPr>
                <w:sz w:val="19"/>
              </w:rPr>
            </w:pPr>
            <w:r>
              <w:rPr>
                <w:sz w:val="19"/>
              </w:rPr>
              <w:t>14 of 1996</w:t>
            </w:r>
          </w:p>
        </w:tc>
        <w:tc>
          <w:tcPr>
            <w:tcW w:w="1128" w:type="dxa"/>
          </w:tcPr>
          <w:p>
            <w:pPr>
              <w:pStyle w:val="nTable"/>
              <w:spacing w:after="40"/>
              <w:rPr>
                <w:sz w:val="19"/>
              </w:rPr>
            </w:pPr>
            <w:r>
              <w:rPr>
                <w:sz w:val="19"/>
              </w:rPr>
              <w:t>28 Jun 1996</w:t>
            </w:r>
          </w:p>
        </w:tc>
        <w:tc>
          <w:tcPr>
            <w:tcW w:w="2538" w:type="dxa"/>
            <w:gridSpan w:val="3"/>
          </w:tcPr>
          <w:p>
            <w:pPr>
              <w:pStyle w:val="nTable"/>
              <w:spacing w:after="40"/>
              <w:rPr>
                <w:sz w:val="19"/>
              </w:rPr>
            </w:pPr>
            <w:r>
              <w:rPr>
                <w:sz w:val="19"/>
              </w:rPr>
              <w:t>1 Jul 1996 (see s. 2)</w:t>
            </w:r>
          </w:p>
        </w:tc>
      </w:tr>
      <w:tr>
        <w:trPr>
          <w:gridAfter w:val="1"/>
          <w:wAfter w:w="9" w:type="dxa"/>
          <w:cantSplit/>
        </w:trPr>
        <w:tc>
          <w:tcPr>
            <w:tcW w:w="2254" w:type="dxa"/>
            <w:gridSpan w:val="3"/>
          </w:tcPr>
          <w:p>
            <w:pPr>
              <w:pStyle w:val="nTable"/>
              <w:spacing w:after="40"/>
              <w:ind w:right="170"/>
              <w:rPr>
                <w:sz w:val="19"/>
              </w:rPr>
            </w:pPr>
            <w:r>
              <w:rPr>
                <w:i/>
                <w:sz w:val="19"/>
              </w:rPr>
              <w:t>Financial Legislation Amendment Act 1996</w:t>
            </w:r>
            <w:r>
              <w:rPr>
                <w:sz w:val="19"/>
              </w:rPr>
              <w:t xml:space="preserve"> s. 64</w:t>
            </w:r>
          </w:p>
        </w:tc>
        <w:tc>
          <w:tcPr>
            <w:tcW w:w="1128" w:type="dxa"/>
            <w:gridSpan w:val="2"/>
          </w:tcPr>
          <w:p>
            <w:pPr>
              <w:pStyle w:val="nTable"/>
              <w:keepNext/>
              <w:spacing w:after="40"/>
              <w:rPr>
                <w:sz w:val="19"/>
              </w:rPr>
            </w:pPr>
            <w:r>
              <w:rPr>
                <w:sz w:val="19"/>
              </w:rPr>
              <w:t>49 of 1996</w:t>
            </w:r>
          </w:p>
        </w:tc>
        <w:tc>
          <w:tcPr>
            <w:tcW w:w="1128" w:type="dxa"/>
          </w:tcPr>
          <w:p>
            <w:pPr>
              <w:pStyle w:val="nTable"/>
              <w:spacing w:after="40"/>
              <w:rPr>
                <w:sz w:val="19"/>
              </w:rPr>
            </w:pPr>
            <w:r>
              <w:rPr>
                <w:sz w:val="19"/>
              </w:rPr>
              <w:t>25 Oct 1996</w:t>
            </w:r>
          </w:p>
        </w:tc>
        <w:tc>
          <w:tcPr>
            <w:tcW w:w="2538" w:type="dxa"/>
            <w:gridSpan w:val="3"/>
          </w:tcPr>
          <w:p>
            <w:pPr>
              <w:pStyle w:val="nTable"/>
              <w:spacing w:after="40"/>
              <w:rPr>
                <w:sz w:val="19"/>
              </w:rPr>
            </w:pPr>
            <w:r>
              <w:rPr>
                <w:sz w:val="19"/>
              </w:rPr>
              <w:t>25 Oct 1996 (see s. 2(1))</w:t>
            </w:r>
          </w:p>
        </w:tc>
      </w:tr>
      <w:tr>
        <w:trPr>
          <w:gridAfter w:val="1"/>
          <w:wAfter w:w="9" w:type="dxa"/>
          <w:cantSplit/>
        </w:trPr>
        <w:tc>
          <w:tcPr>
            <w:tcW w:w="2254" w:type="dxa"/>
            <w:gridSpan w:val="3"/>
          </w:tcPr>
          <w:p>
            <w:pPr>
              <w:pStyle w:val="nTable"/>
              <w:spacing w:after="40"/>
              <w:ind w:right="170"/>
              <w:rPr>
                <w:sz w:val="19"/>
              </w:rPr>
            </w:pPr>
            <w:r>
              <w:rPr>
                <w:i/>
                <w:sz w:val="19"/>
              </w:rPr>
              <w:t>Trustees Amendment Act 1997</w:t>
            </w:r>
            <w:r>
              <w:rPr>
                <w:sz w:val="19"/>
              </w:rPr>
              <w:t xml:space="preserve"> s. 18</w:t>
            </w:r>
          </w:p>
        </w:tc>
        <w:tc>
          <w:tcPr>
            <w:tcW w:w="1128" w:type="dxa"/>
            <w:gridSpan w:val="2"/>
          </w:tcPr>
          <w:p>
            <w:pPr>
              <w:pStyle w:val="nTable"/>
              <w:spacing w:after="40"/>
              <w:rPr>
                <w:sz w:val="19"/>
              </w:rPr>
            </w:pPr>
            <w:r>
              <w:rPr>
                <w:sz w:val="19"/>
              </w:rPr>
              <w:t>1 of 1997</w:t>
            </w:r>
          </w:p>
        </w:tc>
        <w:tc>
          <w:tcPr>
            <w:tcW w:w="1128" w:type="dxa"/>
          </w:tcPr>
          <w:p>
            <w:pPr>
              <w:pStyle w:val="nTable"/>
              <w:spacing w:after="40"/>
              <w:rPr>
                <w:sz w:val="19"/>
              </w:rPr>
            </w:pPr>
            <w:r>
              <w:rPr>
                <w:sz w:val="19"/>
              </w:rPr>
              <w:t>6 May 1997</w:t>
            </w:r>
          </w:p>
        </w:tc>
        <w:tc>
          <w:tcPr>
            <w:tcW w:w="2538"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9" w:type="dxa"/>
          <w:cantSplit/>
        </w:trPr>
        <w:tc>
          <w:tcPr>
            <w:tcW w:w="2254" w:type="dxa"/>
            <w:gridSpan w:val="3"/>
          </w:tcPr>
          <w:p>
            <w:pPr>
              <w:pStyle w:val="nTable"/>
              <w:spacing w:after="40"/>
              <w:ind w:right="170"/>
              <w:rPr>
                <w:sz w:val="19"/>
              </w:rPr>
            </w:pPr>
            <w:r>
              <w:rPr>
                <w:i/>
                <w:sz w:val="19"/>
              </w:rPr>
              <w:t>Statutes (Repeals and Minor Amendments) Act 1997</w:t>
            </w:r>
            <w:r>
              <w:rPr>
                <w:sz w:val="19"/>
              </w:rPr>
              <w:t xml:space="preserve"> s. 38</w:t>
            </w:r>
          </w:p>
        </w:tc>
        <w:tc>
          <w:tcPr>
            <w:tcW w:w="1128" w:type="dxa"/>
            <w:gridSpan w:val="2"/>
          </w:tcPr>
          <w:p>
            <w:pPr>
              <w:pStyle w:val="nTable"/>
              <w:spacing w:after="40"/>
              <w:rPr>
                <w:sz w:val="19"/>
              </w:rPr>
            </w:pPr>
            <w:r>
              <w:rPr>
                <w:sz w:val="19"/>
              </w:rPr>
              <w:t>57 of 1997</w:t>
            </w:r>
          </w:p>
        </w:tc>
        <w:tc>
          <w:tcPr>
            <w:tcW w:w="1128" w:type="dxa"/>
          </w:tcPr>
          <w:p>
            <w:pPr>
              <w:pStyle w:val="nTable"/>
              <w:spacing w:after="40"/>
              <w:rPr>
                <w:sz w:val="19"/>
              </w:rPr>
            </w:pPr>
            <w:r>
              <w:rPr>
                <w:sz w:val="19"/>
              </w:rPr>
              <w:t>15 Dec 1997</w:t>
            </w:r>
          </w:p>
        </w:tc>
        <w:tc>
          <w:tcPr>
            <w:tcW w:w="2538" w:type="dxa"/>
            <w:gridSpan w:val="3"/>
          </w:tcPr>
          <w:p>
            <w:pPr>
              <w:pStyle w:val="nTable"/>
              <w:spacing w:after="40"/>
              <w:rPr>
                <w:sz w:val="19"/>
              </w:rPr>
            </w:pPr>
            <w:r>
              <w:rPr>
                <w:sz w:val="19"/>
              </w:rPr>
              <w:t>15 Dec 1997 (see s. 2(1))</w:t>
            </w:r>
          </w:p>
        </w:tc>
      </w:tr>
      <w:tr>
        <w:trPr>
          <w:gridAfter w:val="1"/>
          <w:wAfter w:w="9" w:type="dxa"/>
          <w:cantSplit/>
        </w:trPr>
        <w:tc>
          <w:tcPr>
            <w:tcW w:w="7048" w:type="dxa"/>
            <w:gridSpan w:val="9"/>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gridAfter w:val="1"/>
          <w:wAfter w:w="9" w:type="dxa"/>
          <w:cantSplit/>
        </w:trPr>
        <w:tc>
          <w:tcPr>
            <w:tcW w:w="2254" w:type="dxa"/>
            <w:gridSpan w:val="3"/>
          </w:tcPr>
          <w:p>
            <w:pPr>
              <w:pStyle w:val="nTable"/>
              <w:spacing w:after="40"/>
              <w:ind w:right="170"/>
              <w:rPr>
                <w:i/>
                <w:sz w:val="19"/>
              </w:rPr>
            </w:pPr>
            <w:r>
              <w:rPr>
                <w:i/>
                <w:sz w:val="19"/>
              </w:rPr>
              <w:t xml:space="preserve">Corporations (Consequential Amendments) Act 2001 </w:t>
            </w:r>
            <w:r>
              <w:rPr>
                <w:sz w:val="19"/>
              </w:rPr>
              <w:t>Pt. 14</w:t>
            </w:r>
          </w:p>
        </w:tc>
        <w:tc>
          <w:tcPr>
            <w:tcW w:w="1128" w:type="dxa"/>
            <w:gridSpan w:val="2"/>
          </w:tcPr>
          <w:p>
            <w:pPr>
              <w:pStyle w:val="nTable"/>
              <w:spacing w:after="40"/>
              <w:rPr>
                <w:sz w:val="19"/>
              </w:rPr>
            </w:pPr>
            <w:r>
              <w:rPr>
                <w:sz w:val="19"/>
              </w:rPr>
              <w:t>10 of 2001</w:t>
            </w:r>
          </w:p>
        </w:tc>
        <w:tc>
          <w:tcPr>
            <w:tcW w:w="1128" w:type="dxa"/>
          </w:tcPr>
          <w:p>
            <w:pPr>
              <w:pStyle w:val="nTable"/>
              <w:spacing w:after="40"/>
              <w:rPr>
                <w:sz w:val="19"/>
              </w:rPr>
            </w:pPr>
            <w:r>
              <w:rPr>
                <w:sz w:val="19"/>
              </w:rPr>
              <w:t>28 Jun 2001</w:t>
            </w:r>
          </w:p>
        </w:tc>
        <w:tc>
          <w:tcPr>
            <w:tcW w:w="2538" w:type="dxa"/>
            <w:gridSpan w:val="3"/>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54" w:type="dxa"/>
            <w:gridSpan w:val="3"/>
          </w:tcPr>
          <w:p>
            <w:pPr>
              <w:pStyle w:val="nTable"/>
              <w:spacing w:after="40"/>
              <w:ind w:right="170"/>
              <w:rPr>
                <w:i/>
                <w:sz w:val="19"/>
              </w:rPr>
            </w:pPr>
            <w:r>
              <w:rPr>
                <w:i/>
                <w:sz w:val="19"/>
              </w:rPr>
              <w:t xml:space="preserve">Acts Amendment (Equality of Status) Act 2003 </w:t>
            </w:r>
            <w:r>
              <w:rPr>
                <w:sz w:val="19"/>
              </w:rPr>
              <w:t>Pt. 7</w:t>
            </w:r>
          </w:p>
        </w:tc>
        <w:tc>
          <w:tcPr>
            <w:tcW w:w="1128" w:type="dxa"/>
            <w:gridSpan w:val="2"/>
          </w:tcPr>
          <w:p>
            <w:pPr>
              <w:pStyle w:val="nTable"/>
              <w:spacing w:after="40"/>
              <w:rPr>
                <w:sz w:val="19"/>
              </w:rPr>
            </w:pPr>
            <w:r>
              <w:rPr>
                <w:sz w:val="19"/>
              </w:rPr>
              <w:t>28 of 2003</w:t>
            </w:r>
          </w:p>
        </w:tc>
        <w:tc>
          <w:tcPr>
            <w:tcW w:w="1128" w:type="dxa"/>
          </w:tcPr>
          <w:p>
            <w:pPr>
              <w:pStyle w:val="nTable"/>
              <w:spacing w:after="40"/>
              <w:rPr>
                <w:sz w:val="19"/>
              </w:rPr>
            </w:pPr>
            <w:r>
              <w:rPr>
                <w:sz w:val="19"/>
              </w:rPr>
              <w:t>22 May 2003</w:t>
            </w:r>
          </w:p>
        </w:tc>
        <w:tc>
          <w:tcPr>
            <w:tcW w:w="253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9" w:type="dxa"/>
          <w:cantSplit/>
        </w:trPr>
        <w:tc>
          <w:tcPr>
            <w:tcW w:w="2254" w:type="dxa"/>
            <w:gridSpan w:val="3"/>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28" w:type="dxa"/>
            <w:gridSpan w:val="2"/>
          </w:tcPr>
          <w:p>
            <w:pPr>
              <w:pStyle w:val="nTable"/>
              <w:spacing w:after="40"/>
              <w:rPr>
                <w:sz w:val="19"/>
              </w:rPr>
            </w:pPr>
            <w:r>
              <w:rPr>
                <w:snapToGrid w:val="0"/>
                <w:sz w:val="19"/>
                <w:lang w:val="en-US"/>
              </w:rPr>
              <w:t>84 of 2004</w:t>
            </w:r>
          </w:p>
        </w:tc>
        <w:tc>
          <w:tcPr>
            <w:tcW w:w="1128" w:type="dxa"/>
          </w:tcPr>
          <w:p>
            <w:pPr>
              <w:pStyle w:val="nTable"/>
              <w:spacing w:after="40"/>
              <w:rPr>
                <w:sz w:val="19"/>
              </w:rPr>
            </w:pPr>
            <w:r>
              <w:rPr>
                <w:sz w:val="19"/>
              </w:rPr>
              <w:t>16 Dec 2004</w:t>
            </w:r>
          </w:p>
        </w:tc>
        <w:tc>
          <w:tcPr>
            <w:tcW w:w="2538"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9" w:type="dxa"/>
          <w:cantSplit/>
        </w:trPr>
        <w:tc>
          <w:tcPr>
            <w:tcW w:w="7048" w:type="dxa"/>
            <w:gridSpan w:val="9"/>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9" w:type="dxa"/>
        </w:trPr>
        <w:tc>
          <w:tcPr>
            <w:tcW w:w="2208" w:type="dxa"/>
            <w:gridSpan w:val="2"/>
            <w:tcBorders>
              <w:top w:val="nil"/>
              <w:bottom w:val="nil"/>
            </w:tcBorders>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w:t>
            </w:r>
          </w:p>
        </w:tc>
        <w:tc>
          <w:tcPr>
            <w:tcW w:w="1112" w:type="dxa"/>
            <w:gridSpan w:val="2"/>
            <w:tcBorders>
              <w:top w:val="nil"/>
              <w:bottom w:val="nil"/>
            </w:tcBorders>
          </w:tcPr>
          <w:p>
            <w:pPr>
              <w:pStyle w:val="nTable"/>
              <w:rPr>
                <w:snapToGrid w:val="0"/>
                <w:sz w:val="19"/>
                <w:lang w:val="en-US"/>
              </w:rPr>
            </w:pPr>
            <w:r>
              <w:rPr>
                <w:snapToGrid w:val="0"/>
                <w:sz w:val="19"/>
                <w:lang w:val="en-US"/>
              </w:rPr>
              <w:t>36 of 2006</w:t>
            </w:r>
          </w:p>
        </w:tc>
        <w:tc>
          <w:tcPr>
            <w:tcW w:w="1213" w:type="dxa"/>
            <w:gridSpan w:val="4"/>
            <w:tcBorders>
              <w:top w:val="nil"/>
              <w:bottom w:val="nil"/>
            </w:tcBorders>
          </w:tcPr>
          <w:p>
            <w:pPr>
              <w:pStyle w:val="nTable"/>
              <w:rPr>
                <w:snapToGrid w:val="0"/>
                <w:sz w:val="19"/>
                <w:lang w:val="en-US"/>
              </w:rPr>
            </w:pPr>
            <w:r>
              <w:rPr>
                <w:snapToGrid w:val="0"/>
                <w:sz w:val="19"/>
                <w:lang w:val="en-US"/>
              </w:rPr>
              <w:t>4 Jul 2006</w:t>
            </w:r>
          </w:p>
        </w:tc>
        <w:tc>
          <w:tcPr>
            <w:tcW w:w="2515" w:type="dxa"/>
            <w:tcBorders>
              <w:top w:val="nil"/>
              <w:bottom w:val="nil"/>
            </w:tcBorders>
          </w:tcPr>
          <w:p>
            <w:pPr>
              <w:pStyle w:val="nTable"/>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9" w:type="dxa"/>
        </w:trPr>
        <w:tc>
          <w:tcPr>
            <w:tcW w:w="2208" w:type="dxa"/>
            <w:gridSpan w:val="2"/>
            <w:tcBorders>
              <w:top w:val="nil"/>
              <w:bottom w:val="nil"/>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12" w:type="dxa"/>
            <w:gridSpan w:val="2"/>
            <w:tcBorders>
              <w:top w:val="nil"/>
              <w:bottom w:val="nil"/>
            </w:tcBorders>
          </w:tcPr>
          <w:p>
            <w:pPr>
              <w:pStyle w:val="nTable"/>
              <w:rPr>
                <w:snapToGrid w:val="0"/>
                <w:sz w:val="19"/>
                <w:lang w:val="en-US"/>
              </w:rPr>
            </w:pPr>
            <w:r>
              <w:rPr>
                <w:snapToGrid w:val="0"/>
                <w:sz w:val="19"/>
                <w:lang w:val="en-US"/>
              </w:rPr>
              <w:t xml:space="preserve">77 of 2006 </w:t>
            </w:r>
          </w:p>
        </w:tc>
        <w:tc>
          <w:tcPr>
            <w:tcW w:w="1213" w:type="dxa"/>
            <w:gridSpan w:val="4"/>
            <w:tcBorders>
              <w:top w:val="nil"/>
              <w:bottom w:val="nil"/>
            </w:tcBorders>
          </w:tcPr>
          <w:p>
            <w:pPr>
              <w:pStyle w:val="nTable"/>
              <w:rPr>
                <w:snapToGrid w:val="0"/>
                <w:sz w:val="19"/>
                <w:lang w:val="en-US"/>
              </w:rPr>
            </w:pPr>
            <w:r>
              <w:rPr>
                <w:snapToGrid w:val="0"/>
                <w:sz w:val="19"/>
                <w:lang w:val="en-US"/>
              </w:rPr>
              <w:t>21 Dec 2006</w:t>
            </w:r>
          </w:p>
        </w:tc>
        <w:tc>
          <w:tcPr>
            <w:tcW w:w="2515" w:type="dxa"/>
            <w:tcBorders>
              <w:top w:val="nil"/>
              <w:bottom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9" w:type="dxa"/>
        </w:trPr>
        <w:tc>
          <w:tcPr>
            <w:tcW w:w="2208" w:type="dxa"/>
            <w:gridSpan w:val="2"/>
            <w:tcBorders>
              <w:top w:val="nil"/>
              <w:bottom w:val="nil"/>
            </w:tcBorders>
          </w:tcPr>
          <w:p>
            <w:pPr>
              <w:pStyle w:val="nTable"/>
              <w:rPr>
                <w:i/>
                <w:snapToGrid w:val="0"/>
                <w:sz w:val="19"/>
                <w:lang w:val="en-US"/>
              </w:rPr>
            </w:pPr>
            <w:r>
              <w:rPr>
                <w:i/>
                <w:sz w:val="19"/>
              </w:rPr>
              <w:t>Statutes (Repeals and Miscellaneous Amendments) Act 2009</w:t>
            </w:r>
            <w:r>
              <w:rPr>
                <w:iCs/>
                <w:sz w:val="19"/>
              </w:rPr>
              <w:t xml:space="preserve"> s. 39</w:t>
            </w:r>
          </w:p>
        </w:tc>
        <w:tc>
          <w:tcPr>
            <w:tcW w:w="1112" w:type="dxa"/>
            <w:gridSpan w:val="2"/>
            <w:tcBorders>
              <w:top w:val="nil"/>
              <w:bottom w:val="nil"/>
            </w:tcBorders>
          </w:tcPr>
          <w:p>
            <w:pPr>
              <w:pStyle w:val="nTable"/>
              <w:rPr>
                <w:snapToGrid w:val="0"/>
                <w:sz w:val="19"/>
                <w:lang w:val="en-US"/>
              </w:rPr>
            </w:pPr>
            <w:r>
              <w:rPr>
                <w:sz w:val="19"/>
              </w:rPr>
              <w:t xml:space="preserve">8 of 2009 </w:t>
            </w:r>
          </w:p>
        </w:tc>
        <w:tc>
          <w:tcPr>
            <w:tcW w:w="1213" w:type="dxa"/>
            <w:gridSpan w:val="4"/>
            <w:tcBorders>
              <w:top w:val="nil"/>
              <w:bottom w:val="nil"/>
            </w:tcBorders>
          </w:tcPr>
          <w:p>
            <w:pPr>
              <w:pStyle w:val="nTable"/>
              <w:ind w:right="-108"/>
              <w:rPr>
                <w:snapToGrid w:val="0"/>
                <w:sz w:val="19"/>
                <w:lang w:val="en-US"/>
              </w:rPr>
            </w:pPr>
            <w:r>
              <w:rPr>
                <w:sz w:val="19"/>
              </w:rPr>
              <w:t>21 May 2009</w:t>
            </w:r>
          </w:p>
        </w:tc>
        <w:tc>
          <w:tcPr>
            <w:tcW w:w="2515" w:type="dxa"/>
            <w:tcBorders>
              <w:top w:val="nil"/>
              <w:bottom w:val="nil"/>
            </w:tcBorders>
          </w:tcPr>
          <w:p>
            <w:pPr>
              <w:pStyle w:val="nTable"/>
              <w:rPr>
                <w:snapToGrid w:val="0"/>
                <w:sz w:val="19"/>
                <w:lang w:val="en-US"/>
              </w:rPr>
            </w:pPr>
            <w:r>
              <w:rPr>
                <w:sz w:val="19"/>
              </w:rPr>
              <w:t>22 May 2009 (see s. 2(b))</w:t>
            </w:r>
          </w:p>
        </w:tc>
      </w:tr>
      <w:tr>
        <w:trPr>
          <w:cantSplit/>
        </w:trPr>
        <w:tc>
          <w:tcPr>
            <w:tcW w:w="2186"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21</w:t>
            </w:r>
          </w:p>
        </w:tc>
        <w:tc>
          <w:tcPr>
            <w:tcW w:w="1134" w:type="dxa"/>
            <w:gridSpan w:val="3"/>
            <w:tcBorders>
              <w:bottom w:val="single" w:sz="4" w:space="0" w:color="auto"/>
            </w:tcBorders>
          </w:tcPr>
          <w:p>
            <w:pPr>
              <w:pStyle w:val="nTable"/>
              <w:spacing w:after="40"/>
              <w:rPr>
                <w:sz w:val="19"/>
              </w:rPr>
            </w:pPr>
            <w:r>
              <w:rPr>
                <w:sz w:val="19"/>
              </w:rPr>
              <w:t>18 of 2009</w:t>
            </w:r>
          </w:p>
        </w:tc>
        <w:tc>
          <w:tcPr>
            <w:tcW w:w="1200" w:type="dxa"/>
            <w:gridSpan w:val="3"/>
            <w:tcBorders>
              <w:bottom w:val="single" w:sz="4" w:space="0" w:color="auto"/>
            </w:tcBorders>
          </w:tcPr>
          <w:p>
            <w:pPr>
              <w:pStyle w:val="nTable"/>
              <w:spacing w:after="40"/>
              <w:rPr>
                <w:sz w:val="19"/>
              </w:rPr>
            </w:pPr>
            <w:r>
              <w:rPr>
                <w:sz w:val="19"/>
              </w:rPr>
              <w:t>16 Sep 2009</w:t>
            </w:r>
          </w:p>
        </w:tc>
        <w:tc>
          <w:tcPr>
            <w:tcW w:w="2537" w:type="dxa"/>
            <w:gridSpan w:val="3"/>
            <w:tcBorders>
              <w:bottom w:val="single" w:sz="4" w:space="0" w:color="auto"/>
            </w:tcBorders>
          </w:tcPr>
          <w:p>
            <w:pPr>
              <w:pStyle w:val="nTable"/>
              <w:spacing w:after="40"/>
              <w:rPr>
                <w:sz w:val="19"/>
              </w:rPr>
            </w:pPr>
            <w:r>
              <w:rPr>
                <w:sz w:val="19"/>
              </w:rPr>
              <w:t>17 Sep 2009 (see s. 2(b))</w:t>
            </w:r>
          </w:p>
        </w:tc>
      </w:tr>
    </w:tbl>
    <w:p>
      <w:pPr>
        <w:pStyle w:val="nSubsection"/>
        <w:rPr>
          <w:snapToGrid w:val="0"/>
        </w:rPr>
      </w:pPr>
      <w:bookmarkStart w:id="349" w:name="UpToHere"/>
      <w:bookmarkEnd w:id="349"/>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456"/>
    <w:docVar w:name="WAFER_20151209095456" w:val="RemoveTrackChanges"/>
    <w:docVar w:name="WAFER_20151209095456_GUID" w:val="4112ea43-c70e-4524-b34e-e4dee62fff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12114</Words>
  <Characters>56938</Characters>
  <Application>Microsoft Office Word</Application>
  <DocSecurity>0</DocSecurity>
  <Lines>1498</Lines>
  <Paragraphs>775</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68277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1985 - 02-f0-02</dc:title>
  <dc:subject/>
  <dc:creator/>
  <cp:keywords/>
  <dc:description/>
  <cp:lastModifiedBy>svcMRProcess</cp:lastModifiedBy>
  <cp:revision>4</cp:revision>
  <cp:lastPrinted>2005-11-03T04:09:00Z</cp:lastPrinted>
  <dcterms:created xsi:type="dcterms:W3CDTF">2018-08-21T22:04:00Z</dcterms:created>
  <dcterms:modified xsi:type="dcterms:W3CDTF">2018-08-21T22:04:00Z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175</vt:i4>
  </property>
  <property fmtid="{D5CDD505-2E9C-101B-9397-08002B2CF9AE}" pid="6" name="AsAtDate">
    <vt:lpwstr>17 Sep 2009</vt:lpwstr>
  </property>
  <property fmtid="{D5CDD505-2E9C-101B-9397-08002B2CF9AE}" pid="7" name="Suffix">
    <vt:lpwstr>02-f0-02</vt:lpwstr>
  </property>
</Properties>
</file>