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Coordination Act 1994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2009</w:t>
            </w:r>
          </w:p>
        </w:tc>
      </w:tr>
    </w:tbl>
    <w:p>
      <w:pPr>
        <w:pStyle w:val="WA"/>
        <w:spacing w:before="120"/>
      </w:pPr>
      <w:r>
        <w:t>Western Australia</w:t>
      </w:r>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spacing w:before="60"/>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_Toc240447147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_Toc240447148 \h </w:instrText>
      </w:r>
      <w:r>
        <w:fldChar w:fldCharType="separate"/>
      </w:r>
      <w:r>
        <w:t>1</w:t>
      </w:r>
      <w:r>
        <w:fldChar w:fldCharType="end"/>
      </w:r>
    </w:p>
    <w:p>
      <w:pPr>
        <w:pStyle w:val="TOC8"/>
        <w:rPr>
          <w:sz w:val="24"/>
          <w:szCs w:val="24"/>
        </w:rPr>
      </w:pPr>
      <w:r>
        <w:rPr>
          <w:szCs w:val="24"/>
        </w:rPr>
        <w:t>3.</w:t>
      </w:r>
      <w:r>
        <w:rPr>
          <w:szCs w:val="24"/>
        </w:rPr>
        <w:tab/>
        <w:t>Areas to which regulations apply</w:t>
      </w:r>
      <w:r>
        <w:tab/>
      </w:r>
      <w:r>
        <w:fldChar w:fldCharType="begin"/>
      </w:r>
      <w:r>
        <w:instrText xml:space="preserve"> PAGEREF _Toc240447149 \h </w:instrText>
      </w:r>
      <w:r>
        <w:fldChar w:fldCharType="separate"/>
      </w:r>
      <w:r>
        <w:t>1</w:t>
      </w:r>
      <w:r>
        <w:fldChar w:fldCharType="end"/>
      </w:r>
    </w:p>
    <w:p>
      <w:pPr>
        <w:pStyle w:val="TOC8"/>
        <w:rPr>
          <w:sz w:val="24"/>
          <w:szCs w:val="24"/>
        </w:rPr>
      </w:pPr>
      <w:r>
        <w:rPr>
          <w:szCs w:val="24"/>
        </w:rPr>
        <w:t>4.</w:t>
      </w:r>
      <w:r>
        <w:rPr>
          <w:szCs w:val="24"/>
        </w:rPr>
        <w:tab/>
        <w:t>Terms used</w:t>
      </w:r>
      <w:r>
        <w:tab/>
      </w:r>
      <w:r>
        <w:fldChar w:fldCharType="begin"/>
      </w:r>
      <w:r>
        <w:instrText xml:space="preserve"> PAGEREF _Toc240447150 \h </w:instrText>
      </w:r>
      <w:r>
        <w:fldChar w:fldCharType="separate"/>
      </w:r>
      <w:r>
        <w:t>1</w:t>
      </w:r>
      <w:r>
        <w:fldChar w:fldCharType="end"/>
      </w:r>
    </w:p>
    <w:p>
      <w:pPr>
        <w:pStyle w:val="TOC8"/>
        <w:rPr>
          <w:sz w:val="24"/>
          <w:szCs w:val="24"/>
        </w:rPr>
      </w:pPr>
      <w:r>
        <w:rPr>
          <w:szCs w:val="24"/>
        </w:rPr>
        <w:t>5.</w:t>
      </w:r>
      <w:r>
        <w:rPr>
          <w:szCs w:val="24"/>
        </w:rPr>
        <w:tab/>
        <w:t>Supplier to have at least one capped tariff</w:t>
      </w:r>
      <w:r>
        <w:tab/>
      </w:r>
      <w:r>
        <w:fldChar w:fldCharType="begin"/>
      </w:r>
      <w:r>
        <w:instrText xml:space="preserve"> PAGEREF _Toc240447151 \h </w:instrText>
      </w:r>
      <w:r>
        <w:fldChar w:fldCharType="separate"/>
      </w:r>
      <w:r>
        <w:t>3</w:t>
      </w:r>
      <w:r>
        <w:fldChar w:fldCharType="end"/>
      </w:r>
    </w:p>
    <w:p>
      <w:pPr>
        <w:pStyle w:val="TOC8"/>
        <w:rPr>
          <w:sz w:val="24"/>
          <w:szCs w:val="24"/>
        </w:rPr>
      </w:pPr>
      <w:r>
        <w:rPr>
          <w:szCs w:val="24"/>
        </w:rPr>
        <w:t>6.</w:t>
      </w:r>
      <w:r>
        <w:rPr>
          <w:szCs w:val="24"/>
        </w:rPr>
        <w:tab/>
        <w:t>Gas to be offered under standard contract at capped tariff</w:t>
      </w:r>
      <w:r>
        <w:tab/>
      </w:r>
      <w:r>
        <w:fldChar w:fldCharType="begin"/>
      </w:r>
      <w:r>
        <w:instrText xml:space="preserve"> PAGEREF _Toc240447152 \h </w:instrText>
      </w:r>
      <w:r>
        <w:fldChar w:fldCharType="separate"/>
      </w:r>
      <w:r>
        <w:t>3</w:t>
      </w:r>
      <w:r>
        <w:fldChar w:fldCharType="end"/>
      </w:r>
    </w:p>
    <w:p>
      <w:pPr>
        <w:pStyle w:val="TOC8"/>
        <w:rPr>
          <w:sz w:val="24"/>
          <w:szCs w:val="24"/>
        </w:rPr>
      </w:pPr>
      <w:r>
        <w:rPr>
          <w:szCs w:val="24"/>
        </w:rPr>
        <w:t>7.</w:t>
      </w:r>
      <w:r>
        <w:rPr>
          <w:szCs w:val="24"/>
        </w:rPr>
        <w:tab/>
        <w:t>Calculation of amounts</w:t>
      </w:r>
      <w:r>
        <w:tab/>
      </w:r>
      <w:r>
        <w:fldChar w:fldCharType="begin"/>
      </w:r>
      <w:r>
        <w:instrText xml:space="preserve"> PAGEREF _Toc240447153 \h </w:instrText>
      </w:r>
      <w:r>
        <w:fldChar w:fldCharType="separate"/>
      </w:r>
      <w:r>
        <w:t>4</w:t>
      </w:r>
      <w:r>
        <w:fldChar w:fldCharType="end"/>
      </w:r>
    </w:p>
    <w:p>
      <w:pPr>
        <w:pStyle w:val="TOC2"/>
        <w:tabs>
          <w:tab w:val="right" w:leader="dot" w:pos="7086"/>
        </w:tabs>
        <w:rPr>
          <w:b w:val="0"/>
          <w:sz w:val="24"/>
          <w:szCs w:val="24"/>
        </w:rPr>
      </w:pPr>
      <w:r>
        <w:rPr>
          <w:szCs w:val="28"/>
        </w:rPr>
        <w:t>Schedule 1 — Tariff caps</w:t>
      </w:r>
    </w:p>
    <w:p>
      <w:pPr>
        <w:pStyle w:val="TOC2"/>
        <w:tabs>
          <w:tab w:val="right" w:leader="dot" w:pos="7086"/>
        </w:tabs>
        <w:spacing w:before="60"/>
        <w:rPr>
          <w:b w:val="0"/>
          <w:sz w:val="24"/>
          <w:szCs w:val="24"/>
        </w:rPr>
      </w:pPr>
      <w:r>
        <w:rPr>
          <w:sz w:val="24"/>
          <w:szCs w:val="28"/>
        </w:rPr>
        <w:t>Part 1 — Mid</w:t>
      </w:r>
      <w:r>
        <w:rPr>
          <w:sz w:val="24"/>
          <w:szCs w:val="28"/>
        </w:rPr>
        <w:noBreakHyphen/>
        <w:t>West/South</w:t>
      </w:r>
      <w:r>
        <w:rPr>
          <w:sz w:val="24"/>
          <w:szCs w:val="28"/>
        </w:rPr>
        <w:noBreakHyphen/>
        <w:t>West area</w:t>
      </w:r>
    </w:p>
    <w:p>
      <w:pPr>
        <w:pStyle w:val="TOC8"/>
        <w:rPr>
          <w:sz w:val="24"/>
          <w:szCs w:val="24"/>
        </w:rPr>
      </w:pPr>
      <w:r>
        <w:rPr>
          <w:szCs w:val="22"/>
        </w:rPr>
        <w:t>1.</w:t>
      </w:r>
      <w:r>
        <w:rPr>
          <w:szCs w:val="22"/>
        </w:rPr>
        <w:tab/>
        <w:t>Residential tariff</w:t>
      </w:r>
      <w:r>
        <w:tab/>
      </w:r>
      <w:r>
        <w:fldChar w:fldCharType="begin"/>
      </w:r>
      <w:r>
        <w:instrText xml:space="preserve"> PAGEREF _Toc240447156 \h </w:instrText>
      </w:r>
      <w:r>
        <w:fldChar w:fldCharType="separate"/>
      </w:r>
      <w:r>
        <w:t>5</w:t>
      </w:r>
      <w:r>
        <w:fldChar w:fldCharType="end"/>
      </w:r>
    </w:p>
    <w:p>
      <w:pPr>
        <w:pStyle w:val="TOC8"/>
        <w:rPr>
          <w:sz w:val="24"/>
          <w:szCs w:val="24"/>
        </w:rPr>
      </w:pPr>
      <w:r>
        <w:rPr>
          <w:szCs w:val="22"/>
        </w:rPr>
        <w:t>2.</w:t>
      </w:r>
      <w:r>
        <w:rPr>
          <w:szCs w:val="22"/>
        </w:rPr>
        <w:tab/>
        <w:t>Non</w:t>
      </w:r>
      <w:r>
        <w:rPr>
          <w:szCs w:val="22"/>
        </w:rPr>
        <w:noBreakHyphen/>
        <w:t>residential tariff</w:t>
      </w:r>
      <w:r>
        <w:tab/>
      </w:r>
      <w:r>
        <w:fldChar w:fldCharType="begin"/>
      </w:r>
      <w:r>
        <w:instrText xml:space="preserve"> PAGEREF _Toc240447157 \h </w:instrText>
      </w:r>
      <w:r>
        <w:fldChar w:fldCharType="separate"/>
      </w:r>
      <w:r>
        <w:t>6</w:t>
      </w:r>
      <w:r>
        <w:fldChar w:fldCharType="end"/>
      </w:r>
    </w:p>
    <w:p>
      <w:pPr>
        <w:pStyle w:val="TOC2"/>
        <w:tabs>
          <w:tab w:val="right" w:leader="dot" w:pos="7086"/>
        </w:tabs>
        <w:rPr>
          <w:b w:val="0"/>
          <w:sz w:val="24"/>
          <w:szCs w:val="24"/>
        </w:rPr>
      </w:pPr>
      <w:r>
        <w:rPr>
          <w:sz w:val="24"/>
          <w:szCs w:val="28"/>
        </w:rPr>
        <w:t>Part 2 — Albany area</w:t>
      </w:r>
    </w:p>
    <w:p>
      <w:pPr>
        <w:pStyle w:val="TOC8"/>
        <w:rPr>
          <w:sz w:val="24"/>
          <w:szCs w:val="24"/>
        </w:rPr>
      </w:pPr>
      <w:r>
        <w:rPr>
          <w:szCs w:val="22"/>
        </w:rPr>
        <w:t>3.</w:t>
      </w:r>
      <w:r>
        <w:rPr>
          <w:szCs w:val="22"/>
        </w:rPr>
        <w:tab/>
        <w:t>Residential tariff</w:t>
      </w:r>
      <w:r>
        <w:tab/>
      </w:r>
      <w:r>
        <w:fldChar w:fldCharType="begin"/>
      </w:r>
      <w:r>
        <w:instrText xml:space="preserve"> PAGEREF _Toc240447159 \h </w:instrText>
      </w:r>
      <w:r>
        <w:fldChar w:fldCharType="separate"/>
      </w:r>
      <w:r>
        <w:t>7</w:t>
      </w:r>
      <w:r>
        <w:fldChar w:fldCharType="end"/>
      </w:r>
    </w:p>
    <w:p>
      <w:pPr>
        <w:pStyle w:val="TOC8"/>
        <w:rPr>
          <w:sz w:val="24"/>
          <w:szCs w:val="24"/>
        </w:rPr>
      </w:pPr>
      <w:r>
        <w:rPr>
          <w:szCs w:val="22"/>
        </w:rPr>
        <w:t>4.</w:t>
      </w:r>
      <w:r>
        <w:rPr>
          <w:szCs w:val="22"/>
        </w:rPr>
        <w:tab/>
        <w:t>Non</w:t>
      </w:r>
      <w:r>
        <w:rPr>
          <w:szCs w:val="22"/>
        </w:rPr>
        <w:noBreakHyphen/>
        <w:t>residential tariff</w:t>
      </w:r>
      <w:r>
        <w:tab/>
      </w:r>
      <w:r>
        <w:fldChar w:fldCharType="begin"/>
      </w:r>
      <w:r>
        <w:instrText xml:space="preserve"> PAGEREF _Toc240447160 \h </w:instrText>
      </w:r>
      <w:r>
        <w:fldChar w:fldCharType="separate"/>
      </w:r>
      <w:r>
        <w:t>7</w:t>
      </w:r>
      <w:r>
        <w:fldChar w:fldCharType="end"/>
      </w:r>
    </w:p>
    <w:p>
      <w:pPr>
        <w:pStyle w:val="TOC2"/>
        <w:tabs>
          <w:tab w:val="right" w:leader="dot" w:pos="7086"/>
        </w:tabs>
        <w:rPr>
          <w:b w:val="0"/>
          <w:sz w:val="24"/>
          <w:szCs w:val="24"/>
        </w:rPr>
      </w:pPr>
      <w:r>
        <w:rPr>
          <w:sz w:val="24"/>
          <w:szCs w:val="28"/>
        </w:rPr>
        <w:t>Part 3 — Kalgoorlie</w:t>
      </w:r>
      <w:r>
        <w:rPr>
          <w:sz w:val="24"/>
          <w:szCs w:val="28"/>
        </w:rPr>
        <w:noBreakHyphen/>
        <w:t>Boulder area</w:t>
      </w:r>
    </w:p>
    <w:p>
      <w:pPr>
        <w:pStyle w:val="TOC8"/>
        <w:rPr>
          <w:sz w:val="24"/>
          <w:szCs w:val="24"/>
        </w:rPr>
      </w:pPr>
      <w:r>
        <w:rPr>
          <w:szCs w:val="22"/>
        </w:rPr>
        <w:t>5.</w:t>
      </w:r>
      <w:r>
        <w:rPr>
          <w:szCs w:val="22"/>
        </w:rPr>
        <w:tab/>
        <w:t>Residential tariff</w:t>
      </w:r>
      <w:r>
        <w:tab/>
      </w:r>
      <w:r>
        <w:fldChar w:fldCharType="begin"/>
      </w:r>
      <w:r>
        <w:instrText xml:space="preserve"> PAGEREF _Toc240447162 \h </w:instrText>
      </w:r>
      <w:r>
        <w:fldChar w:fldCharType="separate"/>
      </w:r>
      <w:r>
        <w:t>8</w:t>
      </w:r>
      <w:r>
        <w:fldChar w:fldCharType="end"/>
      </w:r>
    </w:p>
    <w:p>
      <w:pPr>
        <w:pStyle w:val="TOC8"/>
        <w:rPr>
          <w:sz w:val="24"/>
          <w:szCs w:val="24"/>
        </w:rPr>
      </w:pPr>
      <w:r>
        <w:rPr>
          <w:szCs w:val="22"/>
        </w:rPr>
        <w:t>6.</w:t>
      </w:r>
      <w:r>
        <w:rPr>
          <w:szCs w:val="22"/>
        </w:rPr>
        <w:tab/>
        <w:t>Non</w:t>
      </w:r>
      <w:r>
        <w:rPr>
          <w:szCs w:val="22"/>
        </w:rPr>
        <w:noBreakHyphen/>
        <w:t>residential tariff</w:t>
      </w:r>
      <w:r>
        <w:tab/>
      </w:r>
      <w:r>
        <w:fldChar w:fldCharType="begin"/>
      </w:r>
      <w:r>
        <w:instrText xml:space="preserve"> PAGEREF _Toc240447163 \h </w:instrText>
      </w:r>
      <w:r>
        <w:fldChar w:fldCharType="separate"/>
      </w:r>
      <w:r>
        <w:t>8</w:t>
      </w:r>
      <w:r>
        <w:fldChar w:fldCharType="end"/>
      </w:r>
    </w:p>
    <w:p>
      <w:pPr>
        <w:pStyle w:val="TOC2"/>
        <w:tabs>
          <w:tab w:val="right" w:leader="dot" w:pos="7086"/>
        </w:tabs>
        <w:rPr>
          <w:b w:val="0"/>
          <w:sz w:val="24"/>
          <w:szCs w:val="24"/>
        </w:rPr>
      </w:pPr>
      <w:r>
        <w:rPr>
          <w:sz w:val="24"/>
          <w:szCs w:val="28"/>
        </w:rPr>
        <w:lastRenderedPageBreak/>
        <w:t>Part 4</w:t>
      </w:r>
      <w:r>
        <w:rPr>
          <w:b w:val="0"/>
          <w:sz w:val="24"/>
          <w:szCs w:val="28"/>
        </w:rPr>
        <w:t> </w:t>
      </w:r>
      <w:r>
        <w:rPr>
          <w:sz w:val="24"/>
          <w:szCs w:val="28"/>
        </w:rPr>
        <w:t>—</w:t>
      </w:r>
      <w:r>
        <w:rPr>
          <w:b w:val="0"/>
          <w:sz w:val="24"/>
          <w:szCs w:val="28"/>
        </w:rPr>
        <w:t> </w:t>
      </w:r>
      <w:r>
        <w:rPr>
          <w:sz w:val="24"/>
          <w:szCs w:val="28"/>
        </w:rPr>
        <w:t>Adjustment of certain tariff caps</w:t>
      </w:r>
    </w:p>
    <w:p>
      <w:pPr>
        <w:pStyle w:val="TOC8"/>
        <w:rPr>
          <w:sz w:val="24"/>
          <w:szCs w:val="24"/>
        </w:rPr>
      </w:pPr>
      <w:r>
        <w:rPr>
          <w:szCs w:val="22"/>
        </w:rPr>
        <w:t>7.</w:t>
      </w:r>
      <w:r>
        <w:rPr>
          <w:szCs w:val="22"/>
        </w:rPr>
        <w:tab/>
        <w:t>Term used: CPI number</w:t>
      </w:r>
      <w:r>
        <w:tab/>
      </w:r>
      <w:r>
        <w:fldChar w:fldCharType="begin"/>
      </w:r>
      <w:r>
        <w:instrText xml:space="preserve"> PAGEREF _Toc240447165 \h </w:instrText>
      </w:r>
      <w:r>
        <w:fldChar w:fldCharType="separate"/>
      </w:r>
      <w:r>
        <w:t>8</w:t>
      </w:r>
      <w:r>
        <w:fldChar w:fldCharType="end"/>
      </w:r>
    </w:p>
    <w:p>
      <w:pPr>
        <w:pStyle w:val="TOC8"/>
        <w:rPr>
          <w:sz w:val="24"/>
          <w:szCs w:val="24"/>
        </w:rPr>
      </w:pPr>
      <w:r>
        <w:rPr>
          <w:szCs w:val="22"/>
        </w:rPr>
        <w:t>8.</w:t>
      </w:r>
      <w:r>
        <w:rPr>
          <w:szCs w:val="22"/>
        </w:rPr>
        <w:tab/>
        <w:t>General adjustment for 2010/11 financial year and subsequent financial years</w:t>
      </w:r>
      <w:r>
        <w:tab/>
      </w:r>
      <w:r>
        <w:fldChar w:fldCharType="begin"/>
      </w:r>
      <w:r>
        <w:instrText xml:space="preserve"> PAGEREF _Toc240447166 \h </w:instrText>
      </w:r>
      <w:r>
        <w:fldChar w:fldCharType="separate"/>
      </w:r>
      <w:r>
        <w:t>9</w:t>
      </w:r>
      <w:r>
        <w:fldChar w:fldCharType="end"/>
      </w:r>
    </w:p>
    <w:p>
      <w:pPr>
        <w:pStyle w:val="TOC8"/>
        <w:rPr>
          <w:sz w:val="24"/>
          <w:szCs w:val="24"/>
        </w:rPr>
      </w:pPr>
      <w:r>
        <w:rPr>
          <w:szCs w:val="22"/>
        </w:rPr>
        <w:t>9.</w:t>
      </w:r>
      <w:r>
        <w:rPr>
          <w:szCs w:val="22"/>
        </w:rPr>
        <w:tab/>
        <w:t>Special adjustment for residential tariffs in Mid</w:t>
      </w:r>
      <w:r>
        <w:rPr>
          <w:szCs w:val="22"/>
        </w:rPr>
        <w:noBreakHyphen/>
        <w:t>West/South</w:t>
      </w:r>
      <w:r>
        <w:rPr>
          <w:szCs w:val="22"/>
        </w:rPr>
        <w:noBreakHyphen/>
        <w:t>West area</w:t>
      </w:r>
      <w:r>
        <w:tab/>
      </w:r>
      <w:r>
        <w:fldChar w:fldCharType="begin"/>
      </w:r>
      <w:r>
        <w:instrText xml:space="preserve"> PAGEREF _Toc240447167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_Toc240447169 \h </w:instrText>
      </w:r>
      <w:r>
        <w:fldChar w:fldCharType="separate"/>
      </w:r>
      <w:r>
        <w:t>11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September 2009</w:t>
            </w:r>
          </w:p>
        </w:tc>
      </w:tr>
    </w:tbl>
    <w:p>
      <w:pPr>
        <w:pStyle w:val="WA"/>
        <w:spacing w:before="120"/>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84947032"/>
      <w:bookmarkStart w:id="11" w:name="_Toc22697744"/>
      <w:bookmarkStart w:id="12" w:name="_Toc22697819"/>
      <w:bookmarkStart w:id="13" w:name="_Toc234139441"/>
      <w:bookmarkStart w:id="14" w:name="_Toc240447147"/>
      <w:r>
        <w:rPr>
          <w:rStyle w:val="CharSectno"/>
        </w:rPr>
        <w:t>1</w:t>
      </w:r>
      <w:r>
        <w:t>.</w:t>
      </w:r>
      <w:r>
        <w:tab/>
      </w:r>
      <w:bookmarkStart w:id="15" w:name="Start_Cursor"/>
      <w:bookmarkEnd w:id="15"/>
      <w:r>
        <w:t>Citation</w:t>
      </w:r>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16" w:name="_Toc484947033"/>
      <w:bookmarkStart w:id="17" w:name="_Toc22697745"/>
      <w:bookmarkStart w:id="18" w:name="_Toc22697820"/>
      <w:bookmarkStart w:id="19" w:name="_Toc234139442"/>
      <w:bookmarkStart w:id="20" w:name="_Toc240447148"/>
      <w:r>
        <w:rPr>
          <w:rStyle w:val="CharSectno"/>
        </w:rPr>
        <w:t>2</w:t>
      </w:r>
      <w:r>
        <w:rPr>
          <w:spacing w:val="-2"/>
        </w:rPr>
        <w:t>.</w:t>
      </w:r>
      <w:r>
        <w:rPr>
          <w:spacing w:val="-2"/>
        </w:rPr>
        <w:tab/>
        <w:t>Commencement</w:t>
      </w:r>
      <w:bookmarkEnd w:id="16"/>
      <w:bookmarkEnd w:id="17"/>
      <w:bookmarkEnd w:id="18"/>
      <w:bookmarkEnd w:id="19"/>
      <w:bookmarkEnd w:id="20"/>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1" w:name="_Toc484947034"/>
      <w:bookmarkStart w:id="22" w:name="_Toc22697746"/>
      <w:bookmarkStart w:id="23" w:name="_Toc22697821"/>
      <w:bookmarkStart w:id="24" w:name="_Toc234139443"/>
      <w:bookmarkStart w:id="25" w:name="_Toc240447149"/>
      <w:r>
        <w:rPr>
          <w:rStyle w:val="CharSectno"/>
        </w:rPr>
        <w:t>3</w:t>
      </w:r>
      <w:r>
        <w:t>.</w:t>
      </w:r>
      <w:r>
        <w:tab/>
        <w:t>Areas to which regulations apply</w:t>
      </w:r>
      <w:bookmarkEnd w:id="21"/>
      <w:bookmarkEnd w:id="22"/>
      <w:bookmarkEnd w:id="23"/>
      <w:bookmarkEnd w:id="24"/>
      <w:bookmarkEnd w:id="25"/>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26" w:name="_Toc484947035"/>
      <w:bookmarkStart w:id="27" w:name="_Toc22697747"/>
      <w:bookmarkStart w:id="28" w:name="_Toc22697822"/>
      <w:bookmarkStart w:id="29" w:name="_Toc234139444"/>
      <w:bookmarkStart w:id="30" w:name="_Toc240447150"/>
      <w:r>
        <w:rPr>
          <w:rStyle w:val="CharSectno"/>
        </w:rPr>
        <w:t>4</w:t>
      </w:r>
      <w:r>
        <w:t>.</w:t>
      </w:r>
      <w:r>
        <w:tab/>
      </w:r>
      <w:bookmarkEnd w:id="26"/>
      <w:bookmarkEnd w:id="27"/>
      <w:bookmarkEnd w:id="28"/>
      <w:bookmarkEnd w:id="29"/>
      <w:r>
        <w:t>Terms used</w:t>
      </w:r>
      <w:bookmarkEnd w:id="30"/>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31" w:name="_Toc484947036"/>
      <w:bookmarkStart w:id="32" w:name="_Toc22697748"/>
      <w:bookmarkStart w:id="33" w:name="_Toc22697823"/>
      <w:bookmarkStart w:id="34" w:name="_Toc234139445"/>
      <w:bookmarkStart w:id="35" w:name="_Toc240447151"/>
      <w:r>
        <w:rPr>
          <w:rStyle w:val="CharSectno"/>
        </w:rPr>
        <w:t>5</w:t>
      </w:r>
      <w:r>
        <w:t>.</w:t>
      </w:r>
      <w:r>
        <w:tab/>
        <w:t>Supplier to have at least one capped tariff</w:t>
      </w:r>
      <w:bookmarkEnd w:id="31"/>
      <w:bookmarkEnd w:id="32"/>
      <w:bookmarkEnd w:id="33"/>
      <w:bookmarkEnd w:id="34"/>
      <w:bookmarkEnd w:id="35"/>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36" w:name="_Hlt472841165"/>
      <w:bookmarkEnd w:id="36"/>
      <w:r>
        <w:t>(2)</w:t>
      </w:r>
      <w:r>
        <w:tab/>
      </w:r>
      <w:bookmarkStart w:id="37" w:name="_Hlt472841237"/>
      <w:bookmarkEnd w:id="37"/>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38" w:name="_Hlt476566238"/>
      <w:bookmarkEnd w:id="38"/>
      <w:r>
        <w:t>1.</w:t>
      </w:r>
    </w:p>
    <w:p>
      <w:pPr>
        <w:pStyle w:val="Footnotesection"/>
      </w:pPr>
      <w:r>
        <w:tab/>
        <w:t>[Regulation 5 amended in Gazette 18 Oct 2002 p. 5224.]</w:t>
      </w:r>
    </w:p>
    <w:p>
      <w:pPr>
        <w:pStyle w:val="Heading5"/>
      </w:pPr>
      <w:bookmarkStart w:id="39" w:name="_Toc484947037"/>
      <w:bookmarkStart w:id="40" w:name="_Toc22697749"/>
      <w:bookmarkStart w:id="41" w:name="_Toc22697824"/>
      <w:bookmarkStart w:id="42" w:name="_Toc234139446"/>
      <w:bookmarkStart w:id="43" w:name="_Toc240447152"/>
      <w:r>
        <w:rPr>
          <w:rStyle w:val="CharSectno"/>
        </w:rPr>
        <w:t>6</w:t>
      </w:r>
      <w:r>
        <w:t>.</w:t>
      </w:r>
      <w:r>
        <w:tab/>
        <w:t>Gas to be offered under standard contract at capped tariff</w:t>
      </w:r>
      <w:bookmarkEnd w:id="39"/>
      <w:bookmarkEnd w:id="40"/>
      <w:bookmarkEnd w:id="41"/>
      <w:bookmarkEnd w:id="42"/>
      <w:bookmarkEnd w:id="43"/>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44" w:name="_Toc484947038"/>
      <w:bookmarkStart w:id="45" w:name="_Toc22697750"/>
      <w:bookmarkStart w:id="46" w:name="_Toc22697825"/>
      <w:bookmarkStart w:id="47" w:name="_Toc234139447"/>
      <w:bookmarkStart w:id="48" w:name="_Toc240447153"/>
      <w:r>
        <w:rPr>
          <w:rStyle w:val="CharSectno"/>
        </w:rPr>
        <w:t>7</w:t>
      </w:r>
      <w:r>
        <w:t>.</w:t>
      </w:r>
      <w:r>
        <w:tab/>
        <w:t>Calculation of amounts</w:t>
      </w:r>
      <w:bookmarkEnd w:id="44"/>
      <w:bookmarkEnd w:id="45"/>
      <w:bookmarkEnd w:id="46"/>
      <w:bookmarkEnd w:id="47"/>
      <w:bookmarkEnd w:id="48"/>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9" w:name="_Toc234139448"/>
      <w:bookmarkStart w:id="50" w:name="_Toc238528506"/>
      <w:bookmarkStart w:id="51" w:name="_Toc238528586"/>
      <w:bookmarkStart w:id="52" w:name="_Toc238529198"/>
      <w:bookmarkStart w:id="53" w:name="_Toc238969832"/>
      <w:bookmarkStart w:id="54" w:name="_Toc238973696"/>
      <w:bookmarkStart w:id="55" w:name="_Toc238973809"/>
      <w:bookmarkStart w:id="56" w:name="_Toc240447154"/>
      <w:r>
        <w:rPr>
          <w:rStyle w:val="CharSchNo"/>
        </w:rPr>
        <w:t>Schedule 1</w:t>
      </w:r>
      <w:r>
        <w:t xml:space="preserve"> — </w:t>
      </w:r>
      <w:r>
        <w:rPr>
          <w:rStyle w:val="CharSchText"/>
        </w:rPr>
        <w:t>Tariff caps</w:t>
      </w:r>
      <w:bookmarkEnd w:id="49"/>
      <w:bookmarkEnd w:id="50"/>
      <w:bookmarkEnd w:id="51"/>
      <w:bookmarkEnd w:id="52"/>
      <w:bookmarkEnd w:id="53"/>
      <w:bookmarkEnd w:id="54"/>
      <w:bookmarkEnd w:id="55"/>
      <w:bookmarkEnd w:id="56"/>
    </w:p>
    <w:p>
      <w:pPr>
        <w:pStyle w:val="yShoulderClause"/>
      </w:pPr>
      <w:r>
        <w:t>[r. 5(2)]</w:t>
      </w:r>
    </w:p>
    <w:p>
      <w:pPr>
        <w:pStyle w:val="yHeading2"/>
      </w:pPr>
      <w:bookmarkStart w:id="57" w:name="_Toc234139449"/>
      <w:bookmarkStart w:id="58" w:name="_Toc238528507"/>
      <w:bookmarkStart w:id="59" w:name="_Toc238528587"/>
      <w:bookmarkStart w:id="60" w:name="_Toc238529199"/>
      <w:bookmarkStart w:id="61" w:name="_Toc238969833"/>
      <w:bookmarkStart w:id="62" w:name="_Toc238973697"/>
      <w:bookmarkStart w:id="63" w:name="_Toc238973810"/>
      <w:bookmarkStart w:id="64" w:name="_Toc240447155"/>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57"/>
      <w:bookmarkEnd w:id="58"/>
      <w:bookmarkEnd w:id="59"/>
      <w:bookmarkEnd w:id="60"/>
      <w:bookmarkEnd w:id="61"/>
      <w:bookmarkEnd w:id="62"/>
      <w:bookmarkEnd w:id="63"/>
      <w:bookmarkEnd w:id="64"/>
    </w:p>
    <w:p>
      <w:pPr>
        <w:pStyle w:val="yHeading5"/>
      </w:pPr>
      <w:bookmarkStart w:id="65" w:name="_Toc484947040"/>
      <w:bookmarkStart w:id="66" w:name="_Toc234139450"/>
      <w:bookmarkStart w:id="67" w:name="_Toc240447156"/>
      <w:r>
        <w:rPr>
          <w:rStyle w:val="CharSClsNo"/>
        </w:rPr>
        <w:t>1</w:t>
      </w:r>
      <w:r>
        <w:t>.</w:t>
      </w:r>
      <w:r>
        <w:tab/>
        <w:t>Residential tariff</w:t>
      </w:r>
      <w:bookmarkEnd w:id="65"/>
      <w:bookmarkEnd w:id="66"/>
      <w:bookmarkEnd w:id="67"/>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68" w:name="_Hlt471891727"/>
      <w:bookmarkStart w:id="69" w:name="_Hlt472825911"/>
      <w:bookmarkEnd w:id="68"/>
      <w:r>
        <w:t>4</w:t>
      </w:r>
      <w:bookmarkEnd w:id="69"/>
      <w:r>
        <w:t>.</w:t>
      </w:r>
    </w:p>
    <w:p>
      <w:pPr>
        <w:pStyle w:val="yTHeadingNAm"/>
      </w:pPr>
      <w:bookmarkStart w:id="70"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tabs>
                <w:tab w:val="clear" w:pos="567"/>
                <w:tab w:val="left" w:pos="384"/>
              </w:tabs>
            </w:pPr>
            <w:r>
              <w:t>14.54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2"/>
              </w:numPr>
              <w:tabs>
                <w:tab w:val="clear" w:pos="567"/>
                <w:tab w:val="left" w:pos="361"/>
              </w:tabs>
              <w:ind w:hanging="719"/>
            </w:pPr>
            <w:r>
              <w:t>first usage component</w:t>
            </w:r>
          </w:p>
        </w:tc>
        <w:tc>
          <w:tcPr>
            <w:tcW w:w="3260" w:type="dxa"/>
            <w:tcBorders>
              <w:top w:val="nil"/>
              <w:bottom w:val="nil"/>
            </w:tcBorders>
          </w:tcPr>
          <w:p>
            <w:pPr>
              <w:pStyle w:val="yTableNAm"/>
              <w:tabs>
                <w:tab w:val="clear" w:pos="567"/>
                <w:tab w:val="left" w:pos="384"/>
              </w:tabs>
            </w:pPr>
            <w:r>
              <w:t>10.04 cents per unit for the first L units</w:t>
            </w:r>
          </w:p>
        </w:tc>
      </w:tr>
      <w:tr>
        <w:tc>
          <w:tcPr>
            <w:tcW w:w="2977" w:type="dxa"/>
            <w:tcBorders>
              <w:top w:val="nil"/>
              <w:bottom w:val="nil"/>
            </w:tcBorders>
          </w:tcPr>
          <w:p>
            <w:pPr>
              <w:pStyle w:val="yTableNAm"/>
              <w:numPr>
                <w:ilvl w:val="0"/>
                <w:numId w:val="2"/>
              </w:numPr>
              <w:tabs>
                <w:tab w:val="clear" w:pos="567"/>
                <w:tab w:val="left" w:pos="361"/>
              </w:tabs>
              <w:ind w:hanging="719"/>
            </w:pPr>
            <w:r>
              <w:t>second usage component</w:t>
            </w:r>
          </w:p>
        </w:tc>
        <w:tc>
          <w:tcPr>
            <w:tcW w:w="3260" w:type="dxa"/>
            <w:tcBorders>
              <w:top w:val="nil"/>
              <w:bottom w:val="nil"/>
            </w:tcBorders>
          </w:tcPr>
          <w:p>
            <w:pPr>
              <w:pStyle w:val="yTableNAm"/>
              <w:tabs>
                <w:tab w:val="clear" w:pos="567"/>
                <w:tab w:val="left" w:pos="384"/>
              </w:tabs>
            </w:pPr>
            <w:r>
              <w:t>9.06 cents per unit for the next M units</w:t>
            </w:r>
          </w:p>
        </w:tc>
      </w:tr>
      <w:tr>
        <w:tc>
          <w:tcPr>
            <w:tcW w:w="2977" w:type="dxa"/>
            <w:tcBorders>
              <w:top w:val="nil"/>
              <w:bottom w:val="single" w:sz="4" w:space="0" w:color="auto"/>
            </w:tcBorders>
          </w:tcPr>
          <w:p>
            <w:pPr>
              <w:pStyle w:val="yTableNAm"/>
              <w:numPr>
                <w:ilvl w:val="0"/>
                <w:numId w:val="2"/>
              </w:numPr>
              <w:tabs>
                <w:tab w:val="clear" w:pos="567"/>
                <w:tab w:val="left" w:pos="361"/>
              </w:tabs>
              <w:ind w:hanging="719"/>
            </w:pPr>
            <w:r>
              <w:t>third usage component</w:t>
            </w:r>
          </w:p>
        </w:tc>
        <w:tc>
          <w:tcPr>
            <w:tcW w:w="3260" w:type="dxa"/>
            <w:tcBorders>
              <w:top w:val="nil"/>
              <w:bottom w:val="single" w:sz="4" w:space="0" w:color="auto"/>
            </w:tcBorders>
          </w:tcPr>
          <w:p>
            <w:pPr>
              <w:pStyle w:val="yTableNAm"/>
              <w:tabs>
                <w:tab w:val="clear" w:pos="567"/>
                <w:tab w:val="left" w:pos="384"/>
              </w:tabs>
            </w:pPr>
            <w:r>
              <w:t>9.06 cents per unit for each additional unit</w:t>
            </w:r>
          </w:p>
          <w:p>
            <w:pPr>
              <w:pStyle w:val="yTableNAm"/>
              <w:tabs>
                <w:tab w:val="clear" w:pos="567"/>
                <w:tab w:val="left" w:pos="384"/>
              </w:tabs>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s>
              <w:ind w:left="796" w:hanging="504"/>
            </w:pPr>
            <w:r>
              <w:tab/>
              <w:t>N = the number of days in the period for which the charge is calculated</w:t>
            </w:r>
          </w:p>
        </w:tc>
      </w:tr>
      <w:tr>
        <w:tc>
          <w:tcPr>
            <w:tcW w:w="2977" w:type="dxa"/>
            <w:tcBorders>
              <w:top w:val="single" w:sz="4" w:space="0" w:color="auto"/>
              <w:bottom w:val="single" w:sz="4" w:space="0" w:color="auto"/>
            </w:tcBorders>
          </w:tcPr>
          <w:p>
            <w:pPr>
              <w:pStyle w:val="yTableNAm"/>
              <w:keepNext/>
              <w:keepLines/>
              <w:tabs>
                <w:tab w:val="clear" w:pos="567"/>
                <w:tab w:val="left" w:pos="361"/>
              </w:tabs>
            </w:pPr>
          </w:p>
        </w:tc>
        <w:tc>
          <w:tcPr>
            <w:tcW w:w="3260" w:type="dxa"/>
            <w:tcBorders>
              <w:top w:val="single" w:sz="4" w:space="0" w:color="auto"/>
              <w:bottom w:val="single" w:sz="4" w:space="0" w:color="auto"/>
            </w:tcBorders>
          </w:tcPr>
          <w:p>
            <w:pPr>
              <w:pStyle w:val="yTableNAm"/>
              <w:keepNext/>
              <w:keepLines/>
              <w:tabs>
                <w:tab w:val="clear" w:pos="567"/>
                <w:tab w:val="left" w:pos="384"/>
              </w:tabs>
              <w:spacing w:before="0"/>
              <w:ind w:left="386" w:hanging="386"/>
            </w:pPr>
            <w:r>
              <w:t>(b)</w:t>
            </w:r>
            <w:r>
              <w:tab/>
              <w:t>for multiple dwellings supplied through a commonly metered supply point —</w:t>
            </w:r>
          </w:p>
          <w:p>
            <w:pPr>
              <w:pStyle w:val="yTableNAm"/>
              <w:keepNext/>
              <w:keepLines/>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keepNext/>
              <w:keepLines/>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keepNext/>
              <w:keepLines/>
              <w:tabs>
                <w:tab w:val="clear" w:pos="567"/>
                <w:tab w:val="left" w:pos="384"/>
              </w:tabs>
              <w:ind w:left="796" w:hanging="556"/>
            </w:pPr>
            <w:r>
              <w:tab/>
              <w:t>N = the number of days in the period for which the charge is calculated</w:t>
            </w:r>
          </w:p>
          <w:p>
            <w:pPr>
              <w:pStyle w:val="yTableNAm"/>
              <w:keepNext/>
              <w:keepLines/>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w:t>
      </w:r>
    </w:p>
    <w:p>
      <w:pPr>
        <w:pStyle w:val="yHeading5"/>
      </w:pPr>
      <w:bookmarkStart w:id="71" w:name="_Toc234139451"/>
      <w:bookmarkStart w:id="72" w:name="_Toc240447157"/>
      <w:r>
        <w:rPr>
          <w:rStyle w:val="CharSClsNo"/>
        </w:rPr>
        <w:t>2</w:t>
      </w:r>
      <w:r>
        <w:t>.</w:t>
      </w:r>
      <w:r>
        <w:tab/>
        <w:t>Non</w:t>
      </w:r>
      <w:r>
        <w:noBreakHyphen/>
        <w:t>residential tariff</w:t>
      </w:r>
      <w:bookmarkEnd w:id="70"/>
      <w:bookmarkEnd w:id="71"/>
      <w:bookmarkEnd w:id="72"/>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tabs>
                <w:tab w:val="clear" w:pos="567"/>
                <w:tab w:val="left" w:pos="384"/>
              </w:tabs>
              <w:spacing w:after="80"/>
            </w:pPr>
            <w:r>
              <w:t>Fixed component</w:t>
            </w:r>
          </w:p>
        </w:tc>
        <w:tc>
          <w:tcPr>
            <w:tcW w:w="3260" w:type="dxa"/>
            <w:tcBorders>
              <w:bottom w:val="single" w:sz="4" w:space="0" w:color="auto"/>
            </w:tcBorders>
          </w:tcPr>
          <w:p>
            <w:pPr>
              <w:pStyle w:val="yTableNAm"/>
              <w:tabs>
                <w:tab w:val="clear" w:pos="567"/>
                <w:tab w:val="left" w:pos="384"/>
              </w:tabs>
              <w:spacing w:after="80"/>
            </w:pPr>
            <w:r>
              <w:t>12.71 cents per day</w:t>
            </w:r>
          </w:p>
        </w:tc>
      </w:tr>
      <w:tr>
        <w:tc>
          <w:tcPr>
            <w:tcW w:w="2977" w:type="dxa"/>
            <w:tcBorders>
              <w:bottom w:val="nil"/>
            </w:tcBorders>
          </w:tcPr>
          <w:p>
            <w:pPr>
              <w:pStyle w:val="yTableNAm"/>
              <w:tabs>
                <w:tab w:val="clear" w:pos="567"/>
                <w:tab w:val="left" w:pos="384"/>
              </w:tabs>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2"/>
              </w:numPr>
              <w:tabs>
                <w:tab w:val="clear" w:pos="567"/>
                <w:tab w:val="left" w:pos="384"/>
              </w:tabs>
              <w:ind w:hanging="719"/>
            </w:pPr>
            <w:r>
              <w:t>first usage component</w:t>
            </w:r>
          </w:p>
        </w:tc>
        <w:tc>
          <w:tcPr>
            <w:tcW w:w="3260" w:type="dxa"/>
            <w:tcBorders>
              <w:top w:val="nil"/>
              <w:bottom w:val="nil"/>
            </w:tcBorders>
          </w:tcPr>
          <w:p>
            <w:pPr>
              <w:pStyle w:val="yTableNAm"/>
              <w:tabs>
                <w:tab w:val="clear" w:pos="567"/>
                <w:tab w:val="left" w:pos="384"/>
              </w:tabs>
            </w:pPr>
            <w:r>
              <w:t>9.19 cents per unit for the first L units</w:t>
            </w:r>
          </w:p>
        </w:tc>
      </w:tr>
      <w:tr>
        <w:tc>
          <w:tcPr>
            <w:tcW w:w="2977" w:type="dxa"/>
            <w:tcBorders>
              <w:top w:val="nil"/>
              <w:bottom w:val="single" w:sz="4" w:space="0" w:color="auto"/>
            </w:tcBorders>
          </w:tcPr>
          <w:p>
            <w:pPr>
              <w:pStyle w:val="yTableNAm"/>
              <w:numPr>
                <w:ilvl w:val="0"/>
                <w:numId w:val="2"/>
              </w:numPr>
              <w:tabs>
                <w:tab w:val="clear" w:pos="567"/>
                <w:tab w:val="left" w:pos="384"/>
              </w:tabs>
              <w:ind w:hanging="719"/>
            </w:pPr>
            <w:r>
              <w:t>second usage component</w:t>
            </w:r>
          </w:p>
        </w:tc>
        <w:tc>
          <w:tcPr>
            <w:tcW w:w="3260" w:type="dxa"/>
            <w:tcBorders>
              <w:top w:val="nil"/>
              <w:bottom w:val="single" w:sz="4" w:space="0" w:color="auto"/>
            </w:tcBorders>
          </w:tcPr>
          <w:p>
            <w:pPr>
              <w:pStyle w:val="yTableNAm"/>
              <w:tabs>
                <w:tab w:val="clear" w:pos="567"/>
                <w:tab w:val="left" w:pos="384"/>
              </w:tabs>
            </w:pPr>
            <w:r>
              <w:t>7.36 cents per unit for each additional unit</w:t>
            </w:r>
          </w:p>
          <w:p>
            <w:pPr>
              <w:pStyle w:val="yTableNAm"/>
              <w:tabs>
                <w:tab w:val="clear" w:pos="567"/>
                <w:tab w:val="left" w:pos="384"/>
              </w:tabs>
            </w:pPr>
            <w:r>
              <w:t>Where —</w:t>
            </w:r>
          </w:p>
          <w:p>
            <w:pPr>
              <w:pStyle w:val="yTableNAm"/>
              <w:tabs>
                <w:tab w:val="clear" w:pos="567"/>
                <w:tab w:val="left" w:pos="384"/>
              </w:tabs>
            </w:pPr>
            <w:r>
              <w:t xml:space="preserve">L = 100 </w:t>
            </w:r>
            <w:r>
              <w:sym w:font="Wingdings 2" w:char="F0CE"/>
            </w:r>
            <w:r>
              <w:t xml:space="preserve"> N</w:t>
            </w:r>
          </w:p>
          <w:p>
            <w:pPr>
              <w:pStyle w:val="yTableNAm"/>
              <w:tabs>
                <w:tab w:val="clear" w:pos="567"/>
                <w:tab w:val="left" w:pos="384"/>
              </w:tabs>
              <w:ind w:left="384" w:hanging="384"/>
            </w:pPr>
            <w:r>
              <w:t>N = the number of days in the period for which the charge is calculated</w:t>
            </w:r>
          </w:p>
        </w:tc>
      </w:tr>
    </w:tbl>
    <w:p>
      <w:pPr>
        <w:pStyle w:val="yFootnotesection"/>
      </w:pPr>
      <w:r>
        <w:tab/>
        <w:t>[Clause 2 amended in Gazette 18 Oct 2002 p. 5224; 30 Jun 2008 p. 3134; 30 Jun 2009 p. 2671.]</w:t>
      </w:r>
    </w:p>
    <w:p>
      <w:pPr>
        <w:pStyle w:val="yHeading2"/>
      </w:pPr>
      <w:bookmarkStart w:id="73" w:name="_Toc234139452"/>
      <w:bookmarkStart w:id="74" w:name="_Toc238528510"/>
      <w:bookmarkStart w:id="75" w:name="_Toc238528590"/>
      <w:bookmarkStart w:id="76" w:name="_Toc238529202"/>
      <w:bookmarkStart w:id="77" w:name="_Toc238969836"/>
      <w:bookmarkStart w:id="78" w:name="_Toc238973700"/>
      <w:bookmarkStart w:id="79" w:name="_Toc238973813"/>
      <w:bookmarkStart w:id="80" w:name="_Toc240447158"/>
      <w:r>
        <w:rPr>
          <w:rStyle w:val="CharSDivNo"/>
          <w:sz w:val="28"/>
        </w:rPr>
        <w:t>Part 2</w:t>
      </w:r>
      <w:r>
        <w:rPr>
          <w:rStyle w:val="CharDivNo"/>
        </w:rPr>
        <w:t xml:space="preserve"> </w:t>
      </w:r>
      <w:r>
        <w:t>—</w:t>
      </w:r>
      <w:r>
        <w:rPr>
          <w:rStyle w:val="CharDivText"/>
        </w:rPr>
        <w:t xml:space="preserve"> </w:t>
      </w:r>
      <w:r>
        <w:rPr>
          <w:rStyle w:val="CharSDivText"/>
          <w:sz w:val="28"/>
        </w:rPr>
        <w:t>Albany area</w:t>
      </w:r>
      <w:bookmarkEnd w:id="73"/>
      <w:bookmarkEnd w:id="74"/>
      <w:bookmarkEnd w:id="75"/>
      <w:bookmarkEnd w:id="76"/>
      <w:bookmarkEnd w:id="77"/>
      <w:bookmarkEnd w:id="78"/>
      <w:bookmarkEnd w:id="79"/>
      <w:bookmarkEnd w:id="80"/>
    </w:p>
    <w:p>
      <w:pPr>
        <w:pStyle w:val="yHeading5"/>
      </w:pPr>
      <w:bookmarkStart w:id="81" w:name="_Toc484947042"/>
      <w:bookmarkStart w:id="82" w:name="_Toc234139453"/>
      <w:bookmarkStart w:id="83" w:name="_Toc240447159"/>
      <w:r>
        <w:rPr>
          <w:rStyle w:val="CharSClsNo"/>
        </w:rPr>
        <w:t>3</w:t>
      </w:r>
      <w:r>
        <w:t>.</w:t>
      </w:r>
      <w:r>
        <w:tab/>
        <w:t>Residential tariff</w:t>
      </w:r>
      <w:bookmarkEnd w:id="81"/>
      <w:bookmarkEnd w:id="82"/>
      <w:bookmarkEnd w:id="83"/>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84"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4"/>
      </w:tblGrid>
      <w:tr>
        <w:tc>
          <w:tcPr>
            <w:tcW w:w="1843" w:type="dxa"/>
            <w:tcBorders>
              <w:bottom w:val="nil"/>
            </w:tcBorders>
          </w:tcPr>
          <w:p>
            <w:pPr>
              <w:pStyle w:val="yTableNAm"/>
              <w:tabs>
                <w:tab w:val="clear" w:pos="567"/>
                <w:tab w:val="left" w:pos="384"/>
              </w:tabs>
            </w:pPr>
            <w:r>
              <w:t>Fixed component</w:t>
            </w:r>
          </w:p>
        </w:tc>
        <w:tc>
          <w:tcPr>
            <w:tcW w:w="4394" w:type="dxa"/>
            <w:tcBorders>
              <w:bottom w:val="nil"/>
            </w:tcBorders>
          </w:tcPr>
          <w:p>
            <w:pPr>
              <w:pStyle w:val="yTableNAm"/>
              <w:tabs>
                <w:tab w:val="clear" w:pos="567"/>
                <w:tab w:val="left" w:pos="384"/>
              </w:tabs>
              <w:ind w:left="384" w:hanging="384"/>
            </w:pPr>
            <w:r>
              <w:t>(a)</w:t>
            </w:r>
            <w:r>
              <w:tab/>
              <w:t>for premises other than those described in paragraph (b) — 15.28 cents per day;</w:t>
            </w:r>
          </w:p>
        </w:tc>
      </w:tr>
      <w:tr>
        <w:tc>
          <w:tcPr>
            <w:tcW w:w="1843" w:type="dxa"/>
            <w:tcBorders>
              <w:top w:val="nil"/>
              <w:bottom w:val="nil"/>
            </w:tcBorders>
          </w:tcPr>
          <w:p>
            <w:pPr>
              <w:pStyle w:val="yTableNAm"/>
              <w:tabs>
                <w:tab w:val="clear" w:pos="567"/>
                <w:tab w:val="left" w:pos="384"/>
              </w:tabs>
            </w:pPr>
          </w:p>
        </w:tc>
        <w:tc>
          <w:tcPr>
            <w:tcW w:w="4394" w:type="dxa"/>
            <w:tcBorders>
              <w:top w:val="nil"/>
              <w:bottom w:val="nil"/>
            </w:tcBorders>
          </w:tcPr>
          <w:p>
            <w:pPr>
              <w:pStyle w:val="yTableNAm"/>
              <w:tabs>
                <w:tab w:val="clear" w:pos="567"/>
                <w:tab w:val="left" w:pos="384"/>
              </w:tabs>
              <w:ind w:left="384" w:hanging="384"/>
            </w:pPr>
            <w:r>
              <w:t>(b)</w:t>
            </w:r>
            <w:r>
              <w:tab/>
              <w:t xml:space="preserve">for multiple dwellings supplied through a commonly metered supply point — </w:t>
            </w:r>
          </w:p>
        </w:tc>
      </w:tr>
      <w:tr>
        <w:tc>
          <w:tcPr>
            <w:tcW w:w="1843" w:type="dxa"/>
            <w:tcBorders>
              <w:top w:val="nil"/>
            </w:tcBorders>
          </w:tcPr>
          <w:p>
            <w:pPr>
              <w:pStyle w:val="yTableNAm"/>
              <w:tabs>
                <w:tab w:val="clear" w:pos="567"/>
                <w:tab w:val="left" w:pos="384"/>
              </w:tabs>
            </w:pPr>
          </w:p>
        </w:tc>
        <w:tc>
          <w:tcPr>
            <w:tcW w:w="4394" w:type="dxa"/>
            <w:tcBorders>
              <w:top w:val="nil"/>
            </w:tcBorders>
          </w:tcPr>
          <w:p>
            <w:pPr>
              <w:pStyle w:val="yTableNAm"/>
              <w:tabs>
                <w:tab w:val="clear" w:pos="567"/>
                <w:tab w:val="left" w:pos="384"/>
              </w:tabs>
              <w:ind w:left="799" w:hanging="799"/>
            </w:pPr>
            <w:r>
              <w:tab/>
              <w:t>•</w:t>
            </w:r>
            <w:r>
              <w:tab/>
              <w:t>15.28 cents per day for the first dwelling;</w:t>
            </w:r>
          </w:p>
          <w:p>
            <w:pPr>
              <w:pStyle w:val="yTableNAm"/>
              <w:tabs>
                <w:tab w:val="clear" w:pos="567"/>
                <w:tab w:val="left" w:pos="384"/>
              </w:tabs>
              <w:spacing w:after="80"/>
              <w:ind w:left="799" w:hanging="799"/>
            </w:pPr>
            <w:r>
              <w:tab/>
              <w:t>•</w:t>
            </w:r>
            <w:r>
              <w:tab/>
              <w:t>7.62 cents per day for each additional dwelling</w:t>
            </w:r>
          </w:p>
        </w:tc>
      </w:tr>
      <w:tr>
        <w:tc>
          <w:tcPr>
            <w:tcW w:w="1843" w:type="dxa"/>
            <w:tcBorders>
              <w:bottom w:val="single" w:sz="4" w:space="0" w:color="auto"/>
            </w:tcBorders>
          </w:tcPr>
          <w:p>
            <w:pPr>
              <w:pStyle w:val="yTableNAm"/>
              <w:tabs>
                <w:tab w:val="clear" w:pos="567"/>
                <w:tab w:val="left" w:pos="384"/>
              </w:tabs>
              <w:spacing w:after="80"/>
            </w:pPr>
            <w:r>
              <w:t>Usage component</w:t>
            </w:r>
          </w:p>
        </w:tc>
        <w:tc>
          <w:tcPr>
            <w:tcW w:w="4394" w:type="dxa"/>
            <w:tcBorders>
              <w:bottom w:val="single" w:sz="4" w:space="0" w:color="auto"/>
            </w:tcBorders>
          </w:tcPr>
          <w:p>
            <w:pPr>
              <w:pStyle w:val="yTableNAm"/>
              <w:tabs>
                <w:tab w:val="clear" w:pos="567"/>
                <w:tab w:val="left" w:pos="384"/>
              </w:tabs>
              <w:spacing w:after="80"/>
            </w:pPr>
            <w:r>
              <w:t>11.11 cents per unit</w:t>
            </w:r>
          </w:p>
        </w:tc>
      </w:tr>
    </w:tbl>
    <w:p>
      <w:pPr>
        <w:pStyle w:val="yFootnotesection"/>
      </w:pPr>
      <w:r>
        <w:tab/>
        <w:t>[Clause 3 amended in Gazette 18 Oct 2002 p. 5224; 30 Jun 2008 p. 3134; 30 Jun 2009 p. 2672.]</w:t>
      </w:r>
    </w:p>
    <w:p>
      <w:pPr>
        <w:pStyle w:val="yHeading5"/>
      </w:pPr>
      <w:bookmarkStart w:id="85" w:name="_Toc234139454"/>
      <w:bookmarkStart w:id="86" w:name="_Toc240447160"/>
      <w:r>
        <w:rPr>
          <w:rStyle w:val="CharSClsNo"/>
        </w:rPr>
        <w:t>4</w:t>
      </w:r>
      <w:r>
        <w:t>.</w:t>
      </w:r>
      <w:r>
        <w:tab/>
        <w:t>Non</w:t>
      </w:r>
      <w:r>
        <w:noBreakHyphen/>
        <w:t>residential tariff</w:t>
      </w:r>
      <w:bookmarkEnd w:id="84"/>
      <w:bookmarkEnd w:id="85"/>
      <w:bookmarkEnd w:id="86"/>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15.28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11.11 cents per unit</w:t>
            </w:r>
          </w:p>
        </w:tc>
      </w:tr>
    </w:tbl>
    <w:p>
      <w:pPr>
        <w:pStyle w:val="yFootnotesection"/>
      </w:pPr>
      <w:r>
        <w:tab/>
        <w:t>[Clause 4 amended in Gazette 18 Oct 2002 p. 5224; 30 Jun 2008 p. 3135; 30 Jun 2009 p. 2672.]</w:t>
      </w:r>
    </w:p>
    <w:p>
      <w:pPr>
        <w:pStyle w:val="yHeading2"/>
        <w:rPr>
          <w:rStyle w:val="CharPartText"/>
        </w:rPr>
      </w:pPr>
      <w:bookmarkStart w:id="87" w:name="_Toc234139455"/>
      <w:bookmarkStart w:id="88" w:name="_Toc238528513"/>
      <w:bookmarkStart w:id="89" w:name="_Toc238528593"/>
      <w:bookmarkStart w:id="90" w:name="_Toc238529205"/>
      <w:bookmarkStart w:id="91" w:name="_Toc238969839"/>
      <w:bookmarkStart w:id="92" w:name="_Toc238973703"/>
      <w:bookmarkStart w:id="93" w:name="_Toc238973816"/>
      <w:bookmarkStart w:id="94" w:name="_Toc240447161"/>
      <w:r>
        <w:rPr>
          <w:rStyle w:val="CharSDivNo"/>
          <w:sz w:val="28"/>
        </w:rPr>
        <w:t>Part 3</w:t>
      </w:r>
      <w:r>
        <w:t xml:space="preserve"> — </w:t>
      </w:r>
      <w:r>
        <w:rPr>
          <w:rStyle w:val="CharSDivText"/>
          <w:sz w:val="28"/>
        </w:rPr>
        <w:t>Kalgoorlie</w:t>
      </w:r>
      <w:r>
        <w:rPr>
          <w:rStyle w:val="CharSDivText"/>
          <w:sz w:val="28"/>
        </w:rPr>
        <w:noBreakHyphen/>
        <w:t>Boulder area</w:t>
      </w:r>
      <w:bookmarkEnd w:id="87"/>
      <w:bookmarkEnd w:id="88"/>
      <w:bookmarkEnd w:id="89"/>
      <w:bookmarkEnd w:id="90"/>
      <w:bookmarkEnd w:id="91"/>
      <w:bookmarkEnd w:id="92"/>
      <w:bookmarkEnd w:id="93"/>
      <w:bookmarkEnd w:id="94"/>
    </w:p>
    <w:p>
      <w:pPr>
        <w:pStyle w:val="yHeading5"/>
      </w:pPr>
      <w:bookmarkStart w:id="95" w:name="_Toc484947044"/>
      <w:bookmarkStart w:id="96" w:name="_Toc234139456"/>
      <w:bookmarkStart w:id="97" w:name="_Toc240447162"/>
      <w:r>
        <w:rPr>
          <w:rStyle w:val="CharSClsNo"/>
        </w:rPr>
        <w:t>5</w:t>
      </w:r>
      <w:r>
        <w:t>.</w:t>
      </w:r>
      <w:r>
        <w:tab/>
        <w:t>Residential tariff</w:t>
      </w:r>
      <w:bookmarkEnd w:id="95"/>
      <w:bookmarkEnd w:id="96"/>
      <w:bookmarkEnd w:id="9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98"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9.33 cents per unit</w:t>
            </w:r>
          </w:p>
        </w:tc>
      </w:tr>
    </w:tbl>
    <w:p>
      <w:pPr>
        <w:pStyle w:val="yFootnotesection"/>
      </w:pPr>
      <w:r>
        <w:tab/>
        <w:t>[Clause 5 amended in Gazette 18 Oct 2002 p. 5224</w:t>
      </w:r>
      <w:r>
        <w:noBreakHyphen/>
        <w:t>5; 30 Jun 2008 p. 3135; 30 Jun 2009 p. 2672.]</w:t>
      </w:r>
    </w:p>
    <w:p>
      <w:pPr>
        <w:pStyle w:val="yHeading5"/>
      </w:pPr>
      <w:bookmarkStart w:id="99" w:name="_Toc234139457"/>
      <w:bookmarkStart w:id="100" w:name="_Toc240447163"/>
      <w:r>
        <w:rPr>
          <w:rStyle w:val="CharSClsNo"/>
        </w:rPr>
        <w:t>6</w:t>
      </w:r>
      <w:r>
        <w:t>.</w:t>
      </w:r>
      <w:r>
        <w:tab/>
        <w:t>Non</w:t>
      </w:r>
      <w:r>
        <w:noBreakHyphen/>
        <w:t>residential tariff</w:t>
      </w:r>
      <w:bookmarkEnd w:id="98"/>
      <w:bookmarkEnd w:id="99"/>
      <w:bookmarkEnd w:id="10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01" w:name="_Hlt476483918"/>
      <w:bookmarkStart w:id="102" w:name="_Hlt472154491"/>
      <w:bookmarkStart w:id="103" w:name="endcomma"/>
      <w:bookmarkStart w:id="104" w:name="comma"/>
      <w:bookmarkStart w:id="105" w:name="_Hlt476707899"/>
      <w:bookmarkStart w:id="106" w:name="_Hlt471891715"/>
      <w:bookmarkStart w:id="107" w:name="_Hlt472129258"/>
      <w:bookmarkStart w:id="108" w:name="_Hlt472129337"/>
      <w:bookmarkStart w:id="109" w:name="_Hlt476483916"/>
      <w:bookmarkStart w:id="110" w:name="_Hlt476572447"/>
      <w:bookmarkEnd w:id="101"/>
      <w:bookmarkEnd w:id="102"/>
      <w:bookmarkEnd w:id="103"/>
      <w:bookmarkEnd w:id="104"/>
      <w:bookmarkEnd w:id="105"/>
      <w:bookmarkEnd w:id="106"/>
      <w:bookmarkEnd w:id="107"/>
      <w:bookmarkEnd w:id="108"/>
      <w:bookmarkEnd w:id="109"/>
      <w:bookmarkEnd w:id="11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8.35 cents per unit</w:t>
            </w:r>
          </w:p>
        </w:tc>
      </w:tr>
    </w:tbl>
    <w:p>
      <w:pPr>
        <w:pStyle w:val="yFootnotesection"/>
      </w:pPr>
      <w:r>
        <w:tab/>
        <w:t>[Clause 6 amended in Gazette 18 Oct 2002 p. 5224</w:t>
      </w:r>
      <w:r>
        <w:noBreakHyphen/>
        <w:t>5; 30 Jun 2008 p. 3135; 30 Jun 2009 p. 2673.]</w:t>
      </w:r>
    </w:p>
    <w:p>
      <w:pPr>
        <w:pStyle w:val="yHeading2"/>
      </w:pPr>
      <w:bookmarkStart w:id="111" w:name="_Toc234139458"/>
      <w:bookmarkStart w:id="112" w:name="_Toc238528516"/>
      <w:bookmarkStart w:id="113" w:name="_Toc238528596"/>
      <w:bookmarkStart w:id="114" w:name="_Toc238529208"/>
      <w:bookmarkStart w:id="115" w:name="_Toc238969842"/>
      <w:bookmarkStart w:id="116" w:name="_Toc238973706"/>
      <w:bookmarkStart w:id="117" w:name="_Toc238973819"/>
      <w:bookmarkStart w:id="118" w:name="_Toc240447164"/>
      <w:r>
        <w:rPr>
          <w:rStyle w:val="CharSDivNo"/>
          <w:sz w:val="28"/>
        </w:rPr>
        <w:t>Part 4</w:t>
      </w:r>
      <w:r>
        <w:rPr>
          <w:b w:val="0"/>
        </w:rPr>
        <w:t> </w:t>
      </w:r>
      <w:r>
        <w:t>—</w:t>
      </w:r>
      <w:r>
        <w:rPr>
          <w:b w:val="0"/>
        </w:rPr>
        <w:t> </w:t>
      </w:r>
      <w:r>
        <w:rPr>
          <w:rStyle w:val="CharSDivText"/>
          <w:sz w:val="28"/>
        </w:rPr>
        <w:t>Adjustment of certain tariff caps</w:t>
      </w:r>
      <w:bookmarkEnd w:id="111"/>
      <w:bookmarkEnd w:id="112"/>
      <w:bookmarkEnd w:id="113"/>
      <w:bookmarkEnd w:id="114"/>
      <w:bookmarkEnd w:id="115"/>
      <w:bookmarkEnd w:id="116"/>
      <w:bookmarkEnd w:id="117"/>
      <w:bookmarkEnd w:id="118"/>
    </w:p>
    <w:p>
      <w:pPr>
        <w:pStyle w:val="yFootnoteheading"/>
        <w:keepNext/>
      </w:pPr>
      <w:bookmarkStart w:id="119" w:name="_Toc234139459"/>
      <w:r>
        <w:tab/>
        <w:t>[Heading inserted in Gazette 18 Oct 2002 p. 5225.]</w:t>
      </w:r>
    </w:p>
    <w:p>
      <w:pPr>
        <w:pStyle w:val="yHeading5"/>
      </w:pPr>
      <w:bookmarkStart w:id="120" w:name="_Toc240447165"/>
      <w:r>
        <w:rPr>
          <w:rStyle w:val="CharSClsNo"/>
        </w:rPr>
        <w:t>7</w:t>
      </w:r>
      <w:r>
        <w:t>.</w:t>
      </w:r>
      <w:r>
        <w:tab/>
        <w:t>Term used: CPI number</w:t>
      </w:r>
      <w:bookmarkEnd w:id="119"/>
      <w:bookmarkEnd w:id="120"/>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121" w:name="_Toc234139460"/>
      <w:r>
        <w:tab/>
        <w:t>[Clause 7 inserted in Gazette 18 Oct 2002 p. 5225.]</w:t>
      </w:r>
    </w:p>
    <w:p>
      <w:pPr>
        <w:pStyle w:val="yHeading5"/>
      </w:pPr>
      <w:bookmarkStart w:id="122" w:name="_Toc240447166"/>
      <w:r>
        <w:rPr>
          <w:rStyle w:val="CharSClsNo"/>
        </w:rPr>
        <w:t>8</w:t>
      </w:r>
      <w:r>
        <w:t>.</w:t>
      </w:r>
      <w:r>
        <w:tab/>
        <w:t>General adjustment for 2010/11 financial year and subsequent financial years</w:t>
      </w:r>
      <w:bookmarkEnd w:id="121"/>
      <w:bookmarkEnd w:id="122"/>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27" o:title=""/>
          </v:shape>
          <o:OLEObject Type="Embed" ProgID="Equation.3" ShapeID="_x0000_i1025" DrawAspect="Content" ObjectID="_1644028964" r:id="rId28"/>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w:t>
      </w:r>
    </w:p>
    <w:p>
      <w:pPr>
        <w:pStyle w:val="yHeading5"/>
      </w:pPr>
      <w:bookmarkStart w:id="123" w:name="_Toc234139461"/>
      <w:bookmarkStart w:id="124" w:name="_Toc240447167"/>
      <w:r>
        <w:rPr>
          <w:rStyle w:val="CharSClsNo"/>
        </w:rPr>
        <w:t>9</w:t>
      </w:r>
      <w:r>
        <w:t>.</w:t>
      </w:r>
      <w:r>
        <w:tab/>
        <w:t>Special adjustment for residential tariffs in Mid</w:t>
      </w:r>
      <w:r>
        <w:noBreakHyphen/>
        <w:t>West/South</w:t>
      </w:r>
      <w:r>
        <w:noBreakHyphen/>
        <w:t>West area</w:t>
      </w:r>
      <w:bookmarkEnd w:id="123"/>
      <w:bookmarkEnd w:id="124"/>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9" o:title=""/>
          </v:shape>
          <o:OLEObject Type="Embed" ProgID="Equation.3" ShapeID="_x0000_i1026" DrawAspect="Content" ObjectID="_1644028965" r:id="rId30"/>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pPr>
      <w:r>
        <w:tab/>
        <w:t>[Clause 9 inserted in Gazette 18 Oct 2002 p. 5226; amended in Gazette 30 Jun 2008 p. 3136; 30 Jun 2009 p. 2673.]</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25" w:name="_Toc202505226"/>
      <w:bookmarkStart w:id="126" w:name="_Toc234139462"/>
      <w:bookmarkStart w:id="127" w:name="_Toc238528520"/>
      <w:bookmarkStart w:id="128" w:name="_Toc238528600"/>
      <w:bookmarkStart w:id="129" w:name="_Toc238529212"/>
      <w:bookmarkStart w:id="130" w:name="_Toc238969846"/>
      <w:bookmarkStart w:id="131" w:name="_Toc238973710"/>
      <w:bookmarkStart w:id="132" w:name="_Toc238973823"/>
      <w:bookmarkStart w:id="133" w:name="_Toc240447168"/>
      <w:r>
        <w:t>Notes</w:t>
      </w:r>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reprint is a compilation as at 18 September 2009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34" w:name="_Toc240447169"/>
      <w: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bl>
    <w:p>
      <w:pPr>
        <w:rPr>
          <w:iCs/>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135" w:name="_Toc238973825"/>
      <w:bookmarkStart w:id="136" w:name="_Toc240447170"/>
      <w:r>
        <w:rPr>
          <w:sz w:val="28"/>
        </w:rPr>
        <w:t>Defined Terms</w:t>
      </w:r>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 w:name="DefinedTerms"/>
      <w:bookmarkEnd w:id="137"/>
      <w:r>
        <w:t>Albany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Pr>
        <w:pStyle w:val="DefinedTerms"/>
      </w:pPr>
    </w:p>
    <w:p/>
    <w:p/>
    <w:p/>
    <w:p/>
    <w:p/>
    <w:p/>
    <w:p/>
    <w:p/>
    <w:p/>
    <w:p/>
    <w:p/>
    <w:p/>
    <w:p/>
    <w:p>
      <w:bookmarkStart w:id="138" w:name="UpToHere"/>
      <w:bookmarkEnd w:id="138"/>
    </w:p>
    <w:p/>
    <w:p/>
    <w:p>
      <w:pPr>
        <w:pStyle w:val="CommentText"/>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564B9A"/>
    <w:multiLevelType w:val="hybridMultilevel"/>
    <w:tmpl w:val="114E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55"/>
    <w:docVar w:name="WAFER_20151207123155" w:val="RemoveTrackChanges"/>
    <w:docVar w:name="WAFER_20151207123155_GUID" w:val="ea1e3405-11ca-445b-bf5d-b07091a3f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2779</Words>
  <Characters>13117</Characters>
  <Application>Microsoft Office Word</Application>
  <DocSecurity>0</DocSecurity>
  <Lines>468</Lines>
  <Paragraphs>299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15597</CharactersWithSpaces>
  <SharedDoc>false</SharedDoc>
  <HLinks>
    <vt:vector size="18" baseType="variant">
      <vt:variant>
        <vt:i4>3014716</vt:i4>
      </vt:variant>
      <vt:variant>
        <vt:i4>2986</vt:i4>
      </vt:variant>
      <vt:variant>
        <vt:i4>1025</vt:i4>
      </vt:variant>
      <vt:variant>
        <vt:i4>1</vt:i4>
      </vt:variant>
      <vt:variant>
        <vt:lpwstr>C:\Program Files\PCO DLL\Support\Crest.wpg</vt:lpwstr>
      </vt:variant>
      <vt:variant>
        <vt:lpwstr/>
      </vt:variant>
      <vt:variant>
        <vt:i4>5439608</vt:i4>
      </vt:variant>
      <vt:variant>
        <vt:i4>15378</vt:i4>
      </vt:variant>
      <vt:variant>
        <vt:i4>1028</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2000 - 01-a0-02</dc:title>
  <dc:subject/>
  <dc:creator/>
  <cp:keywords/>
  <dc:description/>
  <cp:lastModifiedBy>svcMRProcess</cp:lastModifiedBy>
  <cp:revision>4</cp:revision>
  <cp:lastPrinted>2009-09-11T07:46:00Z</cp:lastPrinted>
  <dcterms:created xsi:type="dcterms:W3CDTF">2020-02-23T21:56:00Z</dcterms:created>
  <dcterms:modified xsi:type="dcterms:W3CDTF">2020-02-23T21:56:00Z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20090918</vt:lpwstr>
  </property>
  <property fmtid="{D5CDD505-2E9C-101B-9397-08002B2CF9AE}" pid="4" name="DocumentType">
    <vt:lpwstr>Reg</vt:lpwstr>
  </property>
  <property fmtid="{D5CDD505-2E9C-101B-9397-08002B2CF9AE}" pid="5" name="AsAtDate">
    <vt:lpwstr>18 Sep 2009</vt:lpwstr>
  </property>
  <property fmtid="{D5CDD505-2E9C-101B-9397-08002B2CF9AE}" pid="6" name="Suffix">
    <vt:lpwstr>01-a0-02</vt:lpwstr>
  </property>
  <property fmtid="{D5CDD505-2E9C-101B-9397-08002B2CF9AE}" pid="7" name="OwlsUID">
    <vt:i4>1369</vt:i4>
  </property>
  <property fmtid="{D5CDD505-2E9C-101B-9397-08002B2CF9AE}" pid="8" name="ReprintNo">
    <vt:lpwstr>1</vt:lpwstr>
  </property>
</Properties>
</file>