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Casino Control Act 1984</w:t>
      </w:r>
    </w:p>
    <w:p>
      <w:pPr>
        <w:pStyle w:val="NameofActRegPage1"/>
        <w:spacing w:before="1800" w:after="420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_Toc244662683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 and completion of forms</w:t>
      </w:r>
      <w:r>
        <w:tab/>
      </w:r>
      <w:r>
        <w:fldChar w:fldCharType="begin"/>
      </w:r>
      <w:r>
        <w:instrText xml:space="preserve"> PAGEREF _Toc244662684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_Toc244662685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_Toc244662686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_Toc244662687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_Toc244662688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_Toc244662689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_Toc244662690 \h </w:instrText>
      </w:r>
      <w:r>
        <w:fldChar w:fldCharType="separate"/>
      </w:r>
      <w:r>
        <w:t>8</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_Toc244662691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_Toc244662692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_Toc244662693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_Toc244662694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_Toc244662695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_Toc244662696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_Toc244662697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_Toc244662698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_Toc244662699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_Toc244662700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_Toc244662701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_Toc244662702 \h </w:instrText>
      </w:r>
      <w:r>
        <w:fldChar w:fldCharType="separate"/>
      </w:r>
      <w:r>
        <w:t>16</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_Toc244662703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_Toc244662704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_Toc244662707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_Toc244662708 \h </w:instrText>
      </w:r>
      <w:r>
        <w:fldChar w:fldCharType="separate"/>
      </w:r>
      <w:r>
        <w:t>28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 w:name="_Toc455999609"/>
      <w:bookmarkStart w:id="2" w:name="_Toc45359604"/>
      <w:bookmarkStart w:id="3" w:name="_Toc116985883"/>
      <w:bookmarkStart w:id="4" w:name="_Toc212946876"/>
      <w:bookmarkStart w:id="5" w:name="_Toc244662683"/>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244662684"/>
      <w:r>
        <w:rPr>
          <w:rStyle w:val="CharSectno"/>
        </w:rPr>
        <w:t>2</w:t>
      </w:r>
      <w:r>
        <w:rPr>
          <w:snapToGrid w:val="0"/>
        </w:rPr>
        <w:t xml:space="preserve">. </w:t>
      </w:r>
      <w:r>
        <w:rPr>
          <w:snapToGrid w:val="0"/>
        </w:rPr>
        <w:tab/>
        <w:t>Interpretation and completion of forms</w:t>
      </w:r>
      <w:bookmarkEnd w:id="6"/>
      <w:bookmarkEnd w:id="7"/>
      <w:bookmarkEnd w:id="8"/>
      <w:bookmarkEnd w:id="9"/>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244662685"/>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244662686"/>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244662687"/>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6" w:name="_Toc455999614"/>
      <w:bookmarkStart w:id="27" w:name="_Toc45359609"/>
      <w:bookmarkStart w:id="28" w:name="_Toc116985888"/>
      <w:bookmarkStart w:id="29" w:name="_Toc212946881"/>
      <w:bookmarkStart w:id="30" w:name="_Toc244662688"/>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$380;</w:t>
      </w:r>
      <w:r>
        <w:rPr>
          <w:snapToGrid w:val="0"/>
        </w:rPr>
        <w:t xml:space="preserve"> and</w:t>
      </w:r>
    </w:p>
    <w:p>
      <w:pPr>
        <w:pStyle w:val="Indenta"/>
        <w:rPr>
          <w:snapToGrid w:val="0"/>
        </w:rPr>
      </w:pPr>
      <w:r>
        <w:rPr>
          <w:snapToGrid w:val="0"/>
        </w:rPr>
        <w:tab/>
        <w:t>(b)</w:t>
      </w:r>
      <w:r>
        <w:rPr>
          <w:snapToGrid w:val="0"/>
        </w:rPr>
        <w:tab/>
        <w:t xml:space="preserve">for a casino employee licence, is </w:t>
      </w:r>
      <w:r>
        <w:t>$240.</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 xml:space="preserve">$105; </w:t>
      </w:r>
      <w:r>
        <w:rPr>
          <w:snapToGrid w:val="0"/>
        </w:rPr>
        <w:t>and</w:t>
      </w:r>
    </w:p>
    <w:p>
      <w:pPr>
        <w:pStyle w:val="Indenta"/>
        <w:rPr>
          <w:snapToGrid w:val="0"/>
        </w:rPr>
      </w:pPr>
      <w:r>
        <w:rPr>
          <w:snapToGrid w:val="0"/>
        </w:rPr>
        <w:tab/>
        <w:t>(b)</w:t>
      </w:r>
      <w:r>
        <w:rPr>
          <w:snapToGrid w:val="0"/>
        </w:rPr>
        <w:tab/>
        <w:t xml:space="preserve">for the renewal of a casino employee licence, is </w:t>
      </w:r>
      <w:r>
        <w:t>$105.</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$275;</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 xml:space="preserve">40.] </w:t>
      </w:r>
    </w:p>
    <w:p>
      <w:pPr>
        <w:pStyle w:val="Heading5"/>
        <w:rPr>
          <w:snapToGrid w:val="0"/>
        </w:rPr>
      </w:pPr>
      <w:bookmarkStart w:id="31" w:name="_Toc455999615"/>
      <w:bookmarkStart w:id="32" w:name="_Toc45359610"/>
      <w:bookmarkStart w:id="33" w:name="_Toc116985889"/>
      <w:bookmarkStart w:id="34" w:name="_Toc212946882"/>
      <w:bookmarkStart w:id="35" w:name="_Toc244662689"/>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244662690"/>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244662691"/>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244662692"/>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244662693"/>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244662694"/>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244662695"/>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244662696"/>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244662697"/>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244662698"/>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244662699"/>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244662700"/>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244662701"/>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244662702"/>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244662703"/>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244662704"/>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bookmarkStart w:id="125" w:name="_Toc218325565"/>
      <w:bookmarkStart w:id="126" w:name="_Toc218400287"/>
      <w:bookmarkStart w:id="127" w:name="_Toc244662705"/>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8" w:name="_Toc82249527"/>
      <w:bookmarkStart w:id="129" w:name="_Toc107386725"/>
      <w:bookmarkStart w:id="130" w:name="_Toc116985906"/>
      <w:bookmarkStart w:id="131" w:name="_Toc131402581"/>
      <w:bookmarkStart w:id="132" w:name="_Toc131903953"/>
      <w:bookmarkStart w:id="133" w:name="_Toc131912921"/>
      <w:bookmarkStart w:id="134" w:name="_Toc133218347"/>
      <w:bookmarkStart w:id="135" w:name="_Toc140368921"/>
      <w:bookmarkStart w:id="136" w:name="_Toc151200076"/>
      <w:bookmarkStart w:id="137" w:name="_Toc151260900"/>
      <w:bookmarkStart w:id="138" w:name="_Toc155062952"/>
      <w:bookmarkStart w:id="139" w:name="_Toc155080133"/>
      <w:bookmarkStart w:id="140" w:name="_Toc155080182"/>
      <w:bookmarkStart w:id="141" w:name="_Toc179703959"/>
      <w:bookmarkStart w:id="142" w:name="_Toc185647027"/>
      <w:bookmarkStart w:id="143" w:name="_Toc212946899"/>
      <w:bookmarkStart w:id="144" w:name="_Toc218325566"/>
      <w:bookmarkStart w:id="145" w:name="_Toc218400288"/>
      <w:bookmarkStart w:id="146" w:name="_Toc244662706"/>
      <w:r>
        <w:t>Notes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7" w:name="_Toc212946900"/>
      <w:bookmarkStart w:id="148" w:name="_Toc244662707"/>
      <w: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Borders>
              <w:bottom w:val="single" w:sz="8" w:space="0" w:color="auto"/>
            </w:tcBorders>
          </w:tcPr>
          <w:p>
            <w:pPr>
              <w:pStyle w:val="nTable"/>
              <w:spacing w:after="40"/>
              <w:ind w:right="113"/>
              <w:rPr>
                <w:iCs/>
                <w:sz w:val="19"/>
              </w:rPr>
            </w:pPr>
            <w:r>
              <w:rPr>
                <w:i/>
                <w:sz w:val="19"/>
              </w:rPr>
              <w:t>Casino Control (Burswood Island) (Licensing of Employees) Amendment Regulations 2008</w:t>
            </w:r>
          </w:p>
        </w:tc>
        <w:tc>
          <w:tcPr>
            <w:tcW w:w="1276" w:type="dxa"/>
            <w:tcBorders>
              <w:bottom w:val="single" w:sz="8" w:space="0" w:color="auto"/>
            </w:tcBorders>
          </w:tcPr>
          <w:p>
            <w:pPr>
              <w:pStyle w:val="nTable"/>
              <w:spacing w:after="40"/>
              <w:rPr>
                <w:sz w:val="19"/>
              </w:rPr>
            </w:pPr>
            <w:r>
              <w:rPr>
                <w:sz w:val="19"/>
              </w:rPr>
              <w:t>28 Oct 2008 p. 4739</w:t>
            </w:r>
            <w:r>
              <w:rPr>
                <w:sz w:val="19"/>
              </w:rPr>
              <w:noBreakHyphen/>
              <w:t>40</w:t>
            </w:r>
          </w:p>
        </w:tc>
        <w:tc>
          <w:tcPr>
            <w:tcW w:w="2693" w:type="dxa"/>
            <w:tcBorders>
              <w:bottom w:val="single" w:sz="8" w:space="0" w:color="auto"/>
            </w:tcBorders>
          </w:tcPr>
          <w:p>
            <w:pPr>
              <w:pStyle w:val="nTable"/>
              <w:spacing w:after="40"/>
              <w:rPr>
                <w:snapToGrid w:val="0"/>
                <w:sz w:val="19"/>
                <w:lang w:val="en-US"/>
              </w:rPr>
            </w:pPr>
            <w:r>
              <w:rPr>
                <w:sz w:val="19"/>
              </w:rPr>
              <w:t>r. 1 and 2: 28 Oct 2008 (see r. 2(a));</w:t>
            </w:r>
            <w:r>
              <w:rPr>
                <w:sz w:val="19"/>
              </w:rPr>
              <w:br/>
              <w:t>Regulations other than r. 1 and 2: 1 Jan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9" w:name="_Toc7405065"/>
      <w:bookmarkStart w:id="150" w:name="_Toc244662708"/>
      <w:r>
        <w:t>Provisions that have not come into operation</w:t>
      </w:r>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Casino Control (Burswood Island) (Licensing of Employees) Amendment Regulations (No. 2) 2009</w:t>
            </w:r>
            <w:r>
              <w:rPr>
                <w:iCs/>
                <w:sz w:val="19"/>
              </w:rPr>
              <w:t xml:space="preserve"> 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30 Oct 2009 p. 4315</w:t>
            </w:r>
            <w:r>
              <w:rPr>
                <w:sz w:val="19"/>
              </w:rPr>
              <w:noBreakHyphen/>
              <w:t>16</w:t>
            </w:r>
          </w:p>
        </w:tc>
        <w:tc>
          <w:tcPr>
            <w:tcW w:w="2693" w:type="dxa"/>
            <w:tcBorders>
              <w:top w:val="single" w:sz="8" w:space="0" w:color="auto"/>
              <w:bottom w:val="single" w:sz="4" w:space="0" w:color="auto"/>
            </w:tcBorders>
          </w:tcPr>
          <w:p>
            <w:pPr>
              <w:pStyle w:val="nTable"/>
              <w:spacing w:after="40"/>
              <w:rPr>
                <w:sz w:val="19"/>
              </w:rPr>
            </w:pPr>
            <w:r>
              <w:rPr>
                <w:sz w:val="19"/>
              </w:rPr>
              <w:t>1 Jan 2010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i/>
          <w:iCs/>
          <w:snapToGrid w:val="0"/>
        </w:rPr>
        <w:t>Casino Control (Burswood Island) (Licensing of Employees) Amendment Regulations (No. 2) 2009</w:t>
      </w:r>
      <w:r>
        <w:rPr>
          <w:snapToGrid w:val="0"/>
        </w:rPr>
        <w:t xml:space="preserve"> r. 3 and 4  had not come into operation.  They read as follows:</w:t>
      </w:r>
    </w:p>
    <w:p>
      <w:pPr>
        <w:pStyle w:val="BlankOpen"/>
        <w:rPr>
          <w:snapToGrid w:val="0"/>
        </w:rPr>
      </w:pPr>
    </w:p>
    <w:p>
      <w:pPr>
        <w:pStyle w:val="nzHeading5"/>
        <w:rPr>
          <w:snapToGrid w:val="0"/>
        </w:rPr>
      </w:pPr>
      <w:bookmarkStart w:id="151" w:name="_Toc423332724"/>
      <w:bookmarkStart w:id="152" w:name="_Toc425219443"/>
      <w:bookmarkStart w:id="153" w:name="_Toc426249310"/>
      <w:bookmarkStart w:id="154" w:name="_Toc449924706"/>
      <w:bookmarkStart w:id="155" w:name="_Toc449947724"/>
      <w:bookmarkStart w:id="156" w:name="_Toc454185715"/>
      <w:bookmarkStart w:id="157" w:name="_Toc515958688"/>
      <w:r>
        <w:rPr>
          <w:rStyle w:val="CharSectno"/>
        </w:rPr>
        <w:t>3</w:t>
      </w:r>
      <w:r>
        <w:rPr>
          <w:snapToGrid w:val="0"/>
        </w:rPr>
        <w:t>.</w:t>
      </w:r>
      <w:r>
        <w:rPr>
          <w:snapToGrid w:val="0"/>
        </w:rPr>
        <w:tab/>
        <w:t>Regulations amended</w:t>
      </w:r>
      <w:bookmarkEnd w:id="151"/>
      <w:bookmarkEnd w:id="152"/>
      <w:bookmarkEnd w:id="153"/>
      <w:bookmarkEnd w:id="154"/>
      <w:bookmarkEnd w:id="155"/>
      <w:bookmarkEnd w:id="156"/>
      <w:bookmarkEnd w:id="157"/>
    </w:p>
    <w:p>
      <w:pPr>
        <w:pStyle w:val="nzSubsection"/>
      </w:pPr>
      <w:r>
        <w:tab/>
      </w:r>
      <w:r>
        <w:tab/>
      </w:r>
      <w:r>
        <w:rPr>
          <w:spacing w:val="-2"/>
        </w:rPr>
        <w:t>These</w:t>
      </w:r>
      <w:r>
        <w:t xml:space="preserve"> regulations amend the </w:t>
      </w:r>
      <w:r>
        <w:rPr>
          <w:i/>
        </w:rPr>
        <w:t>Casino Control (Burswood Island) (Licensing of Employees) Regulations 1985</w:t>
      </w:r>
      <w:r>
        <w:t>.</w:t>
      </w:r>
    </w:p>
    <w:p>
      <w:pPr>
        <w:pStyle w:val="nzHeading5"/>
      </w:pPr>
      <w:r>
        <w:rPr>
          <w:rStyle w:val="CharSectno"/>
        </w:rPr>
        <w:t>4</w:t>
      </w:r>
      <w:r>
        <w:t>.</w:t>
      </w:r>
      <w:r>
        <w:tab/>
        <w:t>Regulation 6 amended</w:t>
      </w:r>
    </w:p>
    <w:p>
      <w:pPr>
        <w:pStyle w:val="nzSubsection"/>
      </w:pPr>
      <w:r>
        <w:tab/>
        <w:t>(1)</w:t>
      </w:r>
      <w:r>
        <w:tab/>
        <w:t>In regulation 6(1):</w:t>
      </w:r>
    </w:p>
    <w:p>
      <w:pPr>
        <w:pStyle w:val="nzIndenta"/>
      </w:pPr>
      <w:r>
        <w:tab/>
        <w:t>(a)</w:t>
      </w:r>
      <w:r>
        <w:tab/>
        <w:t>in paragraph (a) delete “$380; and” and insert:</w:t>
      </w:r>
    </w:p>
    <w:p>
      <w:pPr>
        <w:pStyle w:val="BlankOpen"/>
      </w:pPr>
    </w:p>
    <w:p>
      <w:pPr>
        <w:pStyle w:val="nzIndenta"/>
      </w:pPr>
      <w:r>
        <w:tab/>
      </w:r>
      <w:r>
        <w:tab/>
        <w:t>$400; and</w:t>
      </w:r>
    </w:p>
    <w:p>
      <w:pPr>
        <w:pStyle w:val="BlankClose"/>
      </w:pPr>
    </w:p>
    <w:p>
      <w:pPr>
        <w:pStyle w:val="nzIndenta"/>
      </w:pPr>
      <w:r>
        <w:tab/>
        <w:t>(b)</w:t>
      </w:r>
      <w:r>
        <w:tab/>
        <w:t>in paragraph (b) delete “$240.” and insert:</w:t>
      </w:r>
    </w:p>
    <w:p>
      <w:pPr>
        <w:pStyle w:val="BlankOpen"/>
      </w:pPr>
    </w:p>
    <w:p>
      <w:pPr>
        <w:pStyle w:val="nzIndenta"/>
      </w:pPr>
      <w:r>
        <w:tab/>
      </w:r>
      <w:r>
        <w:tab/>
        <w:t>$250.</w:t>
      </w:r>
    </w:p>
    <w:p>
      <w:pPr>
        <w:pStyle w:val="BlankClose"/>
      </w:pPr>
    </w:p>
    <w:p>
      <w:pPr>
        <w:pStyle w:val="nzSubsection"/>
      </w:pPr>
      <w:r>
        <w:tab/>
        <w:t>(2)</w:t>
      </w:r>
      <w:r>
        <w:tab/>
        <w:t>In regulation 6(1a):</w:t>
      </w:r>
    </w:p>
    <w:p>
      <w:pPr>
        <w:pStyle w:val="nzIndenta"/>
      </w:pPr>
      <w:r>
        <w:tab/>
        <w:t>(a)</w:t>
      </w:r>
      <w:r>
        <w:tab/>
        <w:t>in paragraph (a) delete “$105; and” and insert:</w:t>
      </w:r>
    </w:p>
    <w:p>
      <w:pPr>
        <w:pStyle w:val="BlankOpen"/>
      </w:pPr>
    </w:p>
    <w:p>
      <w:pPr>
        <w:pStyle w:val="nzIndenta"/>
      </w:pPr>
      <w:r>
        <w:tab/>
      </w:r>
      <w:r>
        <w:tab/>
        <w:t>$110; and</w:t>
      </w:r>
    </w:p>
    <w:p>
      <w:pPr>
        <w:pStyle w:val="BlankClose"/>
      </w:pPr>
    </w:p>
    <w:p>
      <w:pPr>
        <w:pStyle w:val="nzIndenta"/>
      </w:pPr>
      <w:r>
        <w:tab/>
        <w:t>(b)</w:t>
      </w:r>
      <w:r>
        <w:tab/>
        <w:t>in paragraph (b) delete “$105.” and insert:</w:t>
      </w:r>
    </w:p>
    <w:p>
      <w:pPr>
        <w:pStyle w:val="BlankOpen"/>
      </w:pPr>
    </w:p>
    <w:p>
      <w:pPr>
        <w:pStyle w:val="nzIndenta"/>
      </w:pPr>
      <w:r>
        <w:tab/>
      </w:r>
      <w:r>
        <w:tab/>
        <w:t>$110.</w:t>
      </w:r>
    </w:p>
    <w:p>
      <w:pPr>
        <w:pStyle w:val="BlankClose"/>
      </w:pPr>
    </w:p>
    <w:p>
      <w:pPr>
        <w:pStyle w:val="nzSubsection"/>
      </w:pPr>
      <w:r>
        <w:tab/>
        <w:t>(3)</w:t>
      </w:r>
      <w:r>
        <w:tab/>
        <w:t>In regulation 6(2)(a) delete “$275;” and insert:</w:t>
      </w:r>
    </w:p>
    <w:p>
      <w:pPr>
        <w:pStyle w:val="BlankOpen"/>
      </w:pPr>
    </w:p>
    <w:p>
      <w:pPr>
        <w:pStyle w:val="nzSubsection"/>
      </w:pPr>
      <w:r>
        <w:tab/>
      </w:r>
      <w:r>
        <w:tab/>
        <w:t>$290;</w:t>
      </w:r>
    </w:p>
    <w:p>
      <w:pPr>
        <w:pStyle w:val="BlankClose"/>
      </w:pPr>
    </w:p>
    <w:p>
      <w:bookmarkStart w:id="158" w:name="UpToHere"/>
      <w:bookmarkEnd w:id="158"/>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38"/>
    <w:docVar w:name="WAFER_20151207141538" w:val="RemoveTrackChanges"/>
    <w:docVar w:name="WAFER_20151207141538_GUID" w:val="b05ddbbc-b9fb-4de2-b6eb-e412da582a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6835</Words>
  <Characters>36845</Characters>
  <Application>Microsoft Office Word</Application>
  <DocSecurity>0</DocSecurity>
  <Lines>995</Lines>
  <Paragraphs>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1985 - 02-h0-02</dc:title>
  <dc:subject/>
  <dc:creator/>
  <cp:keywords/>
  <dc:description/>
  <cp:lastModifiedBy>svcMRProcess</cp:lastModifiedBy>
  <cp:revision>4</cp:revision>
  <cp:lastPrinted>2006-06-14T01:39:00Z</cp:lastPrinted>
  <dcterms:created xsi:type="dcterms:W3CDTF">2018-09-10T05:21:00Z</dcterms:created>
  <dcterms:modified xsi:type="dcterms:W3CDTF">2018-09-10T05:21:00Z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AsAtDate">
    <vt:lpwstr>30 Oct 2009</vt:lpwstr>
  </property>
  <property fmtid="{D5CDD505-2E9C-101B-9397-08002B2CF9AE}" pid="8" name="Suffix">
    <vt:lpwstr>02-h0-02</vt:lpwstr>
  </property>
</Properties>
</file>