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_Toc246139469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_Toc246139470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Modified penalties</w:t>
      </w:r>
      <w:r>
        <w:tab/>
      </w:r>
      <w:r>
        <w:fldChar w:fldCharType="begin"/>
      </w:r>
      <w:r>
        <w:instrText xml:space="preserve"> PAGEREF _Toc246139471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_Toc246139472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Offence of unauthorised endorsement or alteration of infringement notices</w:t>
      </w:r>
      <w:r>
        <w:tab/>
      </w:r>
      <w:r>
        <w:fldChar w:fldCharType="begin"/>
      </w:r>
      <w:r>
        <w:instrText xml:space="preserve"> PAGEREF _Toc246139473 \h </w:instrText>
      </w:r>
      <w:r>
        <w:fldChar w:fldCharType="separate"/>
      </w:r>
      <w:r>
        <w:t>2</w:t>
      </w:r>
      <w:r>
        <w:fldChar w:fldCharType="end"/>
      </w:r>
    </w:p>
    <w:p>
      <w:pPr>
        <w:pStyle w:val="TOC2"/>
        <w:tabs>
          <w:tab w:val="right" w:leader="dot" w:pos="7086"/>
        </w:tabs>
        <w:rPr>
          <w:b w:val="0"/>
          <w:sz w:val="24"/>
          <w:szCs w:val="24"/>
        </w:rPr>
      </w:pPr>
      <w:r>
        <w:rPr>
          <w:szCs w:val="28"/>
        </w:rPr>
        <w:t>Schedule 1 —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_Toc246139477 \h </w:instrText>
      </w:r>
      <w:r>
        <w:fldChar w:fldCharType="separate"/>
      </w:r>
      <w:r>
        <w:t>19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24613946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2461394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36338381"/>
      <w:bookmarkStart w:id="15" w:name="_Toc246139471"/>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36338382"/>
      <w:bookmarkStart w:id="20" w:name="_Toc246139472"/>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36338383"/>
      <w:bookmarkStart w:id="25" w:name="_Toc246139473"/>
      <w:r>
        <w:rPr>
          <w:rStyle w:val="CharSectno"/>
        </w:rPr>
        <w:t>5</w:t>
      </w:r>
      <w:r>
        <w:rPr>
          <w:snapToGrid w:val="0"/>
        </w:rPr>
        <w:t>.</w:t>
      </w:r>
      <w:r>
        <w:rPr>
          <w:snapToGrid w:val="0"/>
        </w:rPr>
        <w:tab/>
        <w:t>Offence of unauthorised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6" w:name="endcomma"/>
      <w:bookmarkEnd w:id="26"/>
      <w:r>
        <w:t xml:space="preserve"> </w:t>
      </w:r>
      <w:bookmarkStart w:id="27" w:name="comma"/>
      <w:bookmarkEnd w:id="27"/>
      <w:r>
        <w:t>have the respective meanings given to them by section 132(11)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245805415"/>
      <w:bookmarkStart w:id="29" w:name="_Toc246139474"/>
      <w:r>
        <w:rPr>
          <w:rStyle w:val="CharSchNo"/>
        </w:rPr>
        <w:t>Schedule 1</w:t>
      </w:r>
      <w:r>
        <w:t> — </w:t>
      </w:r>
      <w:r>
        <w:rPr>
          <w:rStyle w:val="CharSchText"/>
        </w:rPr>
        <w:t>Modified penalties</w:t>
      </w:r>
      <w:bookmarkEnd w:id="28"/>
      <w:bookmarkEnd w:id="29"/>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98"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Mar>
              <w:left w:w="40" w:type="dxa"/>
              <w:right w:w="0" w:type="dxa"/>
            </w:tcMar>
          </w:tcPr>
          <w:p>
            <w:pPr>
              <w:pStyle w:val="yTable"/>
              <w:spacing w:before="80"/>
              <w:ind w:left="56" w:right="104"/>
              <w:rPr>
                <w:sz w:val="18"/>
              </w:rPr>
            </w:pPr>
            <w:r>
              <w:rPr>
                <w:sz w:val="18"/>
              </w:rPr>
              <w:t>1</w:t>
            </w:r>
          </w:p>
        </w:tc>
        <w:tc>
          <w:tcPr>
            <w:tcW w:w="1355" w:type="dxa"/>
            <w:gridSpan w:val="2"/>
          </w:tcPr>
          <w:p>
            <w:pPr>
              <w:pStyle w:val="yTable"/>
              <w:spacing w:before="80"/>
              <w:ind w:left="88" w:right="70"/>
              <w:rPr>
                <w:sz w:val="18"/>
              </w:rPr>
            </w:pPr>
            <w:r>
              <w:rPr>
                <w:sz w:val="18"/>
              </w:rPr>
              <w:t>6A</w:t>
            </w:r>
          </w:p>
        </w:tc>
        <w:tc>
          <w:tcPr>
            <w:tcW w:w="3698"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spacing w:before="40"/>
              <w:ind w:left="70" w:right="128"/>
              <w:rPr>
                <w:sz w:val="18"/>
              </w:rPr>
            </w:pPr>
            <w:r>
              <w:rPr>
                <w:sz w:val="18"/>
              </w:rPr>
              <w:t>Failing to proceed at a safe speed or maintain a proper look out while in the vicinity of a place or vessel displaying a diving flag or appropriate signal, but at least 50 metres clear of that place or vessel .............................................................</w:t>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keepNext/>
              <w:tabs>
                <w:tab w:val="right" w:leader="dot" w:pos="4111"/>
              </w:tabs>
              <w:spacing w:before="40"/>
              <w:ind w:left="70" w:right="128"/>
              <w:rPr>
                <w:sz w:val="18"/>
              </w:rPr>
            </w:pPr>
            <w:r>
              <w:rPr>
                <w:sz w:val="18"/>
              </w:rPr>
              <w:t>Driving motor boat towing water skier between sundown and 8am on Swan River or between sundown and 9am on Canning River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Pr>
          <w:p>
            <w:pPr>
              <w:pStyle w:val="yTable"/>
              <w:spacing w:before="80"/>
              <w:ind w:left="56" w:right="104"/>
              <w:rPr>
                <w:sz w:val="18"/>
              </w:rPr>
            </w:pPr>
            <w:r>
              <w:rPr>
                <w:sz w:val="18"/>
              </w:rPr>
              <w:t>49</w:t>
            </w:r>
          </w:p>
        </w:tc>
        <w:tc>
          <w:tcPr>
            <w:tcW w:w="1318" w:type="dxa"/>
          </w:tcPr>
          <w:p>
            <w:pPr>
              <w:pStyle w:val="yTable"/>
              <w:spacing w:before="80"/>
              <w:ind w:left="88" w:right="70"/>
              <w:rPr>
                <w:sz w:val="18"/>
              </w:rPr>
            </w:pPr>
            <w:r>
              <w:rPr>
                <w:sz w:val="18"/>
              </w:rPr>
              <w:t>13(1)(a)</w:t>
            </w:r>
          </w:p>
        </w:tc>
        <w:tc>
          <w:tcPr>
            <w:tcW w:w="373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12" w:space="0" w:color="auto"/>
              <w:bottom w:val="single" w:sz="12" w:space="0" w:color="auto"/>
            </w:tcBorders>
          </w:tcPr>
          <w:p>
            <w:pPr>
              <w:pStyle w:val="yTable"/>
              <w:keepNext/>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spacing w:before="0"/>
              <w:ind w:left="91" w:right="68"/>
              <w:rPr>
                <w:sz w:val="18"/>
              </w:rPr>
            </w:pPr>
            <w:r>
              <w:rPr>
                <w:b/>
                <w:i/>
                <w:iCs/>
                <w:sz w:val="18"/>
              </w:rPr>
              <w:t>Mooring Regulations 1998</w:t>
            </w:r>
          </w:p>
        </w:tc>
        <w:tc>
          <w:tcPr>
            <w:tcW w:w="3761" w:type="dxa"/>
            <w:tcBorders>
              <w:top w:val="single" w:sz="12" w:space="0" w:color="auto"/>
              <w:bottom w:val="single" w:sz="12"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12" w:space="0" w:color="auto"/>
            </w:tcBorders>
          </w:tcPr>
          <w:p>
            <w:pPr>
              <w:pStyle w:val="yTable"/>
              <w:spacing w:before="40"/>
              <w:ind w:left="56" w:right="104"/>
              <w:rPr>
                <w:bCs/>
                <w:sz w:val="18"/>
              </w:rPr>
            </w:pPr>
            <w:r>
              <w:rPr>
                <w:bCs/>
                <w:sz w:val="18"/>
              </w:rPr>
              <w:t>98</w:t>
            </w:r>
          </w:p>
        </w:tc>
        <w:tc>
          <w:tcPr>
            <w:tcW w:w="1318" w:type="dxa"/>
            <w:tcBorders>
              <w:top w:val="single" w:sz="12" w:space="0" w:color="auto"/>
            </w:tcBorders>
          </w:tcPr>
          <w:p>
            <w:pPr>
              <w:pStyle w:val="Table"/>
              <w:spacing w:before="40" w:after="20" w:line="240" w:lineRule="auto"/>
              <w:ind w:left="142" w:right="141"/>
              <w:rPr>
                <w:sz w:val="18"/>
              </w:rPr>
            </w:pPr>
            <w:r>
              <w:rPr>
                <w:sz w:val="18"/>
              </w:rPr>
              <w:t>6(1)</w:t>
            </w:r>
          </w:p>
        </w:tc>
        <w:tc>
          <w:tcPr>
            <w:tcW w:w="3761"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w:t>
      </w:r>
    </w:p>
    <w:p>
      <w:pPr>
        <w:pStyle w:val="yScheduleHeading"/>
      </w:pPr>
      <w:bookmarkStart w:id="30" w:name="_Toc245805416"/>
      <w:bookmarkStart w:id="31" w:name="_Toc246139475"/>
      <w:r>
        <w:rPr>
          <w:rStyle w:val="CharSchNo"/>
        </w:rPr>
        <w:t>Schedule 2</w:t>
      </w:r>
      <w:r>
        <w:t> — </w:t>
      </w:r>
      <w:r>
        <w:rPr>
          <w:rStyle w:val="CharSchText"/>
        </w:rPr>
        <w:t>Forms</w:t>
      </w:r>
      <w:bookmarkEnd w:id="30"/>
      <w:bookmarkEnd w:id="31"/>
    </w:p>
    <w:p>
      <w:pPr>
        <w:pStyle w:val="yShoulderClause"/>
      </w:pPr>
      <w:r>
        <w:t>[r. 4]</w:t>
      </w:r>
    </w:p>
    <w:p>
      <w:pPr>
        <w:pStyle w:val="yFootnoteheading"/>
      </w:pPr>
      <w:r>
        <w:tab/>
        <w:t>[Heading inserted in Gazette 13 Nov 2009 p. 4538.]</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r>
        <w:rPr>
          <w:snapToGrid w:val="0"/>
        </w:rPr>
        <w:t>P.O. Box 402</w:t>
      </w:r>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 w:name="_Toc123094161"/>
      <w:bookmarkStart w:id="33" w:name="_Toc123094238"/>
      <w:bookmarkStart w:id="34" w:name="_Toc123102268"/>
      <w:bookmarkStart w:id="35" w:name="_Toc127333551"/>
      <w:bookmarkStart w:id="36" w:name="_Toc136338386"/>
      <w:bookmarkStart w:id="37" w:name="_Toc210806351"/>
      <w:bookmarkStart w:id="38" w:name="_Toc211673171"/>
      <w:bookmarkStart w:id="39" w:name="_Toc211673261"/>
      <w:bookmarkStart w:id="40" w:name="_Toc222557430"/>
      <w:bookmarkStart w:id="41" w:name="_Toc222632225"/>
      <w:bookmarkStart w:id="42" w:name="_Toc222632348"/>
      <w:bookmarkStart w:id="43" w:name="_Toc223153662"/>
      <w:bookmarkStart w:id="44" w:name="_Toc245805417"/>
      <w:bookmarkStart w:id="45" w:name="_Toc246139476"/>
      <w:r>
        <w:t>Notes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246139477"/>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9" w:type="dxa"/>
            <w:tcBorders>
              <w:bottom w:val="single" w:sz="4" w:space="0" w:color="auto"/>
            </w:tcBorders>
          </w:tcPr>
          <w:p>
            <w:pPr>
              <w:pStyle w:val="nTable"/>
              <w:spacing w:after="40"/>
              <w:ind w:right="113"/>
              <w:rPr>
                <w:i/>
                <w:sz w:val="19"/>
              </w:rPr>
            </w:pPr>
            <w:r>
              <w:rPr>
                <w:i/>
                <w:sz w:val="19"/>
              </w:rPr>
              <w:t>Western Australian Marine (Infringements) Amendment Regulations 2009</w:t>
            </w:r>
            <w:bookmarkStart w:id="47" w:name="UpToHere"/>
            <w:bookmarkEnd w:id="47"/>
          </w:p>
        </w:tc>
        <w:tc>
          <w:tcPr>
            <w:tcW w:w="1276" w:type="dxa"/>
            <w:tcBorders>
              <w:bottom w:val="single" w:sz="4" w:space="0" w:color="auto"/>
            </w:tcBorders>
          </w:tcPr>
          <w:p>
            <w:pPr>
              <w:pStyle w:val="nTable"/>
              <w:spacing w:after="40"/>
              <w:rPr>
                <w:sz w:val="19"/>
              </w:rPr>
            </w:pPr>
            <w:r>
              <w:rPr>
                <w:sz w:val="19"/>
              </w:rPr>
              <w:t>17 Nov 2009 p. 4631-2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Nov 2009 (see r. 2(a));</w:t>
            </w:r>
            <w:r>
              <w:rPr>
                <w:snapToGrid w:val="0"/>
                <w:spacing w:val="-2"/>
                <w:sz w:val="19"/>
                <w:lang w:val="en-US"/>
              </w:rPr>
              <w:br/>
              <w:t>Regulations other than r. 1 and 2: 18 Nov 2009 (see r. 2(b))</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8" w:name="_Toc211673263"/>
      <w:bookmarkStart w:id="49" w:name="_Toc222557432"/>
      <w:bookmarkStart w:id="50" w:name="_Toc222632227"/>
      <w:bookmarkStart w:id="51" w:name="_Toc222632350"/>
      <w:bookmarkStart w:id="52" w:name="_Toc223153664"/>
      <w:bookmarkStart w:id="53" w:name="_Toc245805419"/>
      <w:bookmarkStart w:id="54" w:name="_Toc246139478"/>
      <w:r>
        <w:rPr>
          <w:sz w:val="28"/>
        </w:rPr>
        <w:t>Defined Terms</w:t>
      </w:r>
      <w:bookmarkEnd w:id="48"/>
      <w:bookmarkEnd w:id="49"/>
      <w:bookmarkEnd w:id="50"/>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 w:name="DefinedTerms"/>
      <w:bookmarkEnd w:id="55"/>
      <w:r>
        <w:t>authorised person</w:t>
      </w:r>
      <w:r>
        <w:tab/>
        <w:t>5(2)</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555"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38"/>
    <w:docVar w:name="WAFER_20151216150138" w:val="RemoveTrackChanges"/>
    <w:docVar w:name="WAFER_20151216150138_GUID" w:val="85f8f2df-632c-4763-ac27-60574cd65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4872</Words>
  <Characters>30700</Characters>
  <Application>Microsoft Office Word</Application>
  <DocSecurity>0</DocSecurity>
  <Lines>1334</Lines>
  <Paragraphs>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34611</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1985 - 02-c0-03</dc:title>
  <dc:subject/>
  <dc:creator/>
  <cp:keywords/>
  <dc:description/>
  <cp:lastModifiedBy>svcMRProcess</cp:lastModifiedBy>
  <cp:revision>4</cp:revision>
  <cp:lastPrinted>2009-02-24T05:42:00Z</cp:lastPrinted>
  <dcterms:created xsi:type="dcterms:W3CDTF">2017-03-15T02:47:00Z</dcterms:created>
  <dcterms:modified xsi:type="dcterms:W3CDTF">2017-03-15T02:47:00Z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20091118</vt:lpwstr>
  </property>
  <property fmtid="{D5CDD505-2E9C-101B-9397-08002B2CF9AE}" pid="4" name="DocumentType">
    <vt:lpwstr>Reg</vt:lpwstr>
  </property>
  <property fmtid="{D5CDD505-2E9C-101B-9397-08002B2CF9AE}" pid="5" name="OwlsUID">
    <vt:i4>4871</vt:i4>
  </property>
  <property fmtid="{D5CDD505-2E9C-101B-9397-08002B2CF9AE}" pid="6" name="AsAtDate">
    <vt:lpwstr>18 Nov 2009</vt:lpwstr>
  </property>
  <property fmtid="{D5CDD505-2E9C-101B-9397-08002B2CF9AE}" pid="7" name="Suffix">
    <vt:lpwstr>02-c0-03</vt:lpwstr>
  </property>
  <property fmtid="{D5CDD505-2E9C-101B-9397-08002B2CF9AE}" pid="8" name="ReprintedAsAt">
    <vt:filetime>2009-02-12T15:00:00Z</vt:filetime>
  </property>
  <property fmtid="{D5CDD505-2E9C-101B-9397-08002B2CF9AE}" pid="9" name="ReprintNo">
    <vt:lpwstr>2</vt:lpwstr>
  </property>
</Properties>
</file>