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Pigment Factory (Australind) Agreement Act 1986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Pigment Factory (Australind) Agreement Act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_Toc131411310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_Toc131411311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_Toc131411312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_Toc131411313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Variation Agreement ratified and implementation authorised</w:t>
      </w:r>
      <w:r>
        <w:tab/>
      </w:r>
      <w:r>
        <w:fldChar w:fldCharType="begin"/>
      </w:r>
      <w:r>
        <w:instrText xml:space="preserve"> PAGEREF _Toc131411314 \h </w:instrText>
      </w:r>
      <w:r>
        <w:fldChar w:fldCharType="separate"/>
      </w:r>
      <w:r>
        <w:t>2</w:t>
      </w:r>
      <w:r>
        <w:fldChar w:fldCharType="end"/>
      </w:r>
    </w:p>
    <w:p>
      <w:pPr>
        <w:pStyle w:val="TOC8"/>
        <w:rPr>
          <w:sz w:val="24"/>
          <w:szCs w:val="24"/>
        </w:rPr>
      </w:pPr>
      <w:r>
        <w:rPr>
          <w:szCs w:val="24"/>
        </w:rPr>
        <w:t>4B.</w:t>
      </w:r>
      <w:r>
        <w:rPr>
          <w:szCs w:val="24"/>
        </w:rPr>
        <w:tab/>
        <w:t>Planning laws modified</w:t>
      </w:r>
      <w:r>
        <w:tab/>
      </w:r>
      <w:r>
        <w:fldChar w:fldCharType="begin"/>
      </w:r>
      <w:r>
        <w:instrText xml:space="preserve"> PAGEREF _Toc131411315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Repeal</w:t>
      </w:r>
      <w:r>
        <w:tab/>
      </w:r>
      <w:r>
        <w:fldChar w:fldCharType="begin"/>
      </w:r>
      <w:r>
        <w:instrText xml:space="preserve"> PAGEREF _Toc131411316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_Toc131411320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Pigment Factory (Australind) Agreement Act 1986 </w:t>
      </w:r>
    </w:p>
    <w:p>
      <w:pPr>
        <w:pStyle w:val="LongTitle"/>
        <w:spacing w:after="840"/>
        <w:rPr>
          <w:snapToGrid w:val="0"/>
        </w:rPr>
      </w:pPr>
      <w:r>
        <w:rPr>
          <w:snapToGrid w:val="0"/>
        </w:rPr>
        <w:t xml:space="preserve">An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2" w:name="_Toc402851975"/>
      <w:bookmarkStart w:id="3" w:name="_Toc8446883"/>
      <w:bookmarkStart w:id="4" w:name="_Toc18991928"/>
      <w:bookmarkStart w:id="5" w:name="_Toc13141131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6" w:name="_Toc402851976"/>
      <w:bookmarkStart w:id="7" w:name="_Toc8446884"/>
      <w:bookmarkStart w:id="8" w:name="_Toc18991929"/>
      <w:bookmarkStart w:id="9" w:name="_Toc131411311"/>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10" w:name="_Toc402851977"/>
      <w:bookmarkStart w:id="11" w:name="_Toc8446885"/>
      <w:bookmarkStart w:id="12" w:name="_Toc18991930"/>
      <w:bookmarkStart w:id="13" w:name="_Toc13141131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the Agreement as altered from time to time in accordance with its provisions;</w:t>
      </w:r>
    </w:p>
    <w:p>
      <w:pPr>
        <w:pStyle w:val="Defstart"/>
      </w:pPr>
      <w:r>
        <w:rPr>
          <w:b/>
        </w:rPr>
        <w:tab/>
      </w:r>
      <w:r>
        <w:rPr>
          <w:rStyle w:val="CharDefText"/>
        </w:rPr>
        <w:t>the Kemerton works site</w:t>
      </w:r>
      <w:r>
        <w:t xml:space="preserve"> means the Kemerton works site as defined by the Variation Agreement;</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28 of 1987 s. 4.] </w:t>
      </w:r>
    </w:p>
    <w:p>
      <w:pPr>
        <w:pStyle w:val="Heading5"/>
        <w:rPr>
          <w:snapToGrid w:val="0"/>
        </w:rPr>
      </w:pPr>
      <w:bookmarkStart w:id="14" w:name="_Toc402851978"/>
      <w:bookmarkStart w:id="15" w:name="_Toc8446886"/>
      <w:bookmarkStart w:id="16" w:name="_Toc18991931"/>
      <w:bookmarkStart w:id="17" w:name="_Toc131411313"/>
      <w:r>
        <w:rPr>
          <w:rStyle w:val="CharSectno"/>
        </w:rPr>
        <w:t>4</w:t>
      </w:r>
      <w:r>
        <w:rPr>
          <w:snapToGrid w:val="0"/>
        </w:rPr>
        <w:t>.</w:t>
      </w:r>
      <w:r>
        <w:rPr>
          <w:snapToGrid w:val="0"/>
        </w:rPr>
        <w:tab/>
        <w:t>Agreement ratified and implementation authorised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8" w:name="_Toc402851979"/>
      <w:bookmarkStart w:id="19" w:name="_Toc8446887"/>
      <w:bookmarkStart w:id="20" w:name="_Toc18991932"/>
      <w:bookmarkStart w:id="21" w:name="_Toc131411314"/>
      <w:r>
        <w:rPr>
          <w:rStyle w:val="CharSectno"/>
        </w:rPr>
        <w:t>4A</w:t>
      </w:r>
      <w:r>
        <w:rPr>
          <w:snapToGrid w:val="0"/>
        </w:rPr>
        <w:t xml:space="preserve">. </w:t>
      </w:r>
      <w:r>
        <w:rPr>
          <w:snapToGrid w:val="0"/>
        </w:rPr>
        <w:tab/>
        <w:t>Variation Agreement</w:t>
      </w:r>
      <w:bookmarkEnd w:id="18"/>
      <w:bookmarkEnd w:id="19"/>
      <w:r>
        <w:rPr>
          <w:snapToGrid w:val="0"/>
        </w:rPr>
        <w:t xml:space="preserve"> ratified and implementation authorised</w:t>
      </w:r>
      <w:bookmarkEnd w:id="20"/>
      <w:bookmarkEnd w:id="21"/>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28 of 1987 s. 5.] </w:t>
      </w:r>
    </w:p>
    <w:p>
      <w:pPr>
        <w:pStyle w:val="Heading5"/>
      </w:pPr>
      <w:bookmarkStart w:id="22" w:name="_Toc131411315"/>
      <w:bookmarkStart w:id="23" w:name="_Toc402851981"/>
      <w:bookmarkStart w:id="24" w:name="_Toc8446889"/>
      <w:bookmarkStart w:id="25" w:name="_Toc18991934"/>
      <w:r>
        <w:rPr>
          <w:rStyle w:val="CharSectno"/>
        </w:rPr>
        <w:t>4B</w:t>
      </w:r>
      <w:r>
        <w:t>.</w:t>
      </w:r>
      <w:r>
        <w:tab/>
        <w:t>Planning laws modified</w:t>
      </w:r>
      <w:bookmarkEnd w:id="22"/>
    </w:p>
    <w:p>
      <w:pPr>
        <w:pStyle w:val="Subsection"/>
      </w:pPr>
      <w:r>
        <w:tab/>
      </w:r>
      <w:r>
        <w:tab/>
        <w:t xml:space="preserve">Despite the </w:t>
      </w:r>
      <w:r>
        <w:rPr>
          <w:i/>
        </w:rPr>
        <w:t>Planning and Development Act 2005</w:t>
      </w:r>
      <w:r>
        <w:t>, planning schemes as defined in that Act do not apply to or in relation to the Kemerton works site.</w:t>
      </w:r>
    </w:p>
    <w:p>
      <w:pPr>
        <w:pStyle w:val="Footnotesection"/>
      </w:pPr>
      <w:r>
        <w:tab/>
        <w:t xml:space="preserve">[Section 4B inserted by No. 38 of 2005 s. 15.] </w:t>
      </w:r>
    </w:p>
    <w:p>
      <w:pPr>
        <w:pStyle w:val="Heading5"/>
        <w:rPr>
          <w:snapToGrid w:val="0"/>
        </w:rPr>
      </w:pPr>
      <w:bookmarkStart w:id="26" w:name="_Toc131411316"/>
      <w:r>
        <w:rPr>
          <w:rStyle w:val="CharSectno"/>
        </w:rPr>
        <w:t>5</w:t>
      </w:r>
      <w:r>
        <w:rPr>
          <w:snapToGrid w:val="0"/>
        </w:rPr>
        <w:t>.</w:t>
      </w:r>
      <w:r>
        <w:rPr>
          <w:snapToGrid w:val="0"/>
        </w:rPr>
        <w:tab/>
        <w:t>Repeal</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7" w:name="_Toc18991935"/>
      <w:bookmarkStart w:id="28" w:name="_Toc122768633"/>
      <w:bookmarkStart w:id="29" w:name="_Toc122768917"/>
    </w:p>
    <w:p>
      <w:pPr>
        <w:pStyle w:val="yScheduleHeading"/>
      </w:pPr>
      <w:bookmarkStart w:id="30" w:name="_Toc122769295"/>
      <w:bookmarkStart w:id="31" w:name="_Toc123003708"/>
      <w:bookmarkStart w:id="32" w:name="_Toc131411317"/>
      <w:r>
        <w:rPr>
          <w:rStyle w:val="CharSchNo"/>
        </w:rPr>
        <w:t>Schedule 1</w:t>
      </w:r>
      <w:bookmarkEnd w:id="27"/>
      <w:bookmarkEnd w:id="28"/>
      <w:bookmarkEnd w:id="29"/>
      <w:bookmarkEnd w:id="30"/>
      <w:bookmarkEnd w:id="31"/>
      <w:bookmarkEnd w:id="32"/>
    </w:p>
    <w:p>
      <w:pPr>
        <w:pStyle w:val="yShoulderClause"/>
        <w:rPr>
          <w:snapToGrid w:val="0"/>
        </w:rPr>
      </w:pPr>
      <w:r>
        <w:rPr>
          <w:snapToGrid w:val="0"/>
        </w:rPr>
        <w:t>(Section 3)</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 xml:space="preserve">[Schedule 1 amended by No. 27 of 1987 s. 6.] </w:t>
      </w:r>
    </w:p>
    <w:p>
      <w:pPr>
        <w:pStyle w:val="yScheduleHeading"/>
      </w:pPr>
      <w:bookmarkStart w:id="33" w:name="_Toc18991936"/>
      <w:bookmarkStart w:id="34" w:name="_Toc122768634"/>
      <w:bookmarkStart w:id="35" w:name="_Toc122768918"/>
      <w:bookmarkStart w:id="36" w:name="_Toc122769296"/>
      <w:bookmarkStart w:id="37" w:name="_Toc123003709"/>
      <w:bookmarkStart w:id="38" w:name="_Toc131411318"/>
      <w:r>
        <w:rPr>
          <w:rStyle w:val="CharSchNo"/>
        </w:rPr>
        <w:t>Schedule 2</w:t>
      </w:r>
      <w:bookmarkEnd w:id="33"/>
      <w:bookmarkEnd w:id="34"/>
      <w:bookmarkEnd w:id="35"/>
      <w:bookmarkEnd w:id="36"/>
      <w:bookmarkEnd w:id="37"/>
      <w:bookmarkEnd w:id="38"/>
    </w:p>
    <w:p>
      <w:pPr>
        <w:pStyle w:val="yShoulderClause"/>
        <w:spacing w:before="0"/>
      </w:pPr>
      <w:r>
        <w:t>(Section 3)</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r>
              <w:rPr>
                <w:noProof/>
                <w:lang w:eastAsia="en-AU"/>
              </w:rPr>
              <w:drawing>
                <wp:inline distT="0" distB="0" distL="0" distR="0">
                  <wp:extent cx="124460" cy="461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61010"/>
                          </a:xfrm>
                          <a:prstGeom prst="rect">
                            <a:avLst/>
                          </a:prstGeom>
                          <a:noFill/>
                          <a:ln>
                            <a:noFill/>
                          </a:ln>
                        </pic:spPr>
                      </pic:pic>
                    </a:graphicData>
                  </a:graphic>
                </wp:inline>
              </w:drawing>
            </w:r>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r>
              <w:rPr>
                <w:noProof/>
                <w:lang w:eastAsia="en-AU"/>
              </w:rPr>
              <w:drawing>
                <wp:inline distT="0" distB="0" distL="0" distR="0">
                  <wp:extent cx="124460" cy="6216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p>
        </w:tc>
        <w:tc>
          <w:tcPr>
            <w:tcW w:w="2409" w:type="dxa"/>
          </w:tcPr>
          <w:p>
            <w:pPr>
              <w:pStyle w:val="yMiscellaneousBody"/>
            </w:pPr>
          </w:p>
          <w:p>
            <w:pPr>
              <w:pStyle w:val="yMiscellaneousBody"/>
              <w:spacing w:before="80"/>
            </w:pPr>
            <w:r>
              <w:t>[C.S.]</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9" w:name="_Toc122768635"/>
      <w:bookmarkStart w:id="40" w:name="_Toc122768919"/>
    </w:p>
    <w:p>
      <w:pPr>
        <w:pStyle w:val="nHeading2"/>
      </w:pPr>
      <w:bookmarkStart w:id="41" w:name="_Toc122769297"/>
      <w:bookmarkStart w:id="42" w:name="_Toc123003710"/>
      <w:bookmarkStart w:id="43" w:name="_Toc131411319"/>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Pigment Factory (Australind) Agreement Act 1986</w:t>
      </w:r>
      <w:r>
        <w:rPr>
          <w:snapToGrid w:val="0"/>
        </w:rPr>
        <w:t xml:space="preserve"> and includes the amendments made by the other written laws referred to in the following table. </w:t>
      </w:r>
    </w:p>
    <w:p>
      <w:pPr>
        <w:pStyle w:val="nHeading3"/>
        <w:rPr>
          <w:snapToGrid w:val="0"/>
        </w:rPr>
      </w:pPr>
      <w:bookmarkStart w:id="44" w:name="_Toc18991937"/>
      <w:bookmarkStart w:id="45" w:name="_Toc131411320"/>
      <w:r>
        <w:rPr>
          <w:snapToGrid w:val="0"/>
        </w:rPr>
        <w:t>Compilation table</w:t>
      </w:r>
      <w:bookmarkEnd w:id="44"/>
      <w:bookmarkEnd w:id="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Pigment Factory (Australind) Agreement Act 1986</w:t>
            </w:r>
          </w:p>
        </w:tc>
        <w:tc>
          <w:tcPr>
            <w:tcW w:w="1134" w:type="dxa"/>
          </w:tcPr>
          <w:p>
            <w:pPr>
              <w:pStyle w:val="nTable"/>
              <w:spacing w:before="120"/>
              <w:rPr>
                <w:sz w:val="19"/>
              </w:rPr>
            </w:pPr>
            <w:r>
              <w:rPr>
                <w:sz w:val="19"/>
              </w:rPr>
              <w:t>92 of 1986</w:t>
            </w:r>
          </w:p>
        </w:tc>
        <w:tc>
          <w:tcPr>
            <w:tcW w:w="1134" w:type="dxa"/>
          </w:tcPr>
          <w:p>
            <w:pPr>
              <w:pStyle w:val="nTable"/>
              <w:spacing w:before="120"/>
              <w:rPr>
                <w:sz w:val="19"/>
              </w:rPr>
            </w:pPr>
            <w:r>
              <w:rPr>
                <w:sz w:val="19"/>
              </w:rPr>
              <w:t>10 Dec 1986</w:t>
            </w:r>
          </w:p>
        </w:tc>
        <w:tc>
          <w:tcPr>
            <w:tcW w:w="2552" w:type="dxa"/>
          </w:tcPr>
          <w:p>
            <w:pPr>
              <w:pStyle w:val="nTable"/>
              <w:spacing w:before="120"/>
              <w:rPr>
                <w:sz w:val="19"/>
              </w:rPr>
            </w:pPr>
            <w:r>
              <w:rPr>
                <w:sz w:val="19"/>
              </w:rPr>
              <w:t>10 Dec 1986 (see s. 2)</w:t>
            </w:r>
          </w:p>
        </w:tc>
      </w:tr>
      <w:tr>
        <w:trPr>
          <w:cantSplit/>
        </w:trPr>
        <w:tc>
          <w:tcPr>
            <w:tcW w:w="2268" w:type="dxa"/>
          </w:tcPr>
          <w:p>
            <w:pPr>
              <w:pStyle w:val="nTable"/>
              <w:spacing w:before="120"/>
              <w:ind w:right="113"/>
              <w:rPr>
                <w:sz w:val="19"/>
              </w:rPr>
            </w:pPr>
            <w:r>
              <w:rPr>
                <w:i/>
                <w:sz w:val="19"/>
              </w:rPr>
              <w:t>Pigment Factory (Australind) Agreement Amendment Act 1987</w:t>
            </w:r>
          </w:p>
        </w:tc>
        <w:tc>
          <w:tcPr>
            <w:tcW w:w="1134" w:type="dxa"/>
          </w:tcPr>
          <w:p>
            <w:pPr>
              <w:pStyle w:val="nTable"/>
              <w:spacing w:before="120"/>
              <w:rPr>
                <w:sz w:val="19"/>
              </w:rPr>
            </w:pPr>
            <w:r>
              <w:rPr>
                <w:sz w:val="19"/>
              </w:rPr>
              <w:t>28 of 1987</w:t>
            </w:r>
          </w:p>
        </w:tc>
        <w:tc>
          <w:tcPr>
            <w:tcW w:w="1134" w:type="dxa"/>
          </w:tcPr>
          <w:p>
            <w:pPr>
              <w:pStyle w:val="nTable"/>
              <w:spacing w:before="120"/>
              <w:rPr>
                <w:sz w:val="19"/>
              </w:rPr>
            </w:pPr>
            <w:r>
              <w:rPr>
                <w:sz w:val="19"/>
              </w:rPr>
              <w:t>29 Jun 1987</w:t>
            </w:r>
          </w:p>
        </w:tc>
        <w:tc>
          <w:tcPr>
            <w:tcW w:w="2552" w:type="dxa"/>
          </w:tcPr>
          <w:p>
            <w:pPr>
              <w:pStyle w:val="nTable"/>
              <w:spacing w:before="120"/>
              <w:rPr>
                <w:sz w:val="19"/>
              </w:rPr>
            </w:pPr>
            <w:r>
              <w:rPr>
                <w:sz w:val="19"/>
              </w:rPr>
              <w:t>29 Jun 1987 (see s. 2)</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Pigment Factory (Australind) Agreement Act 1986 </w:t>
            </w:r>
            <w:r>
              <w:rPr>
                <w:b/>
                <w:sz w:val="19"/>
              </w:rPr>
              <w:t xml:space="preserve">as at 9 Aug 2002 </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right="113"/>
              <w:rPr>
                <w:iCs/>
                <w:sz w:val="19"/>
                <w:u w:val="single"/>
              </w:rPr>
            </w:pPr>
            <w:r>
              <w:rPr>
                <w:i/>
                <w:snapToGrid w:val="0"/>
                <w:sz w:val="19"/>
                <w:lang w:val="en-US"/>
              </w:rPr>
              <w:t>Planning and Development (Consequential and Transitional Provisions) Act 2005</w:t>
            </w:r>
            <w:r>
              <w:rPr>
                <w:iCs/>
                <w:sz w:val="19"/>
                <w:u w:val="single"/>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pgSz w:w="11907" w:h="16840" w:code="9"/>
      <w:pgMar w:top="2381" w:right="2410" w:bottom="3544" w:left="2410" w:header="720" w:footer="338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Pigment Factory (Australind) Agreement Act 1986</w:t>
            </w:r>
          </w:fldSimple>
        </w:p>
      </w:tc>
    </w:tr>
    <w:tr>
      <w:tc>
        <w:tcPr>
          <w:tcW w:w="5715" w:type="dxa"/>
        </w:tcPr>
        <w:p>
          <w:pPr>
            <w:pStyle w:val="HeaderTextRight"/>
          </w:pP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Pigment Factory (Australind) Agreement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Pigment Factory (Australind) Agreement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Pigment Factory (Australind) Agreement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DF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322D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6F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584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AA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00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E5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81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EAA1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23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BE9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30B7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9164</Words>
  <Characters>46282</Characters>
  <Application>Microsoft Office Word</Application>
  <DocSecurity>0</DocSecurity>
  <Lines>1076</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1986 - 01-c0-05</dc:title>
  <dc:subject/>
  <dc:creator/>
  <cp:keywords/>
  <dc:description/>
  <cp:lastModifiedBy>svcMRProcess</cp:lastModifiedBy>
  <cp:revision>4</cp:revision>
  <cp:lastPrinted>2002-08-26T06:51:00Z</cp:lastPrinted>
  <dcterms:created xsi:type="dcterms:W3CDTF">2020-02-18T00:52:00Z</dcterms:created>
  <dcterms:modified xsi:type="dcterms:W3CDTF">2020-02-18T00:52:00Z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608</vt:i4>
  </property>
  <property fmtid="{D5CDD505-2E9C-101B-9397-08002B2CF9AE}" pid="6" name="AsAtDate">
    <vt:lpwstr>09 Apr 2006</vt:lpwstr>
  </property>
  <property fmtid="{D5CDD505-2E9C-101B-9397-08002B2CF9AE}" pid="7" name="Suffix">
    <vt:lpwstr>01-c0-05</vt:lpwstr>
  </property>
</Properties>
</file>