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Electricity Industry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(Network Quality and Reliability of Supply) Code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81" w:right="2409" w:bottom="3515" w:left="2409"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_Toc247094838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_Toc247094839 \h </w:instrText>
      </w:r>
      <w:r>
        <w:fldChar w:fldCharType="separate"/>
      </w:r>
      <w:r>
        <w:t>1</w:t>
      </w:r>
      <w:r>
        <w:fldChar w:fldCharType="end"/>
      </w:r>
    </w:p>
    <w:p>
      <w:pPr>
        <w:pStyle w:val="TOC8"/>
        <w:rPr>
          <w:sz w:val="24"/>
          <w:szCs w:val="24"/>
        </w:rPr>
      </w:pPr>
      <w:r>
        <w:rPr>
          <w:szCs w:val="24"/>
        </w:rPr>
        <w:t>3.</w:t>
      </w:r>
      <w:r>
        <w:rPr>
          <w:szCs w:val="24"/>
        </w:rPr>
        <w:tab/>
        <w:t>Terms used in this Code</w:t>
      </w:r>
      <w:r>
        <w:tab/>
      </w:r>
      <w:r>
        <w:fldChar w:fldCharType="begin"/>
      </w:r>
      <w:r>
        <w:instrText xml:space="preserve"> PAGEREF _Toc247094840 \h </w:instrText>
      </w:r>
      <w:r>
        <w:fldChar w:fldCharType="separate"/>
      </w:r>
      <w:r>
        <w:t>1</w:t>
      </w:r>
      <w:r>
        <w:fldChar w:fldCharType="end"/>
      </w:r>
    </w:p>
    <w:p>
      <w:pPr>
        <w:pStyle w:val="TOC2"/>
        <w:tabs>
          <w:tab w:val="right" w:leader="dot" w:pos="7086"/>
        </w:tabs>
        <w:rPr>
          <w:b w:val="0"/>
          <w:sz w:val="24"/>
          <w:szCs w:val="24"/>
        </w:rPr>
      </w:pPr>
      <w:r>
        <w:rPr>
          <w:szCs w:val="30"/>
        </w:rPr>
        <w:t>Part 2 — Quality and reliability standards</w:t>
      </w:r>
    </w:p>
    <w:p>
      <w:pPr>
        <w:pStyle w:val="TOC4"/>
        <w:tabs>
          <w:tab w:val="right" w:leader="dot" w:pos="7086"/>
        </w:tabs>
        <w:rPr>
          <w:b w:val="0"/>
          <w:sz w:val="24"/>
          <w:szCs w:val="24"/>
        </w:rPr>
      </w:pPr>
      <w:r>
        <w:rPr>
          <w:szCs w:val="26"/>
        </w:rPr>
        <w:t>Division 1 — Quality Standards</w:t>
      </w:r>
    </w:p>
    <w:p>
      <w:pPr>
        <w:pStyle w:val="TOC8"/>
        <w:rPr>
          <w:sz w:val="24"/>
          <w:szCs w:val="24"/>
        </w:rPr>
      </w:pPr>
      <w:r>
        <w:rPr>
          <w:szCs w:val="24"/>
        </w:rPr>
        <w:t>4.</w:t>
      </w:r>
      <w:r>
        <w:rPr>
          <w:szCs w:val="24"/>
        </w:rPr>
        <w:tab/>
        <w:t>Definition</w:t>
      </w:r>
      <w:r>
        <w:tab/>
      </w:r>
      <w:r>
        <w:fldChar w:fldCharType="begin"/>
      </w:r>
      <w:r>
        <w:instrText xml:space="preserve"> PAGEREF _Toc247094843 \h </w:instrText>
      </w:r>
      <w:r>
        <w:fldChar w:fldCharType="separate"/>
      </w:r>
      <w:r>
        <w:t>4</w:t>
      </w:r>
      <w:r>
        <w:fldChar w:fldCharType="end"/>
      </w:r>
    </w:p>
    <w:p>
      <w:pPr>
        <w:pStyle w:val="TOC8"/>
        <w:rPr>
          <w:sz w:val="24"/>
          <w:szCs w:val="24"/>
        </w:rPr>
      </w:pPr>
      <w:r>
        <w:rPr>
          <w:szCs w:val="24"/>
        </w:rPr>
        <w:t>5.</w:t>
      </w:r>
      <w:r>
        <w:rPr>
          <w:szCs w:val="24"/>
        </w:rPr>
        <w:tab/>
        <w:t>Obligation to observe standards</w:t>
      </w:r>
      <w:r>
        <w:tab/>
      </w:r>
      <w:r>
        <w:fldChar w:fldCharType="begin"/>
      </w:r>
      <w:r>
        <w:instrText xml:space="preserve"> PAGEREF _Toc247094844 \h </w:instrText>
      </w:r>
      <w:r>
        <w:fldChar w:fldCharType="separate"/>
      </w:r>
      <w:r>
        <w:t>4</w:t>
      </w:r>
      <w:r>
        <w:fldChar w:fldCharType="end"/>
      </w:r>
    </w:p>
    <w:p>
      <w:pPr>
        <w:pStyle w:val="TOC8"/>
        <w:rPr>
          <w:sz w:val="24"/>
          <w:szCs w:val="24"/>
        </w:rPr>
      </w:pPr>
      <w:r>
        <w:rPr>
          <w:szCs w:val="24"/>
        </w:rPr>
        <w:t>6.</w:t>
      </w:r>
      <w:r>
        <w:rPr>
          <w:szCs w:val="24"/>
        </w:rPr>
        <w:tab/>
        <w:t>Voltage fluctuations</w:t>
      </w:r>
      <w:r>
        <w:tab/>
      </w:r>
      <w:r>
        <w:fldChar w:fldCharType="begin"/>
      </w:r>
      <w:r>
        <w:instrText xml:space="preserve"> PAGEREF _Toc247094845 \h </w:instrText>
      </w:r>
      <w:r>
        <w:fldChar w:fldCharType="separate"/>
      </w:r>
      <w:r>
        <w:t>4</w:t>
      </w:r>
      <w:r>
        <w:fldChar w:fldCharType="end"/>
      </w:r>
    </w:p>
    <w:p>
      <w:pPr>
        <w:pStyle w:val="TOC8"/>
        <w:rPr>
          <w:sz w:val="24"/>
          <w:szCs w:val="24"/>
        </w:rPr>
      </w:pPr>
      <w:r>
        <w:rPr>
          <w:szCs w:val="24"/>
        </w:rPr>
        <w:t>7.</w:t>
      </w:r>
      <w:r>
        <w:rPr>
          <w:szCs w:val="24"/>
        </w:rPr>
        <w:tab/>
        <w:t>Harmonics</w:t>
      </w:r>
      <w:r>
        <w:tab/>
      </w:r>
      <w:r>
        <w:fldChar w:fldCharType="begin"/>
      </w:r>
      <w:r>
        <w:instrText xml:space="preserve"> PAGEREF _Toc247094846 \h </w:instrText>
      </w:r>
      <w:r>
        <w:fldChar w:fldCharType="separate"/>
      </w:r>
      <w:r>
        <w:t>5</w:t>
      </w:r>
      <w:r>
        <w:fldChar w:fldCharType="end"/>
      </w:r>
    </w:p>
    <w:p>
      <w:pPr>
        <w:pStyle w:val="TOC8"/>
        <w:rPr>
          <w:sz w:val="24"/>
          <w:szCs w:val="24"/>
        </w:rPr>
      </w:pPr>
      <w:r>
        <w:rPr>
          <w:szCs w:val="24"/>
        </w:rPr>
        <w:t>8.</w:t>
      </w:r>
      <w:r>
        <w:rPr>
          <w:szCs w:val="24"/>
        </w:rPr>
        <w:tab/>
        <w:t>Duty to disconnect if damage may result</w:t>
      </w:r>
      <w:r>
        <w:tab/>
      </w:r>
      <w:r>
        <w:fldChar w:fldCharType="begin"/>
      </w:r>
      <w:r>
        <w:instrText xml:space="preserve"> PAGEREF _Toc247094847 \h </w:instrText>
      </w:r>
      <w:r>
        <w:fldChar w:fldCharType="separate"/>
      </w:r>
      <w:r>
        <w:t>5</w:t>
      </w:r>
      <w:r>
        <w:fldChar w:fldCharType="end"/>
      </w:r>
    </w:p>
    <w:p>
      <w:pPr>
        <w:pStyle w:val="TOC4"/>
        <w:tabs>
          <w:tab w:val="right" w:leader="dot" w:pos="7086"/>
        </w:tabs>
        <w:rPr>
          <w:b w:val="0"/>
          <w:sz w:val="24"/>
          <w:szCs w:val="24"/>
        </w:rPr>
      </w:pPr>
      <w:r>
        <w:rPr>
          <w:szCs w:val="26"/>
        </w:rPr>
        <w:t>Division 2 — Standards for the interruption of supply to individual customers</w:t>
      </w:r>
    </w:p>
    <w:p>
      <w:pPr>
        <w:pStyle w:val="TOC8"/>
        <w:rPr>
          <w:sz w:val="24"/>
          <w:szCs w:val="24"/>
        </w:rPr>
      </w:pPr>
      <w:r>
        <w:rPr>
          <w:szCs w:val="24"/>
        </w:rPr>
        <w:t>9.</w:t>
      </w:r>
      <w:r>
        <w:rPr>
          <w:szCs w:val="24"/>
        </w:rPr>
        <w:tab/>
        <w:t>General standard of reliability</w:t>
      </w:r>
      <w:r>
        <w:tab/>
      </w:r>
      <w:r>
        <w:fldChar w:fldCharType="begin"/>
      </w:r>
      <w:r>
        <w:instrText xml:space="preserve"> PAGEREF _Toc247094849 \h </w:instrText>
      </w:r>
      <w:r>
        <w:fldChar w:fldCharType="separate"/>
      </w:r>
      <w:r>
        <w:t>6</w:t>
      </w:r>
      <w:r>
        <w:fldChar w:fldCharType="end"/>
      </w:r>
    </w:p>
    <w:p>
      <w:pPr>
        <w:pStyle w:val="TOC8"/>
        <w:rPr>
          <w:sz w:val="24"/>
          <w:szCs w:val="24"/>
        </w:rPr>
      </w:pPr>
      <w:r>
        <w:rPr>
          <w:szCs w:val="24"/>
        </w:rPr>
        <w:t>10.</w:t>
      </w:r>
      <w:r>
        <w:rPr>
          <w:szCs w:val="24"/>
        </w:rPr>
        <w:tab/>
        <w:t>Duty to reduce effect of interruption</w:t>
      </w:r>
      <w:r>
        <w:tab/>
      </w:r>
      <w:r>
        <w:fldChar w:fldCharType="begin"/>
      </w:r>
      <w:r>
        <w:instrText xml:space="preserve"> PAGEREF _Toc247094850 \h </w:instrText>
      </w:r>
      <w:r>
        <w:fldChar w:fldCharType="separate"/>
      </w:r>
      <w:r>
        <w:t>6</w:t>
      </w:r>
      <w:r>
        <w:fldChar w:fldCharType="end"/>
      </w:r>
    </w:p>
    <w:p>
      <w:pPr>
        <w:pStyle w:val="TOC8"/>
        <w:rPr>
          <w:sz w:val="24"/>
          <w:szCs w:val="24"/>
        </w:rPr>
      </w:pPr>
      <w:r>
        <w:rPr>
          <w:szCs w:val="24"/>
        </w:rPr>
        <w:t>11.</w:t>
      </w:r>
      <w:r>
        <w:rPr>
          <w:szCs w:val="24"/>
        </w:rPr>
        <w:tab/>
        <w:t>Planned interruptions</w:t>
      </w:r>
      <w:r>
        <w:tab/>
      </w:r>
      <w:r>
        <w:fldChar w:fldCharType="begin"/>
      </w:r>
      <w:r>
        <w:instrText xml:space="preserve"> PAGEREF _Toc247094851 \h </w:instrText>
      </w:r>
      <w:r>
        <w:fldChar w:fldCharType="separate"/>
      </w:r>
      <w:r>
        <w:t>7</w:t>
      </w:r>
      <w:r>
        <w:fldChar w:fldCharType="end"/>
      </w:r>
    </w:p>
    <w:p>
      <w:pPr>
        <w:pStyle w:val="TOC8"/>
        <w:rPr>
          <w:sz w:val="24"/>
          <w:szCs w:val="24"/>
        </w:rPr>
      </w:pPr>
      <w:r>
        <w:rPr>
          <w:szCs w:val="24"/>
        </w:rPr>
        <w:t>12.</w:t>
      </w:r>
      <w:r>
        <w:rPr>
          <w:szCs w:val="24"/>
        </w:rPr>
        <w:tab/>
        <w:t>Significant interruptions to small use customers</w:t>
      </w:r>
      <w:r>
        <w:tab/>
      </w:r>
      <w:r>
        <w:fldChar w:fldCharType="begin"/>
      </w:r>
      <w:r>
        <w:instrText xml:space="preserve"> PAGEREF _Toc247094852 \h </w:instrText>
      </w:r>
      <w:r>
        <w:fldChar w:fldCharType="separate"/>
      </w:r>
      <w:r>
        <w:t>8</w:t>
      </w:r>
      <w:r>
        <w:fldChar w:fldCharType="end"/>
      </w:r>
    </w:p>
    <w:p>
      <w:pPr>
        <w:pStyle w:val="TOC4"/>
        <w:tabs>
          <w:tab w:val="right" w:leader="dot" w:pos="7086"/>
        </w:tabs>
        <w:rPr>
          <w:b w:val="0"/>
          <w:sz w:val="24"/>
          <w:szCs w:val="24"/>
        </w:rPr>
      </w:pPr>
      <w:r>
        <w:rPr>
          <w:szCs w:val="26"/>
        </w:rPr>
        <w:t>Division 3 — Standards for the duration of interruption of supply in particular areas</w:t>
      </w:r>
    </w:p>
    <w:p>
      <w:pPr>
        <w:pStyle w:val="TOC8"/>
        <w:rPr>
          <w:sz w:val="24"/>
          <w:szCs w:val="24"/>
        </w:rPr>
      </w:pPr>
      <w:r>
        <w:rPr>
          <w:szCs w:val="24"/>
        </w:rPr>
        <w:t>13.</w:t>
      </w:r>
      <w:r>
        <w:rPr>
          <w:szCs w:val="24"/>
        </w:rPr>
        <w:tab/>
        <w:t>Standards prescribed for particular areas</w:t>
      </w:r>
      <w:r>
        <w:tab/>
      </w:r>
      <w:r>
        <w:fldChar w:fldCharType="begin"/>
      </w:r>
      <w:r>
        <w:instrText xml:space="preserve"> PAGEREF _Toc247094854 \h </w:instrText>
      </w:r>
      <w:r>
        <w:fldChar w:fldCharType="separate"/>
      </w:r>
      <w:r>
        <w:t>9</w:t>
      </w:r>
      <w:r>
        <w:fldChar w:fldCharType="end"/>
      </w:r>
    </w:p>
    <w:p>
      <w:pPr>
        <w:pStyle w:val="TOC4"/>
        <w:tabs>
          <w:tab w:val="right" w:leader="dot" w:pos="7086"/>
        </w:tabs>
        <w:rPr>
          <w:b w:val="0"/>
          <w:sz w:val="24"/>
          <w:szCs w:val="24"/>
        </w:rPr>
      </w:pPr>
      <w:r>
        <w:rPr>
          <w:szCs w:val="26"/>
        </w:rPr>
        <w:t>Division 4 — Variation of obligations under this Part</w:t>
      </w:r>
    </w:p>
    <w:p>
      <w:pPr>
        <w:pStyle w:val="TOC8"/>
        <w:rPr>
          <w:sz w:val="24"/>
          <w:szCs w:val="24"/>
        </w:rPr>
      </w:pPr>
      <w:r>
        <w:rPr>
          <w:szCs w:val="24"/>
        </w:rPr>
        <w:t>14.</w:t>
      </w:r>
      <w:r>
        <w:rPr>
          <w:szCs w:val="24"/>
        </w:rPr>
        <w:tab/>
        <w:t>Alternative provision may be made by Minister on application</w:t>
      </w:r>
      <w:r>
        <w:tab/>
      </w:r>
      <w:r>
        <w:fldChar w:fldCharType="begin"/>
      </w:r>
      <w:r>
        <w:instrText xml:space="preserve"> PAGEREF _Toc247094856 \h </w:instrText>
      </w:r>
      <w:r>
        <w:fldChar w:fldCharType="separate"/>
      </w:r>
      <w:r>
        <w:t>10</w:t>
      </w:r>
      <w:r>
        <w:fldChar w:fldCharType="end"/>
      </w:r>
    </w:p>
    <w:p>
      <w:pPr>
        <w:pStyle w:val="TOC8"/>
        <w:rPr>
          <w:sz w:val="24"/>
          <w:szCs w:val="24"/>
        </w:rPr>
      </w:pPr>
      <w:r>
        <w:rPr>
          <w:szCs w:val="24"/>
        </w:rPr>
        <w:t>15.</w:t>
      </w:r>
      <w:r>
        <w:rPr>
          <w:szCs w:val="24"/>
        </w:rPr>
        <w:tab/>
        <w:t>Provisions may be excluded or modified by agreement</w:t>
      </w:r>
      <w:r>
        <w:tab/>
      </w:r>
      <w:r>
        <w:fldChar w:fldCharType="begin"/>
      </w:r>
      <w:r>
        <w:instrText xml:space="preserve"> PAGEREF _Toc247094857 \h </w:instrText>
      </w:r>
      <w:r>
        <w:fldChar w:fldCharType="separate"/>
      </w:r>
      <w:r>
        <w:t>11</w:t>
      </w:r>
      <w:r>
        <w:fldChar w:fldCharType="end"/>
      </w:r>
    </w:p>
    <w:p>
      <w:pPr>
        <w:pStyle w:val="TOC2"/>
        <w:tabs>
          <w:tab w:val="right" w:leader="dot" w:pos="7086"/>
        </w:tabs>
        <w:rPr>
          <w:b w:val="0"/>
          <w:sz w:val="24"/>
          <w:szCs w:val="24"/>
        </w:rPr>
      </w:pPr>
      <w:r>
        <w:rPr>
          <w:szCs w:val="30"/>
        </w:rPr>
        <w:t>Part 3 — Payments for failure to meet certain standards</w:t>
      </w:r>
    </w:p>
    <w:p>
      <w:pPr>
        <w:pStyle w:val="TOC8"/>
        <w:rPr>
          <w:sz w:val="24"/>
          <w:szCs w:val="24"/>
        </w:rPr>
      </w:pPr>
      <w:r>
        <w:rPr>
          <w:szCs w:val="24"/>
        </w:rPr>
        <w:t>16.</w:t>
      </w:r>
      <w:r>
        <w:rPr>
          <w:szCs w:val="24"/>
        </w:rPr>
        <w:tab/>
        <w:t>Terms used in this Part</w:t>
      </w:r>
      <w:r>
        <w:tab/>
      </w:r>
      <w:r>
        <w:fldChar w:fldCharType="begin"/>
      </w:r>
      <w:r>
        <w:instrText xml:space="preserve"> PAGEREF _Toc247094859 \h </w:instrText>
      </w:r>
      <w:r>
        <w:fldChar w:fldCharType="separate"/>
      </w:r>
      <w:r>
        <w:t>13</w:t>
      </w:r>
      <w:r>
        <w:fldChar w:fldCharType="end"/>
      </w:r>
    </w:p>
    <w:p>
      <w:pPr>
        <w:pStyle w:val="TOC8"/>
        <w:rPr>
          <w:sz w:val="24"/>
          <w:szCs w:val="24"/>
        </w:rPr>
      </w:pPr>
      <w:r>
        <w:rPr>
          <w:szCs w:val="24"/>
        </w:rPr>
        <w:t>17.</w:t>
      </w:r>
      <w:r>
        <w:rPr>
          <w:szCs w:val="24"/>
        </w:rPr>
        <w:tab/>
        <w:t>Interruptions to which this Part does not apply</w:t>
      </w:r>
      <w:r>
        <w:tab/>
      </w:r>
      <w:r>
        <w:fldChar w:fldCharType="begin"/>
      </w:r>
      <w:r>
        <w:instrText xml:space="preserve"> PAGEREF _Toc247094860 \h </w:instrText>
      </w:r>
      <w:r>
        <w:fldChar w:fldCharType="separate"/>
      </w:r>
      <w:r>
        <w:t>14</w:t>
      </w:r>
      <w:r>
        <w:fldChar w:fldCharType="end"/>
      </w:r>
    </w:p>
    <w:p>
      <w:pPr>
        <w:pStyle w:val="TOC8"/>
        <w:rPr>
          <w:sz w:val="24"/>
          <w:szCs w:val="24"/>
        </w:rPr>
      </w:pPr>
      <w:r>
        <w:rPr>
          <w:szCs w:val="24"/>
        </w:rPr>
        <w:t>18.</w:t>
      </w:r>
      <w:r>
        <w:rPr>
          <w:szCs w:val="24"/>
        </w:rPr>
        <w:tab/>
        <w:t>Payment for failure to give required notice of planned interruption</w:t>
      </w:r>
      <w:r>
        <w:tab/>
      </w:r>
      <w:r>
        <w:fldChar w:fldCharType="begin"/>
      </w:r>
      <w:r>
        <w:instrText xml:space="preserve"> PAGEREF _Toc247094861 \h </w:instrText>
      </w:r>
      <w:r>
        <w:fldChar w:fldCharType="separate"/>
      </w:r>
      <w:r>
        <w:t>14</w:t>
      </w:r>
      <w:r>
        <w:fldChar w:fldCharType="end"/>
      </w:r>
    </w:p>
    <w:p>
      <w:pPr>
        <w:pStyle w:val="TOC8"/>
        <w:rPr>
          <w:sz w:val="24"/>
          <w:szCs w:val="24"/>
        </w:rPr>
      </w:pPr>
      <w:r>
        <w:rPr>
          <w:szCs w:val="24"/>
        </w:rPr>
        <w:t>19.</w:t>
      </w:r>
      <w:r>
        <w:rPr>
          <w:szCs w:val="24"/>
        </w:rPr>
        <w:tab/>
        <w:t>Payment for supply interruptions exceeding 12 hours</w:t>
      </w:r>
      <w:r>
        <w:tab/>
      </w:r>
      <w:r>
        <w:fldChar w:fldCharType="begin"/>
      </w:r>
      <w:r>
        <w:instrText xml:space="preserve"> PAGEREF _Toc247094862 \h </w:instrText>
      </w:r>
      <w:r>
        <w:fldChar w:fldCharType="separate"/>
      </w:r>
      <w:r>
        <w:t>15</w:t>
      </w:r>
      <w:r>
        <w:fldChar w:fldCharType="end"/>
      </w:r>
    </w:p>
    <w:p>
      <w:pPr>
        <w:pStyle w:val="TOC8"/>
        <w:rPr>
          <w:sz w:val="24"/>
          <w:szCs w:val="24"/>
        </w:rPr>
      </w:pPr>
      <w:r>
        <w:rPr>
          <w:szCs w:val="24"/>
        </w:rPr>
        <w:t>20.</w:t>
      </w:r>
      <w:r>
        <w:rPr>
          <w:szCs w:val="24"/>
        </w:rPr>
        <w:tab/>
        <w:t>Only one application for each premises</w:t>
      </w:r>
      <w:r>
        <w:tab/>
      </w:r>
      <w:r>
        <w:fldChar w:fldCharType="begin"/>
      </w:r>
      <w:r>
        <w:instrText xml:space="preserve"> PAGEREF _Toc247094863 \h </w:instrText>
      </w:r>
      <w:r>
        <w:fldChar w:fldCharType="separate"/>
      </w:r>
      <w:r>
        <w:t>15</w:t>
      </w:r>
      <w:r>
        <w:fldChar w:fldCharType="end"/>
      </w:r>
    </w:p>
    <w:p>
      <w:pPr>
        <w:pStyle w:val="TOC8"/>
        <w:rPr>
          <w:sz w:val="24"/>
          <w:szCs w:val="24"/>
        </w:rPr>
      </w:pPr>
      <w:r>
        <w:rPr>
          <w:szCs w:val="24"/>
        </w:rPr>
        <w:t>21.</w:t>
      </w:r>
      <w:r>
        <w:rPr>
          <w:szCs w:val="24"/>
        </w:rPr>
        <w:tab/>
        <w:t>Information to be provided</w:t>
      </w:r>
      <w:r>
        <w:tab/>
      </w:r>
      <w:r>
        <w:fldChar w:fldCharType="begin"/>
      </w:r>
      <w:r>
        <w:instrText xml:space="preserve"> PAGEREF _Toc247094864 \h </w:instrText>
      </w:r>
      <w:r>
        <w:fldChar w:fldCharType="separate"/>
      </w:r>
      <w:r>
        <w:t>16</w:t>
      </w:r>
      <w:r>
        <w:fldChar w:fldCharType="end"/>
      </w:r>
    </w:p>
    <w:p>
      <w:pPr>
        <w:pStyle w:val="TOC8"/>
        <w:rPr>
          <w:sz w:val="24"/>
          <w:szCs w:val="24"/>
        </w:rPr>
      </w:pPr>
      <w:r>
        <w:rPr>
          <w:szCs w:val="24"/>
        </w:rPr>
        <w:t>22.</w:t>
      </w:r>
      <w:r>
        <w:rPr>
          <w:szCs w:val="24"/>
        </w:rPr>
        <w:tab/>
        <w:t>Alternative methods of payment</w:t>
      </w:r>
      <w:r>
        <w:tab/>
      </w:r>
      <w:r>
        <w:fldChar w:fldCharType="begin"/>
      </w:r>
      <w:r>
        <w:instrText xml:space="preserve"> PAGEREF _Toc247094865 \h </w:instrText>
      </w:r>
      <w:r>
        <w:fldChar w:fldCharType="separate"/>
      </w:r>
      <w:r>
        <w:t>16</w:t>
      </w:r>
      <w:r>
        <w:fldChar w:fldCharType="end"/>
      </w:r>
    </w:p>
    <w:p>
      <w:pPr>
        <w:pStyle w:val="TOC2"/>
        <w:tabs>
          <w:tab w:val="right" w:leader="dot" w:pos="7086"/>
        </w:tabs>
        <w:rPr>
          <w:b w:val="0"/>
          <w:sz w:val="24"/>
          <w:szCs w:val="24"/>
        </w:rPr>
      </w:pPr>
      <w:r>
        <w:rPr>
          <w:szCs w:val="30"/>
        </w:rPr>
        <w:t>Part 4 — Duties incidental to the prescribed standards</w:t>
      </w:r>
    </w:p>
    <w:p>
      <w:pPr>
        <w:pStyle w:val="TOC4"/>
        <w:tabs>
          <w:tab w:val="right" w:leader="dot" w:pos="7086"/>
        </w:tabs>
        <w:rPr>
          <w:b w:val="0"/>
          <w:sz w:val="24"/>
          <w:szCs w:val="24"/>
        </w:rPr>
      </w:pPr>
      <w:r>
        <w:rPr>
          <w:szCs w:val="26"/>
        </w:rPr>
        <w:t>Division 1 — Monitoring, record keeping and investigation</w:t>
      </w:r>
    </w:p>
    <w:p>
      <w:pPr>
        <w:pStyle w:val="TOC8"/>
        <w:rPr>
          <w:sz w:val="24"/>
          <w:szCs w:val="24"/>
        </w:rPr>
      </w:pPr>
      <w:r>
        <w:rPr>
          <w:szCs w:val="24"/>
        </w:rPr>
        <w:t>23.</w:t>
      </w:r>
      <w:r>
        <w:rPr>
          <w:szCs w:val="24"/>
        </w:rPr>
        <w:tab/>
        <w:t>Monitoring and record keeping</w:t>
      </w:r>
      <w:r>
        <w:tab/>
      </w:r>
      <w:r>
        <w:fldChar w:fldCharType="begin"/>
      </w:r>
      <w:r>
        <w:instrText xml:space="preserve"> PAGEREF _Toc247094868 \h </w:instrText>
      </w:r>
      <w:r>
        <w:fldChar w:fldCharType="separate"/>
      </w:r>
      <w:r>
        <w:t>17</w:t>
      </w:r>
      <w:r>
        <w:fldChar w:fldCharType="end"/>
      </w:r>
    </w:p>
    <w:p>
      <w:pPr>
        <w:pStyle w:val="TOC8"/>
        <w:rPr>
          <w:sz w:val="24"/>
          <w:szCs w:val="24"/>
        </w:rPr>
      </w:pPr>
      <w:r>
        <w:rPr>
          <w:szCs w:val="24"/>
        </w:rPr>
        <w:t>24.</w:t>
      </w:r>
      <w:r>
        <w:rPr>
          <w:szCs w:val="24"/>
        </w:rPr>
        <w:tab/>
        <w:t>Quality investigations</w:t>
      </w:r>
      <w:r>
        <w:tab/>
      </w:r>
      <w:r>
        <w:fldChar w:fldCharType="begin"/>
      </w:r>
      <w:r>
        <w:instrText xml:space="preserve"> PAGEREF _Toc247094869 \h </w:instrText>
      </w:r>
      <w:r>
        <w:fldChar w:fldCharType="separate"/>
      </w:r>
      <w:r>
        <w:t>17</w:t>
      </w:r>
      <w:r>
        <w:fldChar w:fldCharType="end"/>
      </w:r>
    </w:p>
    <w:p>
      <w:pPr>
        <w:pStyle w:val="TOC4"/>
        <w:tabs>
          <w:tab w:val="right" w:leader="dot" w:pos="7086"/>
        </w:tabs>
        <w:rPr>
          <w:b w:val="0"/>
          <w:sz w:val="24"/>
          <w:szCs w:val="24"/>
        </w:rPr>
      </w:pPr>
      <w:r>
        <w:rPr>
          <w:szCs w:val="26"/>
        </w:rPr>
        <w:t>Division 2 — Complaints</w:t>
      </w:r>
    </w:p>
    <w:p>
      <w:pPr>
        <w:pStyle w:val="TOC8"/>
        <w:rPr>
          <w:sz w:val="24"/>
          <w:szCs w:val="24"/>
        </w:rPr>
      </w:pPr>
      <w:r>
        <w:rPr>
          <w:szCs w:val="24"/>
        </w:rPr>
        <w:t>25.</w:t>
      </w:r>
      <w:r>
        <w:rPr>
          <w:szCs w:val="24"/>
        </w:rPr>
        <w:tab/>
        <w:t>Information to be given to small use customers</w:t>
      </w:r>
      <w:r>
        <w:tab/>
      </w:r>
      <w:r>
        <w:fldChar w:fldCharType="begin"/>
      </w:r>
      <w:r>
        <w:instrText xml:space="preserve"> PAGEREF _Toc247094871 \h </w:instrText>
      </w:r>
      <w:r>
        <w:fldChar w:fldCharType="separate"/>
      </w:r>
      <w:r>
        <w:t>18</w:t>
      </w:r>
      <w:r>
        <w:fldChar w:fldCharType="end"/>
      </w:r>
    </w:p>
    <w:p>
      <w:pPr>
        <w:pStyle w:val="TOC4"/>
        <w:tabs>
          <w:tab w:val="right" w:leader="dot" w:pos="7086"/>
        </w:tabs>
        <w:rPr>
          <w:b w:val="0"/>
          <w:sz w:val="24"/>
          <w:szCs w:val="24"/>
        </w:rPr>
      </w:pPr>
      <w:r>
        <w:rPr>
          <w:szCs w:val="26"/>
        </w:rPr>
        <w:t>Division 3 — Performance reporting</w:t>
      </w:r>
    </w:p>
    <w:p>
      <w:pPr>
        <w:pStyle w:val="TOC8"/>
        <w:rPr>
          <w:sz w:val="24"/>
          <w:szCs w:val="24"/>
        </w:rPr>
      </w:pPr>
      <w:r>
        <w:rPr>
          <w:szCs w:val="24"/>
        </w:rPr>
        <w:t>26.</w:t>
      </w:r>
      <w:r>
        <w:rPr>
          <w:szCs w:val="24"/>
        </w:rPr>
        <w:tab/>
        <w:t>Annual report on monitoring systems</w:t>
      </w:r>
      <w:r>
        <w:tab/>
      </w:r>
      <w:r>
        <w:fldChar w:fldCharType="begin"/>
      </w:r>
      <w:r>
        <w:instrText xml:space="preserve"> PAGEREF _Toc247094873 \h </w:instrText>
      </w:r>
      <w:r>
        <w:fldChar w:fldCharType="separate"/>
      </w:r>
      <w:r>
        <w:t>18</w:t>
      </w:r>
      <w:r>
        <w:fldChar w:fldCharType="end"/>
      </w:r>
    </w:p>
    <w:p>
      <w:pPr>
        <w:pStyle w:val="TOC8"/>
        <w:rPr>
          <w:sz w:val="24"/>
          <w:szCs w:val="24"/>
        </w:rPr>
      </w:pPr>
      <w:r>
        <w:rPr>
          <w:szCs w:val="24"/>
        </w:rPr>
        <w:t>27.</w:t>
      </w:r>
      <w:r>
        <w:rPr>
          <w:szCs w:val="24"/>
        </w:rPr>
        <w:tab/>
        <w:t>Publication of information about performance</w:t>
      </w:r>
      <w:r>
        <w:tab/>
      </w:r>
      <w:r>
        <w:fldChar w:fldCharType="begin"/>
      </w:r>
      <w:r>
        <w:instrText xml:space="preserve"> PAGEREF _Toc247094874 \h </w:instrText>
      </w:r>
      <w:r>
        <w:fldChar w:fldCharType="separate"/>
      </w:r>
      <w:r>
        <w:t>19</w:t>
      </w:r>
      <w:r>
        <w:fldChar w:fldCharType="end"/>
      </w:r>
    </w:p>
    <w:p>
      <w:pPr>
        <w:pStyle w:val="TOC8"/>
        <w:rPr>
          <w:sz w:val="24"/>
          <w:szCs w:val="24"/>
        </w:rPr>
      </w:pPr>
      <w:r>
        <w:rPr>
          <w:szCs w:val="24"/>
        </w:rPr>
        <w:t>28.</w:t>
      </w:r>
      <w:r>
        <w:rPr>
          <w:szCs w:val="24"/>
        </w:rPr>
        <w:tab/>
        <w:t>Reports not needed if there were no small use customers</w:t>
      </w:r>
      <w:r>
        <w:tab/>
      </w:r>
      <w:r>
        <w:fldChar w:fldCharType="begin"/>
      </w:r>
      <w:r>
        <w:instrText xml:space="preserve"> PAGEREF _Toc247094875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Information to be published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_Toc247094878 \h </w:instrText>
      </w:r>
      <w:r>
        <w:fldChar w:fldCharType="separate"/>
      </w:r>
      <w:r>
        <w:t>23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rtlGutter/>
          <w:docGrid w:linePitch="326"/>
        </w:sectPr>
      </w:pPr>
    </w:p>
    <w:p>
      <w:pPr>
        <w:pStyle w:val="PrincipalActReg"/>
      </w:pPr>
      <w:r>
        <w:t>Electricity Industry Act 2004</w:t>
      </w:r>
    </w:p>
    <w:p>
      <w:pPr>
        <w:pStyle w:val="NameofActReg"/>
      </w:pPr>
      <w:r>
        <w:t>Electricity Industry (Network Quality and Reliability of Supply) Code 2005</w:t>
      </w:r>
    </w:p>
    <w:p>
      <w:pPr>
        <w:pStyle w:val="Heading2"/>
        <w:pageBreakBefore w:val="0"/>
        <w:spacing w:before="240"/>
      </w:pPr>
      <w:bookmarkStart w:id="2" w:name="_Toc247094837"/>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247094838"/>
      <w:r>
        <w:rPr>
          <w:rStyle w:val="CharSectno"/>
        </w:rPr>
        <w:t>1</w:t>
      </w:r>
      <w:r>
        <w:t>.</w:t>
      </w:r>
      <w:r>
        <w:tab/>
        <w:t>Citation</w:t>
      </w:r>
      <w:bookmarkEnd w:id="3"/>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4" w:name="_Toc247094839"/>
      <w:r>
        <w:rPr>
          <w:rStyle w:val="CharSectno"/>
        </w:rPr>
        <w:t>2</w:t>
      </w:r>
      <w:r>
        <w:t>.</w:t>
      </w:r>
      <w:r>
        <w:tab/>
        <w:t>Commencement</w:t>
      </w:r>
      <w:bookmarkEnd w:id="4"/>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5" w:name="_Toc247094840"/>
      <w:r>
        <w:rPr>
          <w:rStyle w:val="CharSectno"/>
        </w:rPr>
        <w:t>3</w:t>
      </w:r>
      <w:r>
        <w:t>.</w:t>
      </w:r>
      <w:r>
        <w:tab/>
        <w:t>Terms used in this Code</w:t>
      </w:r>
      <w:bookmarkEnd w:id="5"/>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bCs/>
        </w:rPr>
        <w:tab/>
      </w:r>
      <w:r>
        <w:rPr>
          <w:rStyle w:val="CharDefText"/>
        </w:rPr>
        <w:t>Perth CBD</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unplanned interruption</w:t>
      </w:r>
      <w:r>
        <w:t xml:space="preserve"> means an interruption that is not undertaken in accordance with section 11;</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 xml:space="preserve">Metropolitan Region Town Planning Scheme Act 1959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 27 Nov 2009 p. 4781.]</w:t>
      </w:r>
    </w:p>
    <w:p>
      <w:pPr>
        <w:pStyle w:val="Heading2"/>
      </w:pPr>
      <w:bookmarkStart w:id="6" w:name="_Toc247094841"/>
      <w:r>
        <w:rPr>
          <w:rStyle w:val="CharPartNo"/>
        </w:rPr>
        <w:t>Part 2</w:t>
      </w:r>
      <w:r>
        <w:t> — </w:t>
      </w:r>
      <w:r>
        <w:rPr>
          <w:rStyle w:val="CharPartText"/>
        </w:rPr>
        <w:t>Quality and reliability standards</w:t>
      </w:r>
      <w:bookmarkEnd w:id="6"/>
    </w:p>
    <w:p>
      <w:pPr>
        <w:pStyle w:val="Heading3"/>
      </w:pPr>
      <w:bookmarkStart w:id="7" w:name="_Toc247094842"/>
      <w:r>
        <w:rPr>
          <w:rStyle w:val="CharDivNo"/>
        </w:rPr>
        <w:t>Division 1</w:t>
      </w:r>
      <w:r>
        <w:t> — </w:t>
      </w:r>
      <w:r>
        <w:rPr>
          <w:rStyle w:val="CharDivText"/>
        </w:rPr>
        <w:t>Quality Standards</w:t>
      </w:r>
      <w:bookmarkEnd w:id="7"/>
    </w:p>
    <w:p>
      <w:pPr>
        <w:pStyle w:val="Heading5"/>
      </w:pPr>
      <w:bookmarkStart w:id="8" w:name="_Toc247094843"/>
      <w:r>
        <w:rPr>
          <w:rStyle w:val="CharSectno"/>
        </w:rPr>
        <w:t>4</w:t>
      </w:r>
      <w:r>
        <w:t>.</w:t>
      </w:r>
      <w:r>
        <w:tab/>
        <w:t>Definition</w:t>
      </w:r>
      <w:bookmarkEnd w:id="8"/>
    </w:p>
    <w:p>
      <w:pPr>
        <w:pStyle w:val="Subsection"/>
        <w:rPr>
          <w:spacing w:val="-2"/>
        </w:rPr>
      </w:pPr>
      <w:r>
        <w:rPr>
          <w:spacing w:val="-2"/>
        </w:rPr>
        <w:tab/>
      </w:r>
      <w:r>
        <w:rPr>
          <w:spacing w:val="-2"/>
        </w:rPr>
        <w:tab/>
        <w:t xml:space="preserve">In sections 6(2) and 7 — </w:t>
      </w:r>
    </w:p>
    <w:p>
      <w:pPr>
        <w:pStyle w:val="Defstart"/>
        <w:rPr>
          <w:lang w:val="en-US"/>
        </w:rPr>
      </w:pPr>
      <w:r>
        <w:rPr>
          <w:b/>
          <w:bCs/>
        </w:rPr>
        <w:tab/>
      </w:r>
      <w:r>
        <w:rPr>
          <w:rStyle w:val="CharDefText"/>
        </w:rPr>
        <w:t>compatibility levels</w:t>
      </w:r>
      <w:r>
        <w:t xml:space="preserve"> means </w:t>
      </w:r>
      <w:r>
        <w:rPr>
          <w:lang w:val="en-US"/>
        </w:rPr>
        <w:t>reference values for coordinating the emission and immunity of equipment which is part of, or supplied by, a network in order to ensure electromagnetic compatibility in the whole system, including connected equipment.</w:t>
      </w:r>
    </w:p>
    <w:p>
      <w:pPr>
        <w:pStyle w:val="Heading5"/>
      </w:pPr>
      <w:bookmarkStart w:id="9" w:name="_Toc247094844"/>
      <w:r>
        <w:rPr>
          <w:rStyle w:val="CharSectno"/>
        </w:rPr>
        <w:t>5</w:t>
      </w:r>
      <w:r>
        <w:t>.</w:t>
      </w:r>
      <w:r>
        <w:tab/>
        <w:t>Obligation to observe standards</w:t>
      </w:r>
      <w:bookmarkEnd w:id="9"/>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10" w:name="_Toc247094845"/>
      <w:r>
        <w:rPr>
          <w:rStyle w:val="CharSectno"/>
        </w:rPr>
        <w:t>6</w:t>
      </w:r>
      <w:r>
        <w:t>.</w:t>
      </w:r>
      <w:r>
        <w:tab/>
        <w:t>Voltage fluctuations</w:t>
      </w:r>
      <w:bookmarkEnd w:id="10"/>
    </w:p>
    <w:p>
      <w:pPr>
        <w:pStyle w:val="Subsection"/>
        <w:rPr>
          <w:spacing w:val="-2"/>
        </w:rPr>
      </w:pPr>
      <w:r>
        <w:rPr>
          <w:spacing w:val="-2"/>
        </w:rPr>
        <w:tab/>
        <w:t>(1)</w:t>
      </w:r>
      <w:r>
        <w:rPr>
          <w:spacing w:val="-2"/>
        </w:rPr>
        <w:tab/>
        <w:t>In the Table to subsection (2), the expressions “</w:t>
      </w:r>
      <w:r>
        <w:rPr>
          <w:b/>
          <w:bCs/>
          <w:spacing w:val="-2"/>
        </w:rPr>
        <w:t>P</w:t>
      </w:r>
      <w:r>
        <w:rPr>
          <w:b/>
          <w:bCs/>
          <w:spacing w:val="-2"/>
          <w:vertAlign w:val="subscript"/>
        </w:rPr>
        <w:t>st</w:t>
      </w:r>
      <w:r>
        <w:rPr>
          <w:spacing w:val="-2"/>
        </w:rPr>
        <w:t>” and “</w:t>
      </w:r>
      <w:r>
        <w:rPr>
          <w:b/>
          <w:bCs/>
          <w:spacing w:val="-2"/>
        </w:rPr>
        <w:t>P</w:t>
      </w:r>
      <w:r>
        <w:rPr>
          <w:b/>
          <w:bCs/>
          <w:spacing w:val="-2"/>
          <w:vertAlign w:val="subscript"/>
        </w:rPr>
        <w:t>lt</w:t>
      </w:r>
      <w:r>
        <w:rPr>
          <w:spacing w:val="-2"/>
        </w:rPr>
        <w:t>”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pPr>
          </w:p>
        </w:tc>
        <w:tc>
          <w:tcPr>
            <w:tcW w:w="3402" w:type="dxa"/>
            <w:tcBorders>
              <w:top w:val="single" w:sz="4" w:space="0" w:color="auto"/>
              <w:bottom w:val="single" w:sz="4" w:space="0" w:color="auto"/>
            </w:tcBorders>
          </w:tcPr>
          <w:p>
            <w:pPr>
              <w:pStyle w:val="TableNAm"/>
              <w:jc w:val="center"/>
            </w:pPr>
            <w:r>
              <w:rPr>
                <w:b/>
                <w:bCs/>
              </w:rPr>
              <w:t>Compatibility levels</w:t>
            </w:r>
          </w:p>
        </w:tc>
      </w:tr>
      <w:tr>
        <w:tc>
          <w:tcPr>
            <w:tcW w:w="2551" w:type="dxa"/>
            <w:tcBorders>
              <w:top w:val="single" w:sz="4" w:space="0" w:color="auto"/>
            </w:tcBorders>
          </w:tcPr>
          <w:p>
            <w:pPr>
              <w:pStyle w:val="TableNAm"/>
            </w:pPr>
            <w:r>
              <w:t>P</w:t>
            </w:r>
            <w:r>
              <w:rPr>
                <w:rFonts w:ascii="Times" w:hAnsi="Times" w:cs="Times"/>
                <w:szCs w:val="24"/>
                <w:vertAlign w:val="subscript"/>
              </w:rPr>
              <w:t>st</w:t>
            </w:r>
          </w:p>
        </w:tc>
        <w:tc>
          <w:tcPr>
            <w:tcW w:w="3402" w:type="dxa"/>
            <w:tcBorders>
              <w:top w:val="single" w:sz="4" w:space="0" w:color="auto"/>
            </w:tcBorders>
          </w:tcPr>
          <w:p>
            <w:pPr>
              <w:pStyle w:val="TableNAm"/>
            </w:pPr>
            <w:r>
              <w:t>1.0</w:t>
            </w:r>
          </w:p>
        </w:tc>
      </w:tr>
      <w:tr>
        <w:tc>
          <w:tcPr>
            <w:tcW w:w="2551" w:type="dxa"/>
            <w:tcBorders>
              <w:bottom w:val="single" w:sz="4" w:space="0" w:color="auto"/>
            </w:tcBorders>
          </w:tcPr>
          <w:p>
            <w:pPr>
              <w:pStyle w:val="TableNAm"/>
            </w:pPr>
            <w:r>
              <w:t>P</w:t>
            </w:r>
            <w:r>
              <w:rPr>
                <w:rFonts w:ascii="Times" w:hAnsi="Times" w:cs="Times"/>
                <w:vertAlign w:val="subscript"/>
              </w:rPr>
              <w:t>lt</w:t>
            </w:r>
          </w:p>
        </w:tc>
        <w:tc>
          <w:tcPr>
            <w:tcW w:w="3402" w:type="dxa"/>
            <w:tcBorders>
              <w:bottom w:val="single" w:sz="4" w:space="0" w:color="auto"/>
            </w:tcBorders>
          </w:tcPr>
          <w:p>
            <w:pPr>
              <w:pStyle w:val="TableNAm"/>
            </w:pPr>
            <w:r>
              <w:t>0.8</w:t>
            </w:r>
          </w:p>
        </w:tc>
      </w:tr>
    </w:tbl>
    <w:p>
      <w:pPr>
        <w:pStyle w:val="Heading5"/>
      </w:pPr>
      <w:bookmarkStart w:id="11" w:name="_Toc247094846"/>
      <w:r>
        <w:rPr>
          <w:rStyle w:val="CharSectno"/>
        </w:rPr>
        <w:t>7</w:t>
      </w:r>
      <w:r>
        <w:t>.</w:t>
      </w:r>
      <w:r>
        <w:tab/>
        <w:t>Harmonics</w:t>
      </w:r>
      <w:bookmarkEnd w:id="11"/>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jc w:val="center"/>
              <w:rPr>
                <w:sz w:val="20"/>
              </w:rPr>
            </w:pPr>
            <w:r>
              <w:rPr>
                <w:sz w:val="20"/>
                <w:lang w:val="en-US"/>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jc w:val="center"/>
              <w:rPr>
                <w:sz w:val="20"/>
              </w:rPr>
            </w:pPr>
            <w:r>
              <w:rPr>
                <w:sz w:val="20"/>
              </w:rPr>
              <w:t>Harmonic voltage %</w:t>
            </w:r>
          </w:p>
        </w:tc>
      </w:tr>
      <w:tr>
        <w:trPr>
          <w:cantSplit/>
        </w:trPr>
        <w:tc>
          <w:tcPr>
            <w:tcW w:w="709" w:type="dxa"/>
            <w:tcBorders>
              <w:top w:val="single" w:sz="4" w:space="0" w:color="auto"/>
            </w:tcBorders>
          </w:tcPr>
          <w:p>
            <w:pPr>
              <w:pStyle w:val="TableNAm"/>
              <w:jc w:val="center"/>
              <w:rPr>
                <w:sz w:val="20"/>
              </w:rPr>
            </w:pPr>
            <w:r>
              <w:rPr>
                <w:sz w:val="20"/>
              </w:rPr>
              <w:t>5</w:t>
            </w:r>
          </w:p>
        </w:tc>
        <w:tc>
          <w:tcPr>
            <w:tcW w:w="1464" w:type="dxa"/>
            <w:tcBorders>
              <w:top w:val="single" w:sz="4" w:space="0" w:color="auto"/>
            </w:tcBorders>
          </w:tcPr>
          <w:p>
            <w:pPr>
              <w:pStyle w:val="TableNAm"/>
              <w:jc w:val="center"/>
              <w:rPr>
                <w:sz w:val="20"/>
              </w:rPr>
            </w:pPr>
            <w:r>
              <w:rPr>
                <w:sz w:val="20"/>
              </w:rPr>
              <w:t>6</w:t>
            </w:r>
          </w:p>
        </w:tc>
        <w:tc>
          <w:tcPr>
            <w:tcW w:w="704" w:type="dxa"/>
            <w:tcBorders>
              <w:top w:val="single" w:sz="4" w:space="0" w:color="auto"/>
            </w:tcBorders>
          </w:tcPr>
          <w:p>
            <w:pPr>
              <w:pStyle w:val="TableNAm"/>
              <w:jc w:val="center"/>
              <w:rPr>
                <w:sz w:val="20"/>
              </w:rPr>
            </w:pPr>
            <w:r>
              <w:rPr>
                <w:sz w:val="20"/>
              </w:rPr>
              <w:t>3</w:t>
            </w:r>
          </w:p>
        </w:tc>
        <w:tc>
          <w:tcPr>
            <w:tcW w:w="1470" w:type="dxa"/>
            <w:tcBorders>
              <w:top w:val="single" w:sz="4" w:space="0" w:color="auto"/>
            </w:tcBorders>
          </w:tcPr>
          <w:p>
            <w:pPr>
              <w:pStyle w:val="TableNAm"/>
              <w:jc w:val="center"/>
              <w:rPr>
                <w:sz w:val="20"/>
              </w:rPr>
            </w:pPr>
            <w:r>
              <w:rPr>
                <w:sz w:val="20"/>
              </w:rPr>
              <w:t>5</w:t>
            </w:r>
          </w:p>
        </w:tc>
        <w:tc>
          <w:tcPr>
            <w:tcW w:w="756" w:type="dxa"/>
            <w:tcBorders>
              <w:top w:val="single" w:sz="4" w:space="0" w:color="auto"/>
            </w:tcBorders>
          </w:tcPr>
          <w:p>
            <w:pPr>
              <w:pStyle w:val="TableNAm"/>
              <w:jc w:val="center"/>
              <w:rPr>
                <w:sz w:val="20"/>
              </w:rPr>
            </w:pPr>
            <w:r>
              <w:rPr>
                <w:sz w:val="20"/>
              </w:rPr>
              <w:t>2</w:t>
            </w:r>
          </w:p>
        </w:tc>
        <w:tc>
          <w:tcPr>
            <w:tcW w:w="1418" w:type="dxa"/>
            <w:tcBorders>
              <w:top w:val="single" w:sz="4" w:space="0" w:color="auto"/>
            </w:tcBorders>
          </w:tcPr>
          <w:p>
            <w:pPr>
              <w:pStyle w:val="TableNAm"/>
              <w:jc w:val="center"/>
              <w:rPr>
                <w:sz w:val="20"/>
              </w:rPr>
            </w:pPr>
            <w:r>
              <w:rPr>
                <w:sz w:val="20"/>
              </w:rPr>
              <w:t>2</w:t>
            </w:r>
          </w:p>
        </w:tc>
      </w:tr>
      <w:tr>
        <w:trPr>
          <w:cantSplit/>
        </w:trPr>
        <w:tc>
          <w:tcPr>
            <w:tcW w:w="709" w:type="dxa"/>
          </w:tcPr>
          <w:p>
            <w:pPr>
              <w:pStyle w:val="TableNAm"/>
              <w:jc w:val="center"/>
              <w:rPr>
                <w:sz w:val="20"/>
              </w:rPr>
            </w:pPr>
            <w:r>
              <w:rPr>
                <w:sz w:val="20"/>
              </w:rPr>
              <w:t>7</w:t>
            </w:r>
          </w:p>
        </w:tc>
        <w:tc>
          <w:tcPr>
            <w:tcW w:w="1464" w:type="dxa"/>
          </w:tcPr>
          <w:p>
            <w:pPr>
              <w:pStyle w:val="TableNAm"/>
              <w:jc w:val="center"/>
              <w:rPr>
                <w:sz w:val="20"/>
              </w:rPr>
            </w:pPr>
            <w:r>
              <w:rPr>
                <w:sz w:val="20"/>
              </w:rPr>
              <w:t>5</w:t>
            </w:r>
          </w:p>
        </w:tc>
        <w:tc>
          <w:tcPr>
            <w:tcW w:w="704" w:type="dxa"/>
          </w:tcPr>
          <w:p>
            <w:pPr>
              <w:pStyle w:val="TableNAm"/>
              <w:jc w:val="center"/>
              <w:rPr>
                <w:sz w:val="20"/>
              </w:rPr>
            </w:pPr>
            <w:r>
              <w:rPr>
                <w:sz w:val="20"/>
              </w:rPr>
              <w:t>9</w:t>
            </w:r>
          </w:p>
        </w:tc>
        <w:tc>
          <w:tcPr>
            <w:tcW w:w="1470" w:type="dxa"/>
          </w:tcPr>
          <w:p>
            <w:pPr>
              <w:pStyle w:val="TableNAm"/>
              <w:jc w:val="center"/>
              <w:rPr>
                <w:sz w:val="20"/>
              </w:rPr>
            </w:pPr>
            <w:r>
              <w:rPr>
                <w:sz w:val="20"/>
              </w:rPr>
              <w:t>1.5</w:t>
            </w:r>
          </w:p>
        </w:tc>
        <w:tc>
          <w:tcPr>
            <w:tcW w:w="756" w:type="dxa"/>
          </w:tcPr>
          <w:p>
            <w:pPr>
              <w:pStyle w:val="TableNAm"/>
              <w:jc w:val="center"/>
              <w:rPr>
                <w:sz w:val="20"/>
              </w:rPr>
            </w:pPr>
            <w:r>
              <w:rPr>
                <w:sz w:val="20"/>
              </w:rPr>
              <w:t>4</w:t>
            </w:r>
          </w:p>
        </w:tc>
        <w:tc>
          <w:tcPr>
            <w:tcW w:w="1418" w:type="dxa"/>
          </w:tcPr>
          <w:p>
            <w:pPr>
              <w:pStyle w:val="TableNAm"/>
              <w:jc w:val="center"/>
              <w:rPr>
                <w:sz w:val="20"/>
              </w:rPr>
            </w:pPr>
            <w:r>
              <w:rPr>
                <w:sz w:val="20"/>
              </w:rPr>
              <w:t>1</w:t>
            </w:r>
          </w:p>
        </w:tc>
      </w:tr>
      <w:tr>
        <w:trPr>
          <w:cantSplit/>
        </w:trPr>
        <w:tc>
          <w:tcPr>
            <w:tcW w:w="709" w:type="dxa"/>
          </w:tcPr>
          <w:p>
            <w:pPr>
              <w:pStyle w:val="TableNAm"/>
              <w:jc w:val="center"/>
              <w:rPr>
                <w:sz w:val="20"/>
              </w:rPr>
            </w:pPr>
            <w:r>
              <w:rPr>
                <w:sz w:val="20"/>
              </w:rPr>
              <w:t>11</w:t>
            </w:r>
          </w:p>
        </w:tc>
        <w:tc>
          <w:tcPr>
            <w:tcW w:w="1464" w:type="dxa"/>
          </w:tcPr>
          <w:p>
            <w:pPr>
              <w:pStyle w:val="TableNAm"/>
              <w:jc w:val="center"/>
              <w:rPr>
                <w:sz w:val="20"/>
              </w:rPr>
            </w:pPr>
            <w:r>
              <w:rPr>
                <w:sz w:val="20"/>
              </w:rPr>
              <w:t>3.5</w:t>
            </w:r>
          </w:p>
        </w:tc>
        <w:tc>
          <w:tcPr>
            <w:tcW w:w="704" w:type="dxa"/>
          </w:tcPr>
          <w:p>
            <w:pPr>
              <w:pStyle w:val="TableNAm"/>
              <w:jc w:val="center"/>
              <w:rPr>
                <w:sz w:val="20"/>
              </w:rPr>
            </w:pPr>
            <w:r>
              <w:rPr>
                <w:sz w:val="20"/>
              </w:rPr>
              <w:t>15</w:t>
            </w:r>
          </w:p>
        </w:tc>
        <w:tc>
          <w:tcPr>
            <w:tcW w:w="1470" w:type="dxa"/>
          </w:tcPr>
          <w:p>
            <w:pPr>
              <w:pStyle w:val="TableNAm"/>
              <w:jc w:val="center"/>
              <w:rPr>
                <w:sz w:val="20"/>
              </w:rPr>
            </w:pPr>
            <w:r>
              <w:rPr>
                <w:sz w:val="20"/>
              </w:rPr>
              <w:t>0.3</w:t>
            </w:r>
          </w:p>
        </w:tc>
        <w:tc>
          <w:tcPr>
            <w:tcW w:w="756" w:type="dxa"/>
          </w:tcPr>
          <w:p>
            <w:pPr>
              <w:pStyle w:val="TableNAm"/>
              <w:jc w:val="center"/>
              <w:rPr>
                <w:sz w:val="20"/>
              </w:rPr>
            </w:pPr>
            <w:r>
              <w:rPr>
                <w:sz w:val="20"/>
              </w:rPr>
              <w:t>6</w:t>
            </w:r>
          </w:p>
        </w:tc>
        <w:tc>
          <w:tcPr>
            <w:tcW w:w="1418" w:type="dxa"/>
          </w:tcPr>
          <w:p>
            <w:pPr>
              <w:pStyle w:val="TableNAm"/>
              <w:jc w:val="center"/>
              <w:rPr>
                <w:sz w:val="20"/>
              </w:rPr>
            </w:pPr>
            <w:r>
              <w:rPr>
                <w:sz w:val="20"/>
              </w:rPr>
              <w:t>0.5</w:t>
            </w:r>
          </w:p>
        </w:tc>
      </w:tr>
      <w:tr>
        <w:trPr>
          <w:cantSplit/>
        </w:trPr>
        <w:tc>
          <w:tcPr>
            <w:tcW w:w="709" w:type="dxa"/>
          </w:tcPr>
          <w:p>
            <w:pPr>
              <w:pStyle w:val="TableNAm"/>
              <w:jc w:val="center"/>
              <w:rPr>
                <w:sz w:val="20"/>
              </w:rPr>
            </w:pPr>
            <w:r>
              <w:rPr>
                <w:sz w:val="20"/>
              </w:rPr>
              <w:t>13</w:t>
            </w:r>
          </w:p>
        </w:tc>
        <w:tc>
          <w:tcPr>
            <w:tcW w:w="1464" w:type="dxa"/>
          </w:tcPr>
          <w:p>
            <w:pPr>
              <w:pStyle w:val="TableNAm"/>
              <w:jc w:val="center"/>
              <w:rPr>
                <w:sz w:val="20"/>
              </w:rPr>
            </w:pPr>
            <w:r>
              <w:rPr>
                <w:sz w:val="20"/>
              </w:rPr>
              <w:t>3</w:t>
            </w:r>
          </w:p>
        </w:tc>
        <w:tc>
          <w:tcPr>
            <w:tcW w:w="704" w:type="dxa"/>
          </w:tcPr>
          <w:p>
            <w:pPr>
              <w:pStyle w:val="TableNAm"/>
              <w:jc w:val="center"/>
              <w:rPr>
                <w:sz w:val="20"/>
              </w:rPr>
            </w:pPr>
            <w:r>
              <w:rPr>
                <w:sz w:val="20"/>
              </w:rPr>
              <w:t>21</w:t>
            </w:r>
          </w:p>
        </w:tc>
        <w:tc>
          <w:tcPr>
            <w:tcW w:w="1470" w:type="dxa"/>
          </w:tcPr>
          <w:p>
            <w:pPr>
              <w:pStyle w:val="TableNAm"/>
              <w:jc w:val="center"/>
              <w:rPr>
                <w:sz w:val="20"/>
              </w:rPr>
            </w:pPr>
            <w:r>
              <w:rPr>
                <w:sz w:val="20"/>
              </w:rPr>
              <w:t>0.2</w:t>
            </w:r>
          </w:p>
        </w:tc>
        <w:tc>
          <w:tcPr>
            <w:tcW w:w="756" w:type="dxa"/>
          </w:tcPr>
          <w:p>
            <w:pPr>
              <w:pStyle w:val="TableNAm"/>
              <w:jc w:val="center"/>
              <w:rPr>
                <w:sz w:val="20"/>
              </w:rPr>
            </w:pPr>
            <w:r>
              <w:rPr>
                <w:sz w:val="20"/>
              </w:rPr>
              <w:t>8</w:t>
            </w:r>
          </w:p>
        </w:tc>
        <w:tc>
          <w:tcPr>
            <w:tcW w:w="1418" w:type="dxa"/>
          </w:tcPr>
          <w:p>
            <w:pPr>
              <w:pStyle w:val="TableNAm"/>
              <w:jc w:val="center"/>
              <w:rPr>
                <w:sz w:val="20"/>
              </w:rPr>
            </w:pPr>
            <w:r>
              <w:rPr>
                <w:sz w:val="20"/>
              </w:rPr>
              <w:t>0.5</w:t>
            </w:r>
          </w:p>
        </w:tc>
      </w:tr>
      <w:tr>
        <w:trPr>
          <w:cantSplit/>
        </w:trPr>
        <w:tc>
          <w:tcPr>
            <w:tcW w:w="709" w:type="dxa"/>
          </w:tcPr>
          <w:p>
            <w:pPr>
              <w:pStyle w:val="TableNAm"/>
              <w:jc w:val="center"/>
              <w:rPr>
                <w:sz w:val="20"/>
              </w:rPr>
            </w:pPr>
            <w:r>
              <w:rPr>
                <w:sz w:val="20"/>
              </w:rPr>
              <w:t>17</w:t>
            </w:r>
          </w:p>
        </w:tc>
        <w:tc>
          <w:tcPr>
            <w:tcW w:w="1464" w:type="dxa"/>
          </w:tcPr>
          <w:p>
            <w:pPr>
              <w:pStyle w:val="TableNAm"/>
              <w:jc w:val="center"/>
              <w:rPr>
                <w:sz w:val="20"/>
              </w:rPr>
            </w:pPr>
            <w:r>
              <w:rPr>
                <w:sz w:val="20"/>
              </w:rPr>
              <w:t>2</w:t>
            </w:r>
          </w:p>
        </w:tc>
        <w:tc>
          <w:tcPr>
            <w:tcW w:w="704" w:type="dxa"/>
          </w:tcPr>
          <w:p>
            <w:pPr>
              <w:pStyle w:val="TableNAm"/>
              <w:jc w:val="center"/>
              <w:rPr>
                <w:sz w:val="20"/>
              </w:rPr>
            </w:pPr>
            <w:r>
              <w:rPr>
                <w:sz w:val="20"/>
              </w:rPr>
              <w:t>&gt;21</w:t>
            </w:r>
          </w:p>
        </w:tc>
        <w:tc>
          <w:tcPr>
            <w:tcW w:w="1470" w:type="dxa"/>
          </w:tcPr>
          <w:p>
            <w:pPr>
              <w:pStyle w:val="TableNAm"/>
              <w:jc w:val="center"/>
              <w:rPr>
                <w:sz w:val="20"/>
              </w:rPr>
            </w:pPr>
            <w:r>
              <w:rPr>
                <w:sz w:val="20"/>
              </w:rPr>
              <w:t>0.2</w:t>
            </w:r>
          </w:p>
        </w:tc>
        <w:tc>
          <w:tcPr>
            <w:tcW w:w="756" w:type="dxa"/>
          </w:tcPr>
          <w:p>
            <w:pPr>
              <w:pStyle w:val="TableNAm"/>
              <w:jc w:val="center"/>
              <w:rPr>
                <w:sz w:val="20"/>
              </w:rPr>
            </w:pPr>
            <w:r>
              <w:rPr>
                <w:sz w:val="20"/>
              </w:rPr>
              <w:t>10</w:t>
            </w:r>
          </w:p>
        </w:tc>
        <w:tc>
          <w:tcPr>
            <w:tcW w:w="1418" w:type="dxa"/>
          </w:tcPr>
          <w:p>
            <w:pPr>
              <w:pStyle w:val="TableNAm"/>
              <w:jc w:val="center"/>
              <w:rPr>
                <w:sz w:val="20"/>
              </w:rPr>
            </w:pPr>
            <w:r>
              <w:rPr>
                <w:sz w:val="20"/>
              </w:rPr>
              <w:t>0.5</w:t>
            </w:r>
          </w:p>
        </w:tc>
      </w:tr>
      <w:tr>
        <w:trPr>
          <w:cantSplit/>
        </w:trPr>
        <w:tc>
          <w:tcPr>
            <w:tcW w:w="709" w:type="dxa"/>
          </w:tcPr>
          <w:p>
            <w:pPr>
              <w:pStyle w:val="TableNAm"/>
              <w:jc w:val="center"/>
              <w:rPr>
                <w:sz w:val="20"/>
              </w:rPr>
            </w:pPr>
            <w:r>
              <w:rPr>
                <w:sz w:val="20"/>
              </w:rPr>
              <w:t>19</w:t>
            </w:r>
          </w:p>
        </w:tc>
        <w:tc>
          <w:tcPr>
            <w:tcW w:w="1464" w:type="dxa"/>
          </w:tcPr>
          <w:p>
            <w:pPr>
              <w:pStyle w:val="TableNAm"/>
              <w:jc w:val="center"/>
              <w:rPr>
                <w:sz w:val="20"/>
              </w:rPr>
            </w:pPr>
            <w:r>
              <w:rPr>
                <w:sz w:val="20"/>
              </w:rPr>
              <w:t>1.5</w:t>
            </w:r>
          </w:p>
        </w:tc>
        <w:tc>
          <w:tcPr>
            <w:tcW w:w="704" w:type="dxa"/>
          </w:tcPr>
          <w:p>
            <w:pPr>
              <w:pStyle w:val="TableNAm"/>
              <w:jc w:val="center"/>
              <w:rPr>
                <w:sz w:val="20"/>
              </w:rPr>
            </w:pPr>
          </w:p>
        </w:tc>
        <w:tc>
          <w:tcPr>
            <w:tcW w:w="1470" w:type="dxa"/>
          </w:tcPr>
          <w:p>
            <w:pPr>
              <w:pStyle w:val="TableNAm"/>
              <w:jc w:val="center"/>
              <w:rPr>
                <w:sz w:val="20"/>
              </w:rPr>
            </w:pPr>
          </w:p>
        </w:tc>
        <w:tc>
          <w:tcPr>
            <w:tcW w:w="756" w:type="dxa"/>
          </w:tcPr>
          <w:p>
            <w:pPr>
              <w:pStyle w:val="TableNAm"/>
              <w:jc w:val="center"/>
              <w:rPr>
                <w:sz w:val="20"/>
              </w:rPr>
            </w:pPr>
            <w:r>
              <w:rPr>
                <w:sz w:val="20"/>
              </w:rPr>
              <w:t>12</w:t>
            </w:r>
          </w:p>
        </w:tc>
        <w:tc>
          <w:tcPr>
            <w:tcW w:w="1418" w:type="dxa"/>
          </w:tcPr>
          <w:p>
            <w:pPr>
              <w:pStyle w:val="TableNAm"/>
              <w:jc w:val="center"/>
              <w:rPr>
                <w:sz w:val="20"/>
              </w:rPr>
            </w:pPr>
            <w:r>
              <w:rPr>
                <w:sz w:val="20"/>
              </w:rPr>
              <w:t>0.2</w:t>
            </w:r>
          </w:p>
        </w:tc>
      </w:tr>
      <w:tr>
        <w:trPr>
          <w:cantSplit/>
        </w:trPr>
        <w:tc>
          <w:tcPr>
            <w:tcW w:w="709" w:type="dxa"/>
          </w:tcPr>
          <w:p>
            <w:pPr>
              <w:pStyle w:val="TableNAm"/>
              <w:jc w:val="center"/>
              <w:rPr>
                <w:sz w:val="20"/>
              </w:rPr>
            </w:pPr>
            <w:r>
              <w:rPr>
                <w:sz w:val="20"/>
              </w:rPr>
              <w:t>23</w:t>
            </w:r>
          </w:p>
        </w:tc>
        <w:tc>
          <w:tcPr>
            <w:tcW w:w="1464" w:type="dxa"/>
          </w:tcPr>
          <w:p>
            <w:pPr>
              <w:pStyle w:val="TableNAm"/>
              <w:jc w:val="center"/>
              <w:rPr>
                <w:sz w:val="20"/>
              </w:rPr>
            </w:pPr>
            <w:r>
              <w:rPr>
                <w:sz w:val="20"/>
              </w:rPr>
              <w:t>1.5</w:t>
            </w:r>
          </w:p>
        </w:tc>
        <w:tc>
          <w:tcPr>
            <w:tcW w:w="704" w:type="dxa"/>
          </w:tcPr>
          <w:p>
            <w:pPr>
              <w:pStyle w:val="TableNAm"/>
              <w:jc w:val="center"/>
              <w:rPr>
                <w:sz w:val="20"/>
              </w:rPr>
            </w:pPr>
          </w:p>
        </w:tc>
        <w:tc>
          <w:tcPr>
            <w:tcW w:w="1470" w:type="dxa"/>
          </w:tcPr>
          <w:p>
            <w:pPr>
              <w:pStyle w:val="TableNAm"/>
              <w:jc w:val="center"/>
              <w:rPr>
                <w:sz w:val="20"/>
              </w:rPr>
            </w:pPr>
          </w:p>
        </w:tc>
        <w:tc>
          <w:tcPr>
            <w:tcW w:w="756" w:type="dxa"/>
          </w:tcPr>
          <w:p>
            <w:pPr>
              <w:pStyle w:val="TableNAm"/>
              <w:jc w:val="center"/>
              <w:rPr>
                <w:sz w:val="20"/>
              </w:rPr>
            </w:pPr>
            <w:r>
              <w:rPr>
                <w:sz w:val="20"/>
              </w:rPr>
              <w:t>&gt;12</w:t>
            </w:r>
          </w:p>
        </w:tc>
        <w:tc>
          <w:tcPr>
            <w:tcW w:w="1418" w:type="dxa"/>
          </w:tcPr>
          <w:p>
            <w:pPr>
              <w:pStyle w:val="TableNAm"/>
              <w:jc w:val="center"/>
              <w:rPr>
                <w:sz w:val="20"/>
              </w:rPr>
            </w:pPr>
            <w:r>
              <w:rPr>
                <w:sz w:val="20"/>
              </w:rPr>
              <w:t>0.2</w:t>
            </w:r>
          </w:p>
        </w:tc>
      </w:tr>
      <w:tr>
        <w:trPr>
          <w:cantSplit/>
        </w:trPr>
        <w:tc>
          <w:tcPr>
            <w:tcW w:w="709" w:type="dxa"/>
          </w:tcPr>
          <w:p>
            <w:pPr>
              <w:pStyle w:val="TableNAm"/>
              <w:jc w:val="center"/>
              <w:rPr>
                <w:sz w:val="20"/>
              </w:rPr>
            </w:pPr>
            <w:r>
              <w:rPr>
                <w:sz w:val="20"/>
              </w:rPr>
              <w:t>25</w:t>
            </w:r>
          </w:p>
        </w:tc>
        <w:tc>
          <w:tcPr>
            <w:tcW w:w="1464" w:type="dxa"/>
          </w:tcPr>
          <w:p>
            <w:pPr>
              <w:pStyle w:val="TableNAm"/>
              <w:jc w:val="center"/>
              <w:rPr>
                <w:sz w:val="20"/>
              </w:rPr>
            </w:pPr>
            <w:r>
              <w:rPr>
                <w:sz w:val="20"/>
              </w:rPr>
              <w:t>1.5</w:t>
            </w:r>
          </w:p>
        </w:tc>
        <w:tc>
          <w:tcPr>
            <w:tcW w:w="704" w:type="dxa"/>
          </w:tcPr>
          <w:p>
            <w:pPr>
              <w:pStyle w:val="TableNAm"/>
              <w:jc w:val="center"/>
              <w:rPr>
                <w:sz w:val="20"/>
              </w:rPr>
            </w:pPr>
          </w:p>
        </w:tc>
        <w:tc>
          <w:tcPr>
            <w:tcW w:w="1470" w:type="dxa"/>
          </w:tcPr>
          <w:p>
            <w:pPr>
              <w:pStyle w:val="TableNAm"/>
              <w:jc w:val="center"/>
              <w:rPr>
                <w:sz w:val="20"/>
              </w:rPr>
            </w:pPr>
          </w:p>
        </w:tc>
        <w:tc>
          <w:tcPr>
            <w:tcW w:w="756" w:type="dxa"/>
          </w:tcPr>
          <w:p>
            <w:pPr>
              <w:pStyle w:val="TableNAm"/>
              <w:jc w:val="center"/>
              <w:rPr>
                <w:sz w:val="20"/>
              </w:rPr>
            </w:pPr>
          </w:p>
        </w:tc>
        <w:tc>
          <w:tcPr>
            <w:tcW w:w="1418" w:type="dxa"/>
          </w:tcPr>
          <w:p>
            <w:pPr>
              <w:pStyle w:val="TableNAm"/>
              <w:jc w:val="center"/>
              <w:rPr>
                <w:sz w:val="20"/>
              </w:rPr>
            </w:pPr>
          </w:p>
        </w:tc>
      </w:tr>
      <w:tr>
        <w:trPr>
          <w:cantSplit/>
        </w:trPr>
        <w:tc>
          <w:tcPr>
            <w:tcW w:w="709" w:type="dxa"/>
          </w:tcPr>
          <w:p>
            <w:pPr>
              <w:pStyle w:val="TableNAm"/>
              <w:jc w:val="center"/>
              <w:rPr>
                <w:sz w:val="20"/>
              </w:rPr>
            </w:pPr>
            <w:r>
              <w:rPr>
                <w:sz w:val="20"/>
              </w:rPr>
              <w:t>&gt;25</w:t>
            </w:r>
          </w:p>
        </w:tc>
        <w:tc>
          <w:tcPr>
            <w:tcW w:w="1464" w:type="dxa"/>
          </w:tcPr>
          <w:p>
            <w:pPr>
              <w:pStyle w:val="TableNAm"/>
              <w:jc w:val="center"/>
              <w:rPr>
                <w:sz w:val="20"/>
              </w:rPr>
            </w:pPr>
            <w:r>
              <w:rPr>
                <w:sz w:val="20"/>
              </w:rPr>
              <w:t>0.2+1.3</w:t>
            </w:r>
          </w:p>
          <w:p>
            <w:pPr>
              <w:pStyle w:val="TableNAm"/>
              <w:jc w:val="center"/>
              <w:rPr>
                <w:sz w:val="20"/>
              </w:rPr>
            </w:pPr>
            <w:r>
              <w:rPr>
                <w:sz w:val="20"/>
              </w:rPr>
              <w:t>(25/h)</w:t>
            </w:r>
          </w:p>
        </w:tc>
        <w:tc>
          <w:tcPr>
            <w:tcW w:w="704" w:type="dxa"/>
          </w:tcPr>
          <w:p>
            <w:pPr>
              <w:pStyle w:val="TableNAm"/>
              <w:jc w:val="center"/>
              <w:rPr>
                <w:sz w:val="20"/>
              </w:rPr>
            </w:pPr>
          </w:p>
        </w:tc>
        <w:tc>
          <w:tcPr>
            <w:tcW w:w="1470" w:type="dxa"/>
          </w:tcPr>
          <w:p>
            <w:pPr>
              <w:pStyle w:val="TableNAm"/>
              <w:jc w:val="center"/>
              <w:rPr>
                <w:sz w:val="20"/>
              </w:rPr>
            </w:pPr>
          </w:p>
        </w:tc>
        <w:tc>
          <w:tcPr>
            <w:tcW w:w="756" w:type="dxa"/>
          </w:tcPr>
          <w:p>
            <w:pPr>
              <w:pStyle w:val="TableNAm"/>
              <w:jc w:val="center"/>
              <w:rPr>
                <w:sz w:val="20"/>
              </w:rPr>
            </w:pPr>
          </w:p>
        </w:tc>
        <w:tc>
          <w:tcPr>
            <w:tcW w:w="1418" w:type="dxa"/>
          </w:tcPr>
          <w:p>
            <w:pPr>
              <w:pStyle w:val="TableNAm"/>
              <w:jc w:val="center"/>
              <w:rPr>
                <w:sz w:val="20"/>
              </w:rPr>
            </w:pPr>
          </w:p>
        </w:tc>
      </w:tr>
      <w:tr>
        <w:trPr>
          <w:cantSplit/>
        </w:trPr>
        <w:tc>
          <w:tcPr>
            <w:tcW w:w="6521" w:type="dxa"/>
            <w:gridSpan w:val="6"/>
            <w:tcBorders>
              <w:bottom w:val="single" w:sz="4" w:space="0" w:color="auto"/>
            </w:tcBorders>
          </w:tcPr>
          <w:p>
            <w:pPr>
              <w:pStyle w:val="TableNAm"/>
              <w:jc w:val="center"/>
              <w:rPr>
                <w:sz w:val="20"/>
              </w:rPr>
            </w:pPr>
            <w:r>
              <w:rPr>
                <w:sz w:val="20"/>
              </w:rPr>
              <w:t>Note — Total harmonic distortion (THD): 8%</w:t>
            </w:r>
          </w:p>
        </w:tc>
      </w:tr>
    </w:tbl>
    <w:p>
      <w:pPr>
        <w:pStyle w:val="Heading5"/>
      </w:pPr>
      <w:bookmarkStart w:id="12" w:name="_Toc247094847"/>
      <w:r>
        <w:rPr>
          <w:rStyle w:val="CharSectno"/>
        </w:rPr>
        <w:t>8</w:t>
      </w:r>
      <w:r>
        <w:t>.</w:t>
      </w:r>
      <w:r>
        <w:tab/>
        <w:t>Duty to disconnect if damage may result</w:t>
      </w:r>
      <w:bookmarkEnd w:id="12"/>
    </w:p>
    <w:p>
      <w:pPr>
        <w:pStyle w:val="Subsection"/>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NotesPerm"/>
        <w:tabs>
          <w:tab w:val="left" w:pos="1560"/>
        </w:tabs>
        <w:ind w:left="1560" w:hanging="1560"/>
      </w:pPr>
      <w:r>
        <w:tab/>
        <w:t>Note:</w:t>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NotesPerm2"/>
        <w:tabs>
          <w:tab w:val="left" w:pos="2127"/>
        </w:tabs>
        <w:ind w:left="2127" w:hanging="1248"/>
      </w:pPr>
      <w:r>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NotesPerm2"/>
        <w:tabs>
          <w:tab w:val="left" w:pos="2127"/>
        </w:tabs>
        <w:ind w:left="2127" w:hanging="1248"/>
      </w:pPr>
      <w:r>
        <w:t>(b)</w:t>
      </w:r>
      <w:r>
        <w:tab/>
        <w:t>the frequency must be maintained at +/</w:t>
      </w:r>
      <w:r>
        <w:noBreakHyphen/>
        <w:t xml:space="preserve"> 2.5% of the frequency so declared namely, 50 cycles per second.</w:t>
      </w:r>
    </w:p>
    <w:p>
      <w:pPr>
        <w:pStyle w:val="Heading3"/>
      </w:pPr>
      <w:bookmarkStart w:id="13" w:name="_Toc247094848"/>
      <w:r>
        <w:rPr>
          <w:rStyle w:val="CharDivNo"/>
        </w:rPr>
        <w:t>Division 2</w:t>
      </w:r>
      <w:r>
        <w:t> — </w:t>
      </w:r>
      <w:r>
        <w:rPr>
          <w:rStyle w:val="CharDivText"/>
        </w:rPr>
        <w:t>Standards for the interruption of supply to individual customers</w:t>
      </w:r>
      <w:bookmarkEnd w:id="13"/>
    </w:p>
    <w:p>
      <w:pPr>
        <w:pStyle w:val="Heading5"/>
      </w:pPr>
      <w:bookmarkStart w:id="14" w:name="_Toc247094849"/>
      <w:r>
        <w:rPr>
          <w:rStyle w:val="CharSectno"/>
        </w:rPr>
        <w:t>9</w:t>
      </w:r>
      <w:r>
        <w:t>.</w:t>
      </w:r>
      <w:r>
        <w:tab/>
        <w:t>General standard of reliability</w:t>
      </w:r>
      <w:bookmarkEnd w:id="14"/>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15" w:name="_Toc247094850"/>
      <w:r>
        <w:rPr>
          <w:rStyle w:val="CharSectno"/>
        </w:rPr>
        <w:t>10</w:t>
      </w:r>
      <w:r>
        <w:t>.</w:t>
      </w:r>
      <w:r>
        <w:tab/>
        <w:t>Duty to reduce effect of interruption</w:t>
      </w:r>
      <w:bookmarkEnd w:id="15"/>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pPr>
      <w:r>
        <w:tab/>
        <w:t>(a)</w:t>
      </w:r>
      <w:r>
        <w:tab/>
        <w:t>the interruption is expected to exceed the relevant period under section 11(2);</w:t>
      </w:r>
    </w:p>
    <w:p>
      <w:pPr>
        <w:pStyle w:val="Indenta"/>
      </w:pPr>
      <w:r>
        <w:tab/>
        <w:t>(b)</w:t>
      </w:r>
      <w:r>
        <w:tab/>
        <w:t>the effect of the interruption on the customer’s business is likely to be substantial; or</w:t>
      </w:r>
    </w:p>
    <w:p>
      <w:pPr>
        <w:pStyle w:val="Indenta"/>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16" w:name="_Toc247094851"/>
      <w:r>
        <w:rPr>
          <w:rStyle w:val="CharSectno"/>
        </w:rPr>
        <w:t>11</w:t>
      </w:r>
      <w:r>
        <w:t>.</w:t>
      </w:r>
      <w:r>
        <w:tab/>
        <w:t>Planned interruptions</w:t>
      </w:r>
      <w:bookmarkEnd w:id="16"/>
    </w:p>
    <w:p>
      <w:pPr>
        <w:pStyle w:val="Subsection"/>
      </w:pPr>
      <w:r>
        <w:tab/>
        <w:t>(1A)</w:t>
      </w:r>
      <w:r>
        <w:tab/>
        <w:t xml:space="preserve">In this section — </w:t>
      </w:r>
    </w:p>
    <w:p>
      <w:pPr>
        <w:pStyle w:val="Defstart"/>
      </w:pPr>
      <w:r>
        <w:tab/>
      </w:r>
      <w:r>
        <w:rPr>
          <w:rStyle w:val="CharDefText"/>
        </w:rPr>
        <w:t>customer</w:t>
      </w:r>
      <w:r>
        <w:t xml:space="preserve"> includes an eligible person as defined in section 16.</w:t>
      </w:r>
    </w:p>
    <w:p>
      <w:pPr>
        <w:pStyle w:val="Subsection"/>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pPr>
      <w:r>
        <w:tab/>
        <w:t>(a)</w:t>
      </w:r>
      <w:r>
        <w:tab/>
        <w:t>so far as is reasonably practicable, the length of the interruption does not exceed the relevant period specified in subsection (2); and</w:t>
      </w:r>
    </w:p>
    <w:p>
      <w:pPr>
        <w:pStyle w:val="Indenta"/>
      </w:pPr>
      <w:r>
        <w:tab/>
        <w:t>(b)</w:t>
      </w:r>
      <w:r>
        <w:tab/>
        <w:t xml:space="preserve">the transmitter or distributor has given notice of the proposed interruption to the customer — </w:t>
      </w:r>
    </w:p>
    <w:p>
      <w:pPr>
        <w:pStyle w:val="Indenti"/>
      </w:pPr>
      <w:r>
        <w:tab/>
        <w:t>(i)</w:t>
      </w:r>
      <w:r>
        <w:tab/>
        <w:t xml:space="preserve">not less than 72 hours before the start of the interruption; or </w:t>
      </w:r>
    </w:p>
    <w:p>
      <w:pPr>
        <w:pStyle w:val="Indenti"/>
      </w:pPr>
      <w:r>
        <w:tab/>
        <w:t>(ii)</w:t>
      </w:r>
      <w:r>
        <w:tab/>
        <w:t>if it is not reasonably practicable to comply with subparagraph (i), at the earliest practicable time before the start of the interruption.</w:t>
      </w:r>
    </w:p>
    <w:p>
      <w:pPr>
        <w:pStyle w:val="Subsection"/>
        <w:rPr>
          <w:spacing w:val="-2"/>
        </w:rPr>
      </w:pPr>
      <w:r>
        <w:rPr>
          <w:spacing w:val="-2"/>
        </w:rPr>
        <w:tab/>
        <w:t>(2)</w:t>
      </w:r>
      <w:r>
        <w:rPr>
          <w:spacing w:val="-2"/>
        </w:rPr>
        <w:tab/>
        <w:t xml:space="preserve">The periods referred to in subsection (1)(a) are — </w:t>
      </w:r>
    </w:p>
    <w:p>
      <w:pPr>
        <w:pStyle w:val="Indenta"/>
      </w:pPr>
      <w:r>
        <w:tab/>
        <w:t>(a)</w:t>
      </w:r>
      <w:r>
        <w:tab/>
        <w:t>if the customer’s premises are on or south of the 26</w:t>
      </w:r>
      <w:r>
        <w:rPr>
          <w:vertAlign w:val="superscript"/>
        </w:rPr>
        <w:t>th</w:t>
      </w:r>
      <w:r>
        <w:t xml:space="preserve"> parallel of latitude — </w:t>
      </w:r>
    </w:p>
    <w:p>
      <w:pPr>
        <w:pStyle w:val="Indenti"/>
      </w:pPr>
      <w:r>
        <w:tab/>
        <w:t>(i)</w:t>
      </w:r>
      <w:r>
        <w:tab/>
        <w:t>6 hours; or</w:t>
      </w:r>
    </w:p>
    <w:p>
      <w:pPr>
        <w:pStyle w:val="Indenti"/>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pPr>
      <w:r>
        <w:tab/>
      </w:r>
      <w:r>
        <w:tab/>
        <w:t>or</w:t>
      </w:r>
    </w:p>
    <w:p>
      <w:pPr>
        <w:pStyle w:val="Indenta"/>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pPr>
      <w:r>
        <w:tab/>
        <w:t>(a)</w:t>
      </w:r>
      <w:r>
        <w:tab/>
        <w:t xml:space="preserve">is sent by post to the customer at the premises concerned or delivered to the customer’s letterbox at those premises; </w:t>
      </w:r>
    </w:p>
    <w:p>
      <w:pPr>
        <w:pStyle w:val="Indenta"/>
      </w:pPr>
      <w:r>
        <w:tab/>
        <w:t>(b)</w:t>
      </w:r>
      <w:r>
        <w:tab/>
        <w:t xml:space="preserve">is broadcast twice on a television or radio station broadcasting to the area in which the premises are situated; or </w:t>
      </w:r>
    </w:p>
    <w:p>
      <w:pPr>
        <w:pStyle w:val="Indenta"/>
      </w:pPr>
      <w:r>
        <w:tab/>
        <w:t>(c)</w:t>
      </w:r>
      <w:r>
        <w:tab/>
        <w:t>is published in a newspaper circulating in that area.</w:t>
      </w:r>
    </w:p>
    <w:p>
      <w:pPr>
        <w:pStyle w:val="Footnotesection"/>
      </w:pPr>
      <w:r>
        <w:tab/>
        <w:t>[Section 11 amended in Gazette 27 Nov 2009 p. 4781.]</w:t>
      </w:r>
    </w:p>
    <w:p>
      <w:pPr>
        <w:pStyle w:val="Heading5"/>
      </w:pPr>
      <w:bookmarkStart w:id="17" w:name="_Toc247094852"/>
      <w:r>
        <w:rPr>
          <w:rStyle w:val="CharSectno"/>
        </w:rPr>
        <w:t>12</w:t>
      </w:r>
      <w:r>
        <w:t>.</w:t>
      </w:r>
      <w:r>
        <w:tab/>
        <w:t>Significant interruptions to small use customers</w:t>
      </w:r>
      <w:bookmarkEnd w:id="17"/>
    </w:p>
    <w:p>
      <w:pPr>
        <w:pStyle w:val="Subsection"/>
        <w:rPr>
          <w:spacing w:val="-2"/>
        </w:rPr>
      </w:pPr>
      <w:r>
        <w:rPr>
          <w:spacing w:val="-2"/>
        </w:rPr>
        <w:tab/>
        <w:t>(1)</w:t>
      </w:r>
      <w:r>
        <w:rPr>
          <w:spacing w:val="-2"/>
        </w:rPr>
        <w:tab/>
        <w:t xml:space="preserve">In this section — </w:t>
      </w:r>
    </w:p>
    <w:p>
      <w:pPr>
        <w:pStyle w:val="Defstart"/>
      </w:pPr>
      <w:r>
        <w:tab/>
      </w:r>
      <w:r>
        <w:rPr>
          <w:rStyle w:val="CharDefText"/>
        </w:rPr>
        <w:t>permitted number of times</w:t>
      </w:r>
      <w:r>
        <w:t xml:space="preserve"> means — </w:t>
      </w:r>
    </w:p>
    <w:p>
      <w:pPr>
        <w:pStyle w:val="Defpara"/>
      </w:pPr>
      <w:r>
        <w:tab/>
        <w:t>(a)</w:t>
      </w:r>
      <w:r>
        <w:tab/>
        <w:t xml:space="preserve">for small use customers in the Perth CBD or the urban areas, 9 times; and </w:t>
      </w:r>
    </w:p>
    <w:p>
      <w:pPr>
        <w:pStyle w:val="Defpara"/>
      </w:pPr>
      <w:r>
        <w:tab/>
        <w:t>(b)</w:t>
      </w:r>
      <w:r>
        <w:tab/>
        <w:t>16 times for small use customers in other areas;</w:t>
      </w:r>
    </w:p>
    <w:p>
      <w:pPr>
        <w:pStyle w:val="Defstart"/>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18" w:name="_Toc247094853"/>
      <w:r>
        <w:rPr>
          <w:rStyle w:val="CharDivNo"/>
        </w:rPr>
        <w:t>Division 3</w:t>
      </w:r>
      <w:r>
        <w:t> — </w:t>
      </w:r>
      <w:r>
        <w:rPr>
          <w:rStyle w:val="CharDivText"/>
        </w:rPr>
        <w:t>Standards for the duration of interruption of supply in particular areas</w:t>
      </w:r>
      <w:bookmarkEnd w:id="18"/>
    </w:p>
    <w:p>
      <w:pPr>
        <w:pStyle w:val="Heading5"/>
      </w:pPr>
      <w:bookmarkStart w:id="19" w:name="_Toc247094854"/>
      <w:r>
        <w:rPr>
          <w:rStyle w:val="CharSectno"/>
        </w:rPr>
        <w:t>13</w:t>
      </w:r>
      <w:r>
        <w:t>.</w:t>
      </w:r>
      <w:r>
        <w:tab/>
        <w:t>Standards prescribed for particular areas</w:t>
      </w:r>
      <w:bookmarkEnd w:id="19"/>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551"/>
        <w:gridCol w:w="3261"/>
      </w:tblGrid>
      <w:tr>
        <w:trPr>
          <w:tblHeader/>
        </w:trPr>
        <w:tc>
          <w:tcPr>
            <w:tcW w:w="2551" w:type="dxa"/>
            <w:tcBorders>
              <w:top w:val="single" w:sz="4" w:space="0" w:color="auto"/>
              <w:bottom w:val="single" w:sz="4" w:space="0" w:color="auto"/>
            </w:tcBorders>
          </w:tcPr>
          <w:p>
            <w:pPr>
              <w:pStyle w:val="TableAm"/>
              <w:jc w:val="center"/>
              <w:rPr>
                <w:b/>
                <w:bCs/>
                <w:sz w:val="20"/>
              </w:rPr>
            </w:pPr>
            <w:r>
              <w:rPr>
                <w:b/>
                <w:bCs/>
                <w:sz w:val="20"/>
              </w:rPr>
              <w:t>Area</w:t>
            </w:r>
          </w:p>
        </w:tc>
        <w:tc>
          <w:tcPr>
            <w:tcW w:w="3261" w:type="dxa"/>
            <w:tcBorders>
              <w:top w:val="single" w:sz="4" w:space="0" w:color="auto"/>
              <w:bottom w:val="single" w:sz="4" w:space="0" w:color="auto"/>
            </w:tcBorders>
          </w:tcPr>
          <w:p>
            <w:pPr>
              <w:pStyle w:val="TableAm"/>
              <w:jc w:val="center"/>
              <w:rPr>
                <w:b/>
                <w:bCs/>
                <w:sz w:val="20"/>
              </w:rPr>
            </w:pPr>
            <w:r>
              <w:rPr>
                <w:b/>
                <w:bCs/>
                <w:sz w:val="20"/>
              </w:rPr>
              <w:t>Standard for average total length of interruptions</w:t>
            </w:r>
          </w:p>
        </w:tc>
      </w:tr>
      <w:tr>
        <w:tc>
          <w:tcPr>
            <w:tcW w:w="2551" w:type="dxa"/>
          </w:tcPr>
          <w:p>
            <w:pPr>
              <w:pStyle w:val="TableAm"/>
              <w:rPr>
                <w:sz w:val="20"/>
              </w:rPr>
            </w:pPr>
            <w:r>
              <w:rPr>
                <w:sz w:val="20"/>
              </w:rPr>
              <w:t>the Perth CBD</w:t>
            </w:r>
          </w:p>
        </w:tc>
        <w:tc>
          <w:tcPr>
            <w:tcW w:w="3261" w:type="dxa"/>
          </w:tcPr>
          <w:p>
            <w:pPr>
              <w:pStyle w:val="TableAm"/>
              <w:rPr>
                <w:sz w:val="20"/>
              </w:rPr>
            </w:pPr>
            <w:r>
              <w:rPr>
                <w:sz w:val="20"/>
              </w:rPr>
              <w:tab/>
              <w:t>30</w:t>
            </w:r>
          </w:p>
        </w:tc>
      </w:tr>
      <w:tr>
        <w:tc>
          <w:tcPr>
            <w:tcW w:w="2551" w:type="dxa"/>
          </w:tcPr>
          <w:p>
            <w:pPr>
              <w:pStyle w:val="TableAm"/>
              <w:rPr>
                <w:sz w:val="20"/>
              </w:rPr>
            </w:pPr>
            <w:r>
              <w:rPr>
                <w:sz w:val="20"/>
              </w:rPr>
              <w:t>the urban areas other than the Perth CBD</w:t>
            </w:r>
          </w:p>
        </w:tc>
        <w:tc>
          <w:tcPr>
            <w:tcW w:w="3261" w:type="dxa"/>
          </w:tcPr>
          <w:p>
            <w:pPr>
              <w:pStyle w:val="TableAm"/>
              <w:rPr>
                <w:sz w:val="20"/>
              </w:rPr>
            </w:pPr>
            <w:r>
              <w:rPr>
                <w:sz w:val="20"/>
              </w:rPr>
              <w:br/>
            </w:r>
            <w:r>
              <w:rPr>
                <w:sz w:val="20"/>
              </w:rPr>
              <w:tab/>
              <w:t>160</w:t>
            </w:r>
          </w:p>
        </w:tc>
      </w:tr>
      <w:tr>
        <w:tc>
          <w:tcPr>
            <w:tcW w:w="2551" w:type="dxa"/>
            <w:tcBorders>
              <w:bottom w:val="single" w:sz="4" w:space="0" w:color="auto"/>
            </w:tcBorders>
          </w:tcPr>
          <w:p>
            <w:pPr>
              <w:pStyle w:val="TableAm"/>
              <w:rPr>
                <w:sz w:val="20"/>
              </w:rPr>
            </w:pPr>
            <w:r>
              <w:rPr>
                <w:sz w:val="20"/>
              </w:rPr>
              <w:t>any other area of the State</w:t>
            </w:r>
          </w:p>
        </w:tc>
        <w:tc>
          <w:tcPr>
            <w:tcW w:w="3261" w:type="dxa"/>
            <w:tcBorders>
              <w:bottom w:val="single" w:sz="4" w:space="0" w:color="auto"/>
            </w:tcBorders>
          </w:tcPr>
          <w:p>
            <w:pPr>
              <w:pStyle w:val="TableAm"/>
              <w:rPr>
                <w:sz w:val="20"/>
              </w:rPr>
            </w:pPr>
            <w:r>
              <w:rPr>
                <w:sz w:val="20"/>
              </w:rP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20" w:name="_Toc247094855"/>
      <w:r>
        <w:rPr>
          <w:rStyle w:val="CharDivNo"/>
        </w:rPr>
        <w:t>Division 4</w:t>
      </w:r>
      <w:r>
        <w:t> — </w:t>
      </w:r>
      <w:r>
        <w:rPr>
          <w:rStyle w:val="CharDivText"/>
        </w:rPr>
        <w:t>Variation of obligations under this Part</w:t>
      </w:r>
      <w:bookmarkEnd w:id="20"/>
    </w:p>
    <w:p>
      <w:pPr>
        <w:pStyle w:val="Heading5"/>
      </w:pPr>
      <w:bookmarkStart w:id="21" w:name="_Toc247094856"/>
      <w:r>
        <w:rPr>
          <w:rStyle w:val="CharSectno"/>
        </w:rPr>
        <w:t>14</w:t>
      </w:r>
      <w:r>
        <w:t>.</w:t>
      </w:r>
      <w:r>
        <w:tab/>
        <w:t>Alternative provision may be made by Minister on application</w:t>
      </w:r>
      <w:bookmarkEnd w:id="21"/>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22" w:name="_Toc247094857"/>
      <w:r>
        <w:rPr>
          <w:rStyle w:val="CharSectno"/>
        </w:rPr>
        <w:t>15</w:t>
      </w:r>
      <w:r>
        <w:t>.</w:t>
      </w:r>
      <w:r>
        <w:tab/>
        <w:t>Provisions may be excluded or modified by agreement</w:t>
      </w:r>
      <w:bookmarkEnd w:id="22"/>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rPr>
          <w:rStyle w:val="CharPartText"/>
        </w:rPr>
      </w:pPr>
      <w:bookmarkStart w:id="23" w:name="_Toc247094858"/>
      <w:r>
        <w:rPr>
          <w:rStyle w:val="CharPartNo"/>
        </w:rPr>
        <w:t>Part 3</w:t>
      </w:r>
      <w:r>
        <w:rPr>
          <w:rStyle w:val="CharDivNo"/>
        </w:rPr>
        <w:t> </w:t>
      </w:r>
      <w:r>
        <w:t>—</w:t>
      </w:r>
      <w:r>
        <w:rPr>
          <w:rStyle w:val="CharDivText"/>
        </w:rPr>
        <w:t> </w:t>
      </w:r>
      <w:r>
        <w:rPr>
          <w:rStyle w:val="CharPartText"/>
        </w:rPr>
        <w:t>Payments for failure to meet certain standards</w:t>
      </w:r>
      <w:bookmarkEnd w:id="23"/>
    </w:p>
    <w:p>
      <w:pPr>
        <w:pStyle w:val="Footnoteheading"/>
      </w:pPr>
      <w:r>
        <w:tab/>
        <w:t>[Heading amended in Gazette 27 Nov 2009 p. 4781.]</w:t>
      </w:r>
    </w:p>
    <w:p>
      <w:pPr>
        <w:pStyle w:val="Heading5"/>
      </w:pPr>
      <w:bookmarkStart w:id="24" w:name="_Toc247094859"/>
      <w:r>
        <w:rPr>
          <w:rStyle w:val="CharSectno"/>
        </w:rPr>
        <w:t>16</w:t>
      </w:r>
      <w:r>
        <w:t>.</w:t>
      </w:r>
      <w:r>
        <w:tab/>
        <w:t>Terms used in this Part</w:t>
      </w:r>
      <w:bookmarkEnd w:id="24"/>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 xml:space="preserve">a customer who is supplied with electricity from a distribution system operated by a corporation and who consumes not more than 50 MWh of electricity per year; or  </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in Gazette 31 Mar 2006 p. 1346; 27 Nov 2009 p. 4782.]</w:t>
      </w:r>
    </w:p>
    <w:p>
      <w:pPr>
        <w:pStyle w:val="Heading5"/>
      </w:pPr>
      <w:bookmarkStart w:id="25" w:name="_Toc247094860"/>
      <w:r>
        <w:rPr>
          <w:rStyle w:val="CharSectno"/>
        </w:rPr>
        <w:t>17</w:t>
      </w:r>
      <w:r>
        <w:t>.</w:t>
      </w:r>
      <w:r>
        <w:tab/>
        <w:t>Interruptions to which this Part does not apply</w:t>
      </w:r>
      <w:bookmarkEnd w:id="25"/>
    </w:p>
    <w:p>
      <w:pPr>
        <w:pStyle w:val="Subsection"/>
        <w:rPr>
          <w:spacing w:val="-2"/>
        </w:rPr>
      </w:pPr>
      <w:r>
        <w:rPr>
          <w:spacing w:val="-2"/>
        </w:rPr>
        <w:tab/>
        <w:t>(1)</w:t>
      </w:r>
      <w:r>
        <w:rPr>
          <w:spacing w:val="-2"/>
        </w:rPr>
        <w:tab/>
        <w:t xml:space="preserve">Sections 18 and 19 do not apply to an interruption that — </w:t>
      </w:r>
    </w:p>
    <w:p>
      <w:pPr>
        <w:pStyle w:val="Indenta"/>
      </w:pPr>
      <w:r>
        <w:tab/>
        <w:t>(a)</w:t>
      </w:r>
      <w:r>
        <w:tab/>
        <w:t xml:space="preserve">is to the supply of electricity on the South West interconnected system and — </w:t>
      </w:r>
    </w:p>
    <w:p>
      <w:pPr>
        <w:pStyle w:val="Indenti"/>
      </w:pPr>
      <w:r>
        <w:tab/>
        <w:t>(i)</w:t>
      </w:r>
      <w:r>
        <w:tab/>
        <w:t>that occurs during, or as a consequence of, an emergency operating state; or</w:t>
      </w:r>
    </w:p>
    <w:p>
      <w:pPr>
        <w:pStyle w:val="Indenti"/>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pPr>
      <w:r>
        <w:tab/>
        <w:t>(b)</w:t>
      </w:r>
      <w:r>
        <w:tab/>
        <w:t>is caused by the eligible person or equipment under the eligible person’s control; or</w:t>
      </w:r>
    </w:p>
    <w:p>
      <w:pPr>
        <w:pStyle w:val="Indenta"/>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rPr>
          <w:spacing w:val="-2"/>
        </w:rPr>
      </w:pPr>
      <w:r>
        <w:tab/>
        <w:t>[Section 17 amended in Gazette 27 Nov 2009 p. 4783.]</w:t>
      </w:r>
    </w:p>
    <w:p>
      <w:pPr>
        <w:pStyle w:val="Heading5"/>
      </w:pPr>
      <w:bookmarkStart w:id="26" w:name="_Toc247094861"/>
      <w:r>
        <w:rPr>
          <w:rStyle w:val="CharSectno"/>
        </w:rPr>
        <w:t>18</w:t>
      </w:r>
      <w:r>
        <w:t>.</w:t>
      </w:r>
      <w:r>
        <w:tab/>
        <w:t>Payment for failure to give required notice of planned interruption</w:t>
      </w:r>
      <w:bookmarkEnd w:id="26"/>
    </w:p>
    <w:p>
      <w:pPr>
        <w:pStyle w:val="Subsection"/>
        <w:rPr>
          <w:spacing w:val="-2"/>
        </w:rPr>
      </w:pPr>
      <w:r>
        <w:rPr>
          <w:spacing w:val="-2"/>
        </w:rPr>
        <w:tab/>
      </w:r>
      <w:r>
        <w:rPr>
          <w:spacing w:val="-2"/>
        </w:rPr>
        <w:tab/>
        <w:t xml:space="preserve">If — </w:t>
      </w:r>
    </w:p>
    <w:p>
      <w:pPr>
        <w:pStyle w:val="Indenta"/>
      </w:pPr>
      <w:r>
        <w:tab/>
        <w:t>(a)</w:t>
      </w:r>
      <w:r>
        <w:tab/>
        <w:t>a corporation fails to give an eligible person not less than 72 hours notice of a planned interruption as required by section 11(1)(b)(i); and</w:t>
      </w:r>
    </w:p>
    <w:p>
      <w:pPr>
        <w:pStyle w:val="Indenta"/>
      </w:pPr>
      <w:r>
        <w:tab/>
        <w:t>(b)</w:t>
      </w:r>
      <w:r>
        <w:tab/>
        <w:t>the person, within 60 days after the interruption,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rPr>
          <w:spacing w:val="-2"/>
        </w:rPr>
      </w:pPr>
      <w:r>
        <w:tab/>
        <w:t>[Section 18 amended in Gazette 27 Nov 2009 p. 4783.]</w:t>
      </w:r>
    </w:p>
    <w:p>
      <w:pPr>
        <w:pStyle w:val="Heading5"/>
      </w:pPr>
      <w:bookmarkStart w:id="27" w:name="_Toc247094862"/>
      <w:r>
        <w:rPr>
          <w:rStyle w:val="CharSectno"/>
        </w:rPr>
        <w:t>19</w:t>
      </w:r>
      <w:r>
        <w:t>.</w:t>
      </w:r>
      <w:r>
        <w:tab/>
        <w:t>Payment for supply interruptions exceeding 12 hours</w:t>
      </w:r>
      <w:bookmarkEnd w:id="27"/>
    </w:p>
    <w:p>
      <w:pPr>
        <w:pStyle w:val="Subsection"/>
        <w:rPr>
          <w:spacing w:val="-2"/>
        </w:rPr>
      </w:pPr>
      <w:r>
        <w:rPr>
          <w:spacing w:val="-2"/>
        </w:rPr>
        <w:tab/>
        <w:t>(1)</w:t>
      </w:r>
      <w:r>
        <w:rPr>
          <w:spacing w:val="-2"/>
        </w:rPr>
        <w:tab/>
        <w:t xml:space="preserve">If — </w:t>
      </w:r>
    </w:p>
    <w:p>
      <w:pPr>
        <w:pStyle w:val="Indenta"/>
      </w:pPr>
      <w:r>
        <w:tab/>
        <w:t>(a)</w:t>
      </w:r>
      <w:r>
        <w:tab/>
        <w:t>the supply of electricity by a corporation to an eligible person is interrupted for more than 12 hours continuously, whether or not notice has been given to the person under section 11(1); and</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NotesPerm"/>
        <w:tabs>
          <w:tab w:val="left" w:pos="1560"/>
        </w:tabs>
        <w:ind w:left="1560" w:hanging="1560"/>
      </w:pPr>
      <w:r>
        <w:tab/>
        <w:t>Note:</w:t>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in Gazette 27 Nov 2009 p. 4783.]</w:t>
      </w:r>
    </w:p>
    <w:p>
      <w:pPr>
        <w:pStyle w:val="Heading5"/>
      </w:pPr>
      <w:bookmarkStart w:id="28" w:name="_Toc247094863"/>
      <w:r>
        <w:rPr>
          <w:rStyle w:val="CharSectno"/>
        </w:rPr>
        <w:t>20</w:t>
      </w:r>
      <w:r>
        <w:t>.</w:t>
      </w:r>
      <w:r>
        <w:tab/>
        <w:t>Only one application for each premises</w:t>
      </w:r>
      <w:bookmarkEnd w:id="28"/>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 </w:t>
      </w:r>
    </w:p>
    <w:p>
      <w:pPr>
        <w:pStyle w:val="Indenta"/>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in Gazette 27 Nov 2009 p. 4782.]</w:t>
      </w:r>
    </w:p>
    <w:p>
      <w:pPr>
        <w:pStyle w:val="Heading5"/>
      </w:pPr>
      <w:bookmarkStart w:id="29" w:name="_Toc247094864"/>
      <w:r>
        <w:rPr>
          <w:rStyle w:val="CharSectno"/>
        </w:rPr>
        <w:t>21</w:t>
      </w:r>
      <w:r>
        <w:t>.</w:t>
      </w:r>
      <w:r>
        <w:tab/>
        <w:t>Information to be provided</w:t>
      </w:r>
      <w:bookmarkEnd w:id="29"/>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in Gazette 27 Nov 2009 p. 4782</w:t>
      </w:r>
      <w:r>
        <w:noBreakHyphen/>
        <w:t>3.]</w:t>
      </w:r>
    </w:p>
    <w:p>
      <w:pPr>
        <w:pStyle w:val="Heading5"/>
      </w:pPr>
      <w:bookmarkStart w:id="30" w:name="_Toc247094865"/>
      <w:r>
        <w:rPr>
          <w:rStyle w:val="CharSectno"/>
        </w:rPr>
        <w:t>22</w:t>
      </w:r>
      <w:r>
        <w:t>.</w:t>
      </w:r>
      <w:r>
        <w:tab/>
        <w:t>Alternative methods of payment</w:t>
      </w:r>
      <w:bookmarkEnd w:id="30"/>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in Gazette 27 Nov 2009 p. 4783.]</w:t>
      </w:r>
    </w:p>
    <w:p>
      <w:pPr>
        <w:pStyle w:val="Heading2"/>
      </w:pPr>
      <w:bookmarkStart w:id="31" w:name="_Toc247094866"/>
      <w:r>
        <w:rPr>
          <w:rStyle w:val="CharPartNo"/>
        </w:rPr>
        <w:t>Part 4</w:t>
      </w:r>
      <w:r>
        <w:t> — </w:t>
      </w:r>
      <w:r>
        <w:rPr>
          <w:rStyle w:val="CharPartText"/>
        </w:rPr>
        <w:t>Duties incidental to the prescribed standards</w:t>
      </w:r>
      <w:bookmarkEnd w:id="31"/>
    </w:p>
    <w:p>
      <w:pPr>
        <w:pStyle w:val="Heading3"/>
      </w:pPr>
      <w:bookmarkStart w:id="32" w:name="_Toc247094867"/>
      <w:r>
        <w:rPr>
          <w:rStyle w:val="CharDivNo"/>
        </w:rPr>
        <w:t>Division 1</w:t>
      </w:r>
      <w:r>
        <w:t> — </w:t>
      </w:r>
      <w:r>
        <w:rPr>
          <w:rStyle w:val="CharDivText"/>
        </w:rPr>
        <w:t>Monitoring, record keeping and investigation</w:t>
      </w:r>
      <w:bookmarkEnd w:id="32"/>
    </w:p>
    <w:p>
      <w:pPr>
        <w:pStyle w:val="Heading5"/>
      </w:pPr>
      <w:bookmarkStart w:id="33" w:name="_Toc247094868"/>
      <w:r>
        <w:rPr>
          <w:rStyle w:val="CharSectno"/>
        </w:rPr>
        <w:t>23</w:t>
      </w:r>
      <w:r>
        <w:t>.</w:t>
      </w:r>
      <w:r>
        <w:tab/>
        <w:t>Monitoring and record keeping</w:t>
      </w:r>
      <w:bookmarkEnd w:id="33"/>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34" w:name="_Toc247094869"/>
      <w:r>
        <w:rPr>
          <w:rStyle w:val="CharSectno"/>
        </w:rPr>
        <w:t>24</w:t>
      </w:r>
      <w:r>
        <w:t>.</w:t>
      </w:r>
      <w:r>
        <w:tab/>
        <w:t>Quality investigations</w:t>
      </w:r>
      <w:bookmarkEnd w:id="34"/>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35" w:name="_Toc247094870"/>
      <w:r>
        <w:rPr>
          <w:rStyle w:val="CharDivNo"/>
        </w:rPr>
        <w:t>Division 2</w:t>
      </w:r>
      <w:r>
        <w:t> — </w:t>
      </w:r>
      <w:r>
        <w:rPr>
          <w:rStyle w:val="CharDivText"/>
        </w:rPr>
        <w:t>Complaints</w:t>
      </w:r>
      <w:bookmarkEnd w:id="35"/>
    </w:p>
    <w:p>
      <w:pPr>
        <w:pStyle w:val="Heading5"/>
      </w:pPr>
      <w:bookmarkStart w:id="36" w:name="_Toc247094871"/>
      <w:r>
        <w:rPr>
          <w:rStyle w:val="CharSectno"/>
        </w:rPr>
        <w:t>25</w:t>
      </w:r>
      <w:r>
        <w:t>.</w:t>
      </w:r>
      <w:r>
        <w:tab/>
        <w:t>Information to be given to small use customers</w:t>
      </w:r>
      <w:bookmarkEnd w:id="36"/>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37" w:name="_Toc247094872"/>
      <w:r>
        <w:rPr>
          <w:rStyle w:val="CharDivNo"/>
        </w:rPr>
        <w:t>Division 3</w:t>
      </w:r>
      <w:r>
        <w:t> — </w:t>
      </w:r>
      <w:r>
        <w:rPr>
          <w:rStyle w:val="CharDivText"/>
        </w:rPr>
        <w:t>Performance reporting</w:t>
      </w:r>
      <w:bookmarkEnd w:id="37"/>
    </w:p>
    <w:p>
      <w:pPr>
        <w:pStyle w:val="Heading5"/>
      </w:pPr>
      <w:bookmarkStart w:id="38" w:name="_Toc247094873"/>
      <w:r>
        <w:rPr>
          <w:rStyle w:val="CharSectno"/>
        </w:rPr>
        <w:t>26</w:t>
      </w:r>
      <w:r>
        <w:t>.</w:t>
      </w:r>
      <w:r>
        <w:tab/>
        <w:t>Annual report on monitoring systems</w:t>
      </w:r>
      <w:bookmarkEnd w:id="38"/>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39" w:name="_Toc247094874"/>
      <w:r>
        <w:rPr>
          <w:rStyle w:val="CharSectno"/>
        </w:rPr>
        <w:t>27</w:t>
      </w:r>
      <w:r>
        <w:t>.</w:t>
      </w:r>
      <w:r>
        <w:tab/>
        <w:t>Publication of information about performance</w:t>
      </w:r>
      <w:bookmarkEnd w:id="39"/>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40" w:name="_Toc247094875"/>
      <w:r>
        <w:rPr>
          <w:rStyle w:val="CharSectno"/>
        </w:rPr>
        <w:t>28</w:t>
      </w:r>
      <w:r>
        <w:t>.</w:t>
      </w:r>
      <w:r>
        <w:tab/>
        <w:t>Reports not needed if there were no small use customers</w:t>
      </w:r>
      <w:bookmarkEnd w:id="40"/>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year if, during the year, the transmitter or distributor had one or more small use customers.</w:t>
      </w:r>
    </w:p>
    <w:p>
      <w:pPr>
        <w:pStyle w:val="Footnotesection"/>
        <w:rPr>
          <w:spacing w:val="-2"/>
        </w:rPr>
      </w:pPr>
      <w:r>
        <w:tab/>
        <w:t>[Section 28 inserted in Gazette 19 Sep 2007 p. 4725</w:t>
      </w:r>
      <w:r>
        <w:noBreakHyphen/>
        <w:t>6.]</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1" w:name="_Toc247094876"/>
      <w:r>
        <w:rPr>
          <w:rStyle w:val="CharSchNo"/>
        </w:rPr>
        <w:t>Schedule 1</w:t>
      </w:r>
      <w:r>
        <w:rPr>
          <w:rStyle w:val="CharSDivNo"/>
        </w:rPr>
        <w:t> </w:t>
      </w:r>
      <w:r>
        <w:t>—</w:t>
      </w:r>
      <w:r>
        <w:rPr>
          <w:rStyle w:val="CharSDivText"/>
        </w:rPr>
        <w:t> </w:t>
      </w:r>
      <w:r>
        <w:rPr>
          <w:rStyle w:val="CharSchText"/>
        </w:rPr>
        <w:t>Information to be published</w:t>
      </w:r>
      <w:bookmarkEnd w:id="41"/>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 xml:space="preserve">For the purposes of item 14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pPr>
      <w:r>
        <w:t>14.</w:t>
      </w:r>
      <w:r>
        <w:tab/>
        <w:t xml:space="preserve">For customer premises in each discrete area, an estimate of the 25th, 50th, 75th, 90th, 95th, 98th and 100th percentile values of — </w:t>
      </w:r>
    </w:p>
    <w:p>
      <w:pPr>
        <w:pStyle w:val="yIndenta"/>
        <w:rPr>
          <w:b/>
          <w:bCs/>
        </w:rPr>
      </w:pPr>
      <w:r>
        <w:tab/>
        <w:t>(a)</w:t>
      </w:r>
      <w:r>
        <w:tab/>
        <w:t>the average length of interruption referred to in item 11(a);</w:t>
      </w:r>
    </w:p>
    <w:p>
      <w:pPr>
        <w:pStyle w:val="yIndenta"/>
      </w:pPr>
      <w:r>
        <w:tab/>
        <w:t>(b)</w:t>
      </w:r>
      <w:r>
        <w:tab/>
        <w:t>the number of interruptions; and</w:t>
      </w:r>
    </w:p>
    <w:p>
      <w:pPr>
        <w:pStyle w:val="yIndenta"/>
      </w:pPr>
      <w:r>
        <w:tab/>
        <w:t>(c)</w:t>
      </w:r>
      <w:r>
        <w:tab/>
        <w:t xml:space="preserve">the total length of interruptions. </w:t>
      </w:r>
    </w:p>
    <w:p>
      <w:pPr>
        <w:pStyle w:val="yNumberedItem"/>
        <w:rPr>
          <w:b/>
          <w:bCs/>
          <w:i/>
          <w:iCs/>
        </w:rPr>
      </w:pPr>
      <w:r>
        <w:t>15.</w:t>
      </w:r>
      <w:r>
        <w:tab/>
        <w:t>For each category of information in item 14(a), (b) and (c), a graph showing the distribution of customer premises across the range of that category.</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2" w:name="_Toc247094877"/>
      <w:r>
        <w:t>Notes</w:t>
      </w:r>
      <w:bookmarkEnd w:id="42"/>
    </w:p>
    <w:p>
      <w:pPr>
        <w:pStyle w:val="nSubsection"/>
        <w:rPr>
          <w:snapToGrid w:val="0"/>
        </w:rPr>
      </w:pPr>
      <w:r>
        <w:rPr>
          <w:snapToGrid w:val="0"/>
          <w:vertAlign w:val="superscript"/>
        </w:rPr>
        <w:t>1</w:t>
      </w:r>
      <w:r>
        <w:rPr>
          <w:snapToGrid w:val="0"/>
        </w:rPr>
        <w:tab/>
        <w:t>This is a compilation of the </w:t>
      </w:r>
      <w:r>
        <w:rPr>
          <w:i/>
          <w:iCs/>
          <w:noProof/>
          <w:snapToGrid w:val="0"/>
        </w:rPr>
        <w:t>Electricity Industry (Network Quality and Reliability of Supply) Code 2005</w:t>
      </w:r>
      <w:r>
        <w:rPr>
          <w:snapToGrid w:val="0"/>
        </w:rPr>
        <w:t xml:space="preserve"> and includes the amendments made by the other written laws referred to in the following table.  </w:t>
      </w:r>
    </w:p>
    <w:p>
      <w:pPr>
        <w:pStyle w:val="nHeading3"/>
      </w:pPr>
      <w:bookmarkStart w:id="43" w:name="_Toc247094878"/>
      <w: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bCs/>
                <w:sz w:val="19"/>
                <w:szCs w:val="19"/>
              </w:rPr>
            </w:pPr>
            <w:r>
              <w:rPr>
                <w:b/>
                <w:bCs/>
                <w:sz w:val="19"/>
                <w:szCs w:val="19"/>
              </w:rPr>
              <w:t>Citation</w:t>
            </w:r>
          </w:p>
        </w:tc>
        <w:tc>
          <w:tcPr>
            <w:tcW w:w="1276" w:type="dxa"/>
            <w:tcBorders>
              <w:top w:val="single" w:sz="8" w:space="0" w:color="auto"/>
              <w:bottom w:val="single" w:sz="8" w:space="0" w:color="auto"/>
            </w:tcBorders>
          </w:tcPr>
          <w:p>
            <w:pPr>
              <w:pStyle w:val="nTable"/>
              <w:spacing w:before="60" w:after="60"/>
              <w:rPr>
                <w:b/>
                <w:bCs/>
                <w:sz w:val="19"/>
                <w:szCs w:val="19"/>
              </w:rPr>
            </w:pPr>
            <w:r>
              <w:rPr>
                <w:b/>
                <w:bCs/>
                <w:sz w:val="19"/>
                <w:szCs w:val="19"/>
              </w:rPr>
              <w:t>Gazettal</w:t>
            </w:r>
          </w:p>
        </w:tc>
        <w:tc>
          <w:tcPr>
            <w:tcW w:w="2693" w:type="dxa"/>
            <w:tcBorders>
              <w:top w:val="single" w:sz="8" w:space="0" w:color="auto"/>
              <w:bottom w:val="single" w:sz="8" w:space="0" w:color="auto"/>
            </w:tcBorders>
          </w:tcPr>
          <w:p>
            <w:pPr>
              <w:pStyle w:val="nTable"/>
              <w:spacing w:before="60" w:after="60"/>
              <w:rPr>
                <w:b/>
                <w:bCs/>
                <w:sz w:val="19"/>
                <w:szCs w:val="19"/>
              </w:rPr>
            </w:pPr>
            <w:r>
              <w:rPr>
                <w:b/>
                <w:bCs/>
                <w:sz w:val="19"/>
                <w:szCs w:val="19"/>
              </w:rPr>
              <w:t>Commencement</w:t>
            </w:r>
          </w:p>
        </w:tc>
      </w:tr>
      <w:tr>
        <w:tc>
          <w:tcPr>
            <w:tcW w:w="3118" w:type="dxa"/>
            <w:tcBorders>
              <w:top w:val="single" w:sz="8" w:space="0" w:color="auto"/>
            </w:tcBorders>
          </w:tcPr>
          <w:p>
            <w:pPr>
              <w:pStyle w:val="nTable"/>
              <w:rPr>
                <w:sz w:val="19"/>
                <w:szCs w:val="19"/>
              </w:rPr>
            </w:pPr>
            <w:r>
              <w:rPr>
                <w:i/>
                <w:iCs/>
                <w:noProof/>
                <w:snapToGrid w:val="0"/>
                <w:sz w:val="19"/>
                <w:szCs w:val="19"/>
              </w:rPr>
              <w:t>Electricity Industry (Network Quality and Reliability of Supply) Code 2005</w:t>
            </w:r>
          </w:p>
        </w:tc>
        <w:tc>
          <w:tcPr>
            <w:tcW w:w="1276" w:type="dxa"/>
            <w:tcBorders>
              <w:top w:val="single" w:sz="8" w:space="0" w:color="auto"/>
            </w:tcBorders>
          </w:tcPr>
          <w:p>
            <w:pPr>
              <w:pStyle w:val="nTable"/>
              <w:rPr>
                <w:sz w:val="19"/>
                <w:szCs w:val="19"/>
              </w:rPr>
            </w:pPr>
            <w:r>
              <w:rPr>
                <w:sz w:val="19"/>
                <w:szCs w:val="19"/>
              </w:rPr>
              <w:t>13 Dec 2005 p. 6051-69</w:t>
            </w:r>
          </w:p>
        </w:tc>
        <w:tc>
          <w:tcPr>
            <w:tcW w:w="2693" w:type="dxa"/>
            <w:tcBorders>
              <w:top w:val="single" w:sz="8" w:space="0" w:color="auto"/>
            </w:tcBorders>
          </w:tcPr>
          <w:p>
            <w:pPr>
              <w:pStyle w:val="nTable"/>
              <w:rPr>
                <w:sz w:val="19"/>
                <w:szCs w:val="19"/>
              </w:rPr>
            </w:pPr>
            <w:r>
              <w:rPr>
                <w:sz w:val="19"/>
                <w:szCs w:val="19"/>
              </w:rPr>
              <w:t>1 Jan 2006 (see s. 2)</w:t>
            </w:r>
          </w:p>
        </w:tc>
      </w:tr>
      <w:tr>
        <w:tc>
          <w:tcPr>
            <w:tcW w:w="3118" w:type="dxa"/>
          </w:tcPr>
          <w:p>
            <w:pPr>
              <w:pStyle w:val="nTable"/>
              <w:rPr>
                <w:sz w:val="19"/>
                <w:szCs w:val="19"/>
              </w:rPr>
            </w:pPr>
            <w:r>
              <w:rPr>
                <w:i/>
                <w:iCs/>
                <w:sz w:val="19"/>
                <w:szCs w:val="19"/>
              </w:rPr>
              <w:t>Electricity Corporations (Consequential Amendments) Regulations 2006</w:t>
            </w:r>
            <w:r>
              <w:rPr>
                <w:sz w:val="19"/>
                <w:szCs w:val="19"/>
              </w:rPr>
              <w:t xml:space="preserve"> r. 75</w:t>
            </w:r>
          </w:p>
        </w:tc>
        <w:tc>
          <w:tcPr>
            <w:tcW w:w="1276" w:type="dxa"/>
          </w:tcPr>
          <w:p>
            <w:pPr>
              <w:pStyle w:val="nTable"/>
              <w:rPr>
                <w:sz w:val="19"/>
                <w:szCs w:val="19"/>
              </w:rPr>
            </w:pPr>
            <w:r>
              <w:rPr>
                <w:sz w:val="19"/>
                <w:szCs w:val="19"/>
              </w:rPr>
              <w:t>31 Mar 2006 p. 1299</w:t>
            </w:r>
            <w:r>
              <w:rPr>
                <w:sz w:val="19"/>
                <w:szCs w:val="19"/>
              </w:rPr>
              <w:noBreakHyphen/>
              <w:t>57</w:t>
            </w:r>
          </w:p>
        </w:tc>
        <w:tc>
          <w:tcPr>
            <w:tcW w:w="2693" w:type="dxa"/>
          </w:tcPr>
          <w:p>
            <w:pPr>
              <w:pStyle w:val="nTable"/>
              <w:rPr>
                <w:sz w:val="19"/>
                <w:szCs w:val="19"/>
              </w:rPr>
            </w:pPr>
            <w:r>
              <w:rPr>
                <w:sz w:val="19"/>
                <w:szCs w:val="19"/>
              </w:rPr>
              <w:t>1 Apr 2006 (see r. 2)</w:t>
            </w:r>
          </w:p>
        </w:tc>
      </w:tr>
      <w:tr>
        <w:tc>
          <w:tcPr>
            <w:tcW w:w="3118" w:type="dxa"/>
          </w:tcPr>
          <w:p>
            <w:pPr>
              <w:pStyle w:val="nTable"/>
              <w:rPr>
                <w:i/>
                <w:iCs/>
                <w:sz w:val="19"/>
                <w:szCs w:val="19"/>
              </w:rPr>
            </w:pPr>
            <w:r>
              <w:rPr>
                <w:i/>
                <w:iCs/>
                <w:noProof/>
                <w:snapToGrid w:val="0"/>
                <w:sz w:val="19"/>
                <w:szCs w:val="19"/>
              </w:rPr>
              <w:t>Electricity Industry (Network Quality and Reliability of Supply) Amendment Code 2007</w:t>
            </w:r>
          </w:p>
        </w:tc>
        <w:tc>
          <w:tcPr>
            <w:tcW w:w="1276" w:type="dxa"/>
          </w:tcPr>
          <w:p>
            <w:pPr>
              <w:pStyle w:val="nTable"/>
              <w:rPr>
                <w:sz w:val="19"/>
                <w:szCs w:val="19"/>
              </w:rPr>
            </w:pPr>
            <w:r>
              <w:rPr>
                <w:sz w:val="19"/>
                <w:szCs w:val="19"/>
              </w:rPr>
              <w:t>19 Sep 2007 p. 4725</w:t>
            </w:r>
            <w:r>
              <w:rPr>
                <w:sz w:val="19"/>
                <w:szCs w:val="19"/>
              </w:rPr>
              <w:noBreakHyphen/>
              <w:t>6</w:t>
            </w:r>
          </w:p>
        </w:tc>
        <w:tc>
          <w:tcPr>
            <w:tcW w:w="2693" w:type="dxa"/>
          </w:tcPr>
          <w:p>
            <w:pPr>
              <w:pStyle w:val="nTable"/>
              <w:rPr>
                <w:sz w:val="19"/>
                <w:szCs w:val="19"/>
              </w:rPr>
            </w:pPr>
            <w:r>
              <w:rPr>
                <w:snapToGrid w:val="0"/>
                <w:sz w:val="19"/>
                <w:szCs w:val="19"/>
                <w:lang w:val="en-US"/>
              </w:rPr>
              <w:t>s. 1 and 2: 19 Sep 2007 (see s. 2(a));</w:t>
            </w:r>
            <w:r>
              <w:rPr>
                <w:snapToGrid w:val="0"/>
                <w:sz w:val="19"/>
                <w:szCs w:val="19"/>
                <w:lang w:val="en-US"/>
              </w:rPr>
              <w:br/>
              <w:t>Code other than s. 1 and 2: 20 Sep 2007 (see s. 2(b))</w:t>
            </w:r>
          </w:p>
        </w:tc>
      </w:tr>
      <w:tr>
        <w:tc>
          <w:tcPr>
            <w:tcW w:w="3118" w:type="dxa"/>
            <w:tcBorders>
              <w:bottom w:val="single" w:sz="4" w:space="0" w:color="auto"/>
            </w:tcBorders>
          </w:tcPr>
          <w:p>
            <w:pPr>
              <w:pStyle w:val="nTable"/>
              <w:rPr>
                <w:i/>
                <w:iCs/>
                <w:noProof/>
                <w:snapToGrid w:val="0"/>
                <w:sz w:val="19"/>
                <w:szCs w:val="19"/>
              </w:rPr>
            </w:pPr>
            <w:r>
              <w:rPr>
                <w:i/>
                <w:iCs/>
                <w:noProof/>
                <w:snapToGrid w:val="0"/>
                <w:sz w:val="19"/>
                <w:szCs w:val="19"/>
              </w:rPr>
              <w:t>Electricity Industry (Network Quality and Reliability of Supply) Amendment Code 2009</w:t>
            </w:r>
          </w:p>
        </w:tc>
        <w:tc>
          <w:tcPr>
            <w:tcW w:w="1276" w:type="dxa"/>
            <w:tcBorders>
              <w:bottom w:val="single" w:sz="4" w:space="0" w:color="auto"/>
            </w:tcBorders>
          </w:tcPr>
          <w:p>
            <w:pPr>
              <w:pStyle w:val="nTable"/>
              <w:rPr>
                <w:sz w:val="19"/>
                <w:szCs w:val="19"/>
              </w:rPr>
            </w:pPr>
            <w:r>
              <w:rPr>
                <w:sz w:val="19"/>
                <w:szCs w:val="19"/>
              </w:rPr>
              <w:t>27 Nov 2009 p. 4781-3</w:t>
            </w:r>
          </w:p>
        </w:tc>
        <w:tc>
          <w:tcPr>
            <w:tcW w:w="2693" w:type="dxa"/>
            <w:tcBorders>
              <w:bottom w:val="single" w:sz="4" w:space="0" w:color="auto"/>
            </w:tcBorders>
          </w:tcPr>
          <w:p>
            <w:pPr>
              <w:pStyle w:val="nTable"/>
              <w:rPr>
                <w:snapToGrid w:val="0"/>
                <w:sz w:val="19"/>
                <w:szCs w:val="19"/>
                <w:lang w:val="en-US"/>
              </w:rPr>
            </w:pPr>
            <w:r>
              <w:rPr>
                <w:snapToGrid w:val="0"/>
                <w:sz w:val="19"/>
                <w:szCs w:val="19"/>
                <w:lang w:val="en-US"/>
              </w:rPr>
              <w:t>s. 1 and 2: 27 Nov 2009 (see s. 2(a));</w:t>
            </w:r>
            <w:r>
              <w:rPr>
                <w:snapToGrid w:val="0"/>
                <w:sz w:val="19"/>
                <w:szCs w:val="19"/>
                <w:lang w:val="en-US"/>
              </w:rPr>
              <w:br/>
              <w:t>Code other than s. 1 and 2: 28 Nov 2009 (see s. 2(b))</w:t>
            </w:r>
          </w:p>
        </w:tc>
      </w:tr>
    </w:tbl>
    <w:p/>
    <w:p>
      <w:pPr>
        <w:sectPr>
          <w:headerReference w:type="even" r:id="rId28"/>
          <w:headerReference w:type="defaul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(Network Quality and Reliability of Supply) Code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15716D3"/>
    <w:multiLevelType w:val="multilevel"/>
    <w:tmpl w:val="60309F98"/>
    <w:name w:val="ScheduleNumberedItems"/>
    <w:lvl w:ilvl="0">
      <w:start w:val="1"/>
      <w:numFmt w:val="decimal"/>
      <w:suff w:val="nothing"/>
      <w:lvlText w:val="%1"/>
      <w:lvlJc w:val="left"/>
      <w:rPr>
        <w:b w:val="0"/>
        <w:bCs w:val="0"/>
        <w:i w:val="0"/>
        <w:iCs w:val="0"/>
      </w:rPr>
    </w:lvl>
    <w:lvl w:ilvl="1">
      <w:start w:val="1"/>
      <w:numFmt w:val="lowerLetter"/>
      <w:lvlText w:val="%2)"/>
      <w:lvlJc w:val="left"/>
      <w:pPr>
        <w:tabs>
          <w:tab w:val="num" w:pos="360"/>
        </w:tabs>
      </w:pPr>
    </w:lvl>
    <w:lvl w:ilvl="2">
      <w:start w:val="1"/>
      <w:numFmt w:val="lowerRoman"/>
      <w:lvlText w:val="%3)"/>
      <w:lvlJc w:val="left"/>
      <w:pPr>
        <w:tabs>
          <w:tab w:val="num" w:pos="72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left"/>
      <w:pPr>
        <w:tabs>
          <w:tab w:val="num" w:pos="72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left"/>
      <w:pPr>
        <w:tabs>
          <w:tab w:val="num" w:pos="720"/>
        </w:tabs>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63F05756"/>
    <w:name w:val="SchedulePenalty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558E382"/>
    <w:name w:val="SectionNumbers"/>
    <w:lvl w:ilvl="0">
      <w:numFmt w:val="none"/>
      <w:lvlText w:val=""/>
      <w:lvlJc w:val="left"/>
      <w:pPr>
        <w:tabs>
          <w:tab w:val="num" w:pos="36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16880C58"/>
    <w:multiLevelType w:val="multilevel"/>
    <w:tmpl w:val="B1126FD0"/>
    <w:name w:val="ScheduleDefinition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6">
    <w:nsid w:val="22FF52EB"/>
    <w:multiLevelType w:val="multilevel"/>
    <w:tmpl w:val="C40EE460"/>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
    <w:nsid w:val="3A396798"/>
    <w:multiLevelType w:val="multilevel"/>
    <w:tmpl w:val="039E374A"/>
    <w:name w:val="PartNumbers"/>
    <w:lvl w:ilvl="0">
      <w:numFmt w:val="none"/>
      <w:lvlText w:val=""/>
      <w:lvlJc w:val="left"/>
      <w:pPr>
        <w:tabs>
          <w:tab w:val="num" w:pos="36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3">
    <w:nsid w:val="3C2808C0"/>
    <w:multiLevelType w:val="singleLevel"/>
    <w:tmpl w:val="8DFEB58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cs="NewCenturySchlbk" w:hint="default"/>
        <w:b w:val="0"/>
        <w:bCs w:val="0"/>
        <w:i w:val="0"/>
        <w:iCs w:val="0"/>
        <w:sz w:val="22"/>
        <w:szCs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9256942A"/>
    <w:name w:val="PenaltyNumbers"/>
    <w:lvl w:ilvl="0">
      <w:numFmt w:val="none"/>
      <w:lvlText w:val=""/>
      <w:lvlJc w:val="left"/>
      <w:pPr>
        <w:tabs>
          <w:tab w:val="num" w:pos="36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728"/>
    <w:docVar w:name="WAFER_20151207121728" w:val="RemoveTrackChanges"/>
    <w:docVar w:name="WAFER_20151207121728_GUID" w:val="75f31c0c-db4e-49aa-8d29-acc6b5e0f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cs="Times New Roman"/>
      <w:sz w:val="24"/>
      <w:szCs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2"/>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cs="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cs="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cs="Times New Roman"/>
      <w:sz w:val="24"/>
      <w:szCs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2"/>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cs="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cs="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5473</Words>
  <Characters>27203</Characters>
  <Application>Microsoft Office Word</Application>
  <DocSecurity>0</DocSecurity>
  <Lines>850</Lines>
  <Paragraphs>535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32141</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2005 - 00-e0-03</dc:title>
  <dc:subject/>
  <dc:creator/>
  <cp:keywords/>
  <dc:description/>
  <cp:lastModifiedBy>svcMRProcess</cp:lastModifiedBy>
  <cp:revision>4</cp:revision>
  <cp:lastPrinted>2009-11-26T04:30:00Z</cp:lastPrinted>
  <dcterms:created xsi:type="dcterms:W3CDTF">2018-09-11T06:50:00Z</dcterms:created>
  <dcterms:modified xsi:type="dcterms:W3CDTF">2018-09-11T06:51:00Z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20091128</vt:lpwstr>
  </property>
  <property fmtid="{D5CDD505-2E9C-101B-9397-08002B2CF9AE}" pid="4" name="DocumentType">
    <vt:lpwstr>Reg</vt:lpwstr>
  </property>
  <property fmtid="{D5CDD505-2E9C-101B-9397-08002B2CF9AE}" pid="5" name="OwlsUID">
    <vt:i4>38021</vt:i4>
  </property>
  <property fmtid="{D5CDD505-2E9C-101B-9397-08002B2CF9AE}" pid="6" name="AsAtDate">
    <vt:lpwstr>28 Nov 2009</vt:lpwstr>
  </property>
  <property fmtid="{D5CDD505-2E9C-101B-9397-08002B2CF9AE}" pid="7" name="Suffix">
    <vt:lpwstr>00-e0-03</vt:lpwstr>
  </property>
</Properties>
</file>