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_Toc245873230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_Toc245873231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_Toc245873232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_Toc245873233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_Toc245873234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_Toc245873235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_Toc245873236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_Toc245873237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_Toc245873238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5</w:t>
      </w:r>
      <w:r>
        <w:tab/>
      </w:r>
      <w:r>
        <w:fldChar w:fldCharType="begin"/>
      </w:r>
      <w:r>
        <w:instrText xml:space="preserve"> PAGEREF _Toc245873239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5</w:t>
      </w:r>
      <w:r>
        <w:tab/>
      </w:r>
      <w:r>
        <w:fldChar w:fldCharType="begin"/>
      </w:r>
      <w:r>
        <w:instrText xml:space="preserve"> PAGEREF _Toc245873240 \h </w:instrText>
      </w:r>
      <w:r>
        <w:fldChar w:fldCharType="separate"/>
      </w:r>
      <w:r>
        <w:t>11</w:t>
      </w:r>
      <w:r>
        <w:fldChar w:fldCharType="end"/>
      </w:r>
    </w:p>
    <w:p>
      <w:pPr>
        <w:pStyle w:val="TOC8"/>
        <w:rPr>
          <w:sz w:val="24"/>
          <w:szCs w:val="24"/>
        </w:rPr>
      </w:pPr>
      <w:r>
        <w:rPr>
          <w:szCs w:val="24"/>
        </w:rPr>
        <w:t>10.</w:t>
      </w:r>
      <w:r>
        <w:rPr>
          <w:szCs w:val="24"/>
        </w:rPr>
        <w:tab/>
        <w:t>Schedule 1 Division 2 item 6 or Division 2 item 7 fee</w:t>
      </w:r>
      <w:r>
        <w:tab/>
      </w:r>
      <w:r>
        <w:fldChar w:fldCharType="begin"/>
      </w:r>
      <w:r>
        <w:instrText xml:space="preserve"> PAGEREF _Toc245873241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_Toc245873242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 Division fees</w:t>
      </w:r>
    </w:p>
    <w:p>
      <w:pPr>
        <w:pStyle w:val="TOC4"/>
        <w:keepNext w:val="0"/>
        <w:tabs>
          <w:tab w:val="right" w:leader="dot" w:pos="7086"/>
        </w:tabs>
        <w:rPr>
          <w:b w:val="0"/>
          <w:sz w:val="24"/>
          <w:szCs w:val="24"/>
        </w:rPr>
      </w:pPr>
      <w:r>
        <w:rPr>
          <w:szCs w:val="24"/>
        </w:rPr>
        <w:t>Division 2</w:t>
      </w:r>
      <w:r>
        <w:rPr>
          <w:b w:val="0"/>
          <w:szCs w:val="24"/>
        </w:rPr>
        <w:t> — </w:t>
      </w:r>
      <w:r>
        <w:rPr>
          <w:szCs w:val="24"/>
        </w:rPr>
        <w:t>Court of Appeal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_Toc245873250 \h </w:instrText>
      </w:r>
      <w:r>
        <w:fldChar w:fldCharType="separate"/>
      </w:r>
      <w:r>
        <w:t>39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November 2009</w:t>
            </w:r>
          </w:p>
        </w:tc>
      </w:tr>
    </w:tbl>
    <w:p>
      <w:pPr>
        <w:pStyle w:val="WA"/>
        <w:spacing w:before="120"/>
      </w:pPr>
      <w:r>
        <w:t>Western Australia</w:t>
      </w:r>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245873230"/>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24587323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245873232"/>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245873233"/>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245873234"/>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w:t>
      </w:r>
    </w:p>
    <w:p>
      <w:pPr>
        <w:pStyle w:val="Heading5"/>
      </w:pPr>
      <w:bookmarkStart w:id="60" w:name="_Toc245873235"/>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245873236"/>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245873237"/>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245873238"/>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245873239"/>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245873240"/>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245873241"/>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245873242"/>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533218894"/>
      <w:bookmarkStart w:id="108" w:name="_Toc533480360"/>
      <w:bookmarkStart w:id="109" w:name="_Toc107626249"/>
      <w:bookmarkStart w:id="110" w:name="_Toc139175209"/>
      <w:bookmarkStart w:id="111" w:name="_Toc139365940"/>
      <w:bookmarkStart w:id="112" w:name="_Toc141847811"/>
      <w:bookmarkStart w:id="113" w:name="_Toc142382645"/>
      <w:bookmarkStart w:id="114" w:name="_Toc144009328"/>
      <w:bookmarkStart w:id="115" w:name="_Toc144009444"/>
      <w:bookmarkStart w:id="116" w:name="_Toc144010742"/>
      <w:bookmarkStart w:id="117" w:name="_Toc144616506"/>
      <w:bookmarkStart w:id="118" w:name="_Toc145814169"/>
      <w:bookmarkStart w:id="119" w:name="_Toc170790395"/>
      <w:bookmarkStart w:id="120" w:name="_Toc171051025"/>
      <w:bookmarkStart w:id="121" w:name="_Toc202265391"/>
      <w:bookmarkStart w:id="122" w:name="_Toc232310903"/>
      <w:bookmarkStart w:id="123" w:name="_Toc233086412"/>
      <w:bookmarkStart w:id="124" w:name="_Toc233519305"/>
      <w:bookmarkStart w:id="125" w:name="_Toc233526464"/>
      <w:bookmarkEnd w:id="102"/>
      <w:r>
        <w:rPr>
          <w:rStyle w:val="CharSchNo"/>
        </w:rPr>
        <w:t>Schedule 1</w:t>
      </w:r>
      <w:r>
        <w:t> — </w:t>
      </w:r>
      <w:r>
        <w:rPr>
          <w:rStyle w:val="CharSchText"/>
        </w:rPr>
        <w:t>Fees</w:t>
      </w:r>
      <w:bookmarkEnd w:id="103"/>
      <w:bookmarkEnd w:id="104"/>
      <w:bookmarkEnd w:id="105"/>
      <w:bookmarkEnd w:id="106"/>
    </w:p>
    <w:p>
      <w:pPr>
        <w:pStyle w:val="yShoulderClause"/>
      </w:pPr>
      <w:r>
        <w:t>[r. 4]</w:t>
      </w:r>
    </w:p>
    <w:p>
      <w:pPr>
        <w:pStyle w:val="yFootnoteheading"/>
        <w:spacing w:before="100"/>
      </w:pPr>
      <w:r>
        <w:tab/>
        <w:t>[Heading inserted in Gazette 4 Sep 2009 p. 3462.]</w:t>
      </w:r>
    </w:p>
    <w:p>
      <w:pPr>
        <w:pStyle w:val="yHeading3"/>
      </w:pPr>
      <w:bookmarkStart w:id="126" w:name="_Toc239758529"/>
      <w:bookmarkStart w:id="127" w:name="_Toc239761853"/>
      <w:bookmarkStart w:id="128" w:name="_Toc244333852"/>
      <w:bookmarkStart w:id="129" w:name="_Toc245873244"/>
      <w:r>
        <w:rPr>
          <w:rStyle w:val="CharSDivNo"/>
        </w:rPr>
        <w:t>Division 1</w:t>
      </w:r>
      <w:r>
        <w:rPr>
          <w:b w:val="0"/>
        </w:rPr>
        <w:t> — </w:t>
      </w:r>
      <w:r>
        <w:rPr>
          <w:rStyle w:val="CharSDivText"/>
        </w:rPr>
        <w:t>General Division fees</w:t>
      </w:r>
      <w:bookmarkEnd w:id="126"/>
      <w:bookmarkEnd w:id="127"/>
      <w:bookmarkEnd w:id="128"/>
      <w:bookmarkEnd w:id="129"/>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768.00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1 153.00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pPr>
            <w:r>
              <w:tab/>
              <w:t>(vi)</w:t>
            </w:r>
            <w:r>
              <w:tab/>
              <w:t>for inclusion in the Expedited list of the Court; or</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768.00</w:t>
            </w:r>
          </w:p>
          <w:p>
            <w:pPr>
              <w:pStyle w:val="yTableNAm"/>
              <w:tabs>
                <w:tab w:val="clear" w:pos="567"/>
              </w:tabs>
              <w:ind w:right="206"/>
              <w:jc w:val="right"/>
            </w:pPr>
            <w:r>
              <w:br/>
              <w:t>768.00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br/>
            </w:r>
            <w:r>
              <w:br/>
              <w:t>256.00</w:t>
            </w:r>
          </w:p>
          <w:p>
            <w:pPr>
              <w:pStyle w:val="yTableNAm"/>
              <w:tabs>
                <w:tab w:val="clear" w:pos="567"/>
              </w:tabs>
              <w:ind w:right="206"/>
              <w:jc w:val="right"/>
            </w:pPr>
            <w:r>
              <w:br/>
            </w:r>
            <w:r>
              <w:br/>
              <w:t>256.00</w:t>
            </w:r>
          </w:p>
        </w:tc>
        <w:tc>
          <w:tcPr>
            <w:tcW w:w="1239" w:type="dxa"/>
          </w:tcPr>
          <w:p>
            <w:pPr>
              <w:pStyle w:val="yTableNAm"/>
              <w:tabs>
                <w:tab w:val="clear" w:pos="567"/>
              </w:tabs>
              <w:ind w:right="203"/>
              <w:jc w:val="right"/>
            </w:pPr>
          </w:p>
          <w:p>
            <w:pPr>
              <w:pStyle w:val="yTableNAm"/>
              <w:tabs>
                <w:tab w:val="clear" w:pos="567"/>
              </w:tabs>
              <w:ind w:right="203"/>
              <w:jc w:val="right"/>
            </w:pPr>
            <w:r>
              <w:t>1 153.00</w:t>
            </w:r>
          </w:p>
          <w:p>
            <w:pPr>
              <w:pStyle w:val="yTableNAm"/>
              <w:tabs>
                <w:tab w:val="clear" w:pos="567"/>
              </w:tabs>
              <w:ind w:right="203"/>
              <w:jc w:val="right"/>
            </w:pPr>
            <w:r>
              <w:br/>
              <w:t>1 153.00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br/>
            </w:r>
            <w:r>
              <w:br/>
              <w:t>386.00</w:t>
            </w:r>
          </w:p>
          <w:p>
            <w:pPr>
              <w:pStyle w:val="yTableNAm"/>
              <w:tabs>
                <w:tab w:val="clear" w:pos="567"/>
              </w:tabs>
              <w:ind w:right="203"/>
              <w:jc w:val="right"/>
            </w:pPr>
            <w:r>
              <w:br/>
            </w:r>
            <w:r>
              <w:br/>
              <w:t>386.00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771.00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768.00</w:t>
            </w:r>
          </w:p>
        </w:tc>
        <w:tc>
          <w:tcPr>
            <w:tcW w:w="1239" w:type="dxa"/>
          </w:tcPr>
          <w:p>
            <w:pPr>
              <w:pStyle w:val="yTableNAm"/>
              <w:tabs>
                <w:tab w:val="clear" w:pos="567"/>
              </w:tabs>
              <w:ind w:right="203"/>
              <w:jc w:val="right"/>
            </w:pPr>
            <w:r>
              <w:br/>
            </w:r>
            <w:r>
              <w:br/>
              <w:t>1 153.00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1 028.00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t>514.00</w:t>
            </w:r>
          </w:p>
        </w:tc>
        <w:tc>
          <w:tcPr>
            <w:tcW w:w="1239" w:type="dxa"/>
          </w:tcPr>
          <w:p>
            <w:pPr>
              <w:pStyle w:val="yTableNAm"/>
              <w:keepNext/>
              <w:tabs>
                <w:tab w:val="clear" w:pos="567"/>
              </w:tabs>
              <w:ind w:right="203"/>
              <w:jc w:val="right"/>
            </w:pPr>
            <w:r>
              <w:br/>
            </w:r>
            <w:r>
              <w:br/>
              <w:t>1 028.00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180.50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t>270.00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180.50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t>270.00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26.00</w:t>
            </w:r>
          </w:p>
        </w:tc>
        <w:tc>
          <w:tcPr>
            <w:tcW w:w="1239" w:type="dxa"/>
          </w:tcPr>
          <w:p>
            <w:pPr>
              <w:pStyle w:val="yTableNAm"/>
              <w:tabs>
                <w:tab w:val="clear" w:pos="567"/>
              </w:tabs>
              <w:spacing w:before="100"/>
              <w:ind w:right="204"/>
              <w:jc w:val="right"/>
            </w:pPr>
            <w:r>
              <w:br/>
            </w:r>
            <w:r>
              <w:br/>
              <w:t>26.00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c>
          <w:tcPr>
            <w:tcW w:w="1239"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p>
            <w:pPr>
              <w:pStyle w:val="yTableNAm"/>
              <w:tabs>
                <w:tab w:val="clear" w:pos="567"/>
              </w:tabs>
              <w:ind w:right="206"/>
              <w:jc w:val="right"/>
            </w:pPr>
            <w:r>
              <w:br/>
            </w:r>
            <w:r>
              <w:br/>
            </w:r>
            <w:r>
              <w:br/>
            </w:r>
            <w:r>
              <w:br/>
              <w:t>51.50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9.00</w:t>
            </w:r>
          </w:p>
          <w:p>
            <w:pPr>
              <w:pStyle w:val="yTableNAm"/>
              <w:tabs>
                <w:tab w:val="clear" w:pos="567"/>
              </w:tabs>
              <w:ind w:right="203"/>
              <w:jc w:val="right"/>
            </w:pPr>
            <w:r>
              <w:br/>
            </w:r>
            <w:r>
              <w:br/>
              <w:t>1.15</w:t>
            </w:r>
          </w:p>
          <w:p>
            <w:pPr>
              <w:pStyle w:val="yTableNAm"/>
              <w:tabs>
                <w:tab w:val="clear" w:pos="567"/>
              </w:tabs>
              <w:ind w:right="203"/>
              <w:jc w:val="right"/>
            </w:pPr>
            <w:r>
              <w:br/>
            </w:r>
            <w:r>
              <w:br/>
              <w:t>12.50</w:t>
            </w:r>
          </w:p>
          <w:p>
            <w:pPr>
              <w:pStyle w:val="yTableNAm"/>
              <w:tabs>
                <w:tab w:val="clear" w:pos="567"/>
              </w:tabs>
              <w:ind w:right="203"/>
              <w:jc w:val="right"/>
            </w:pPr>
            <w:r>
              <w:br/>
              <w:t>27.00</w:t>
            </w:r>
          </w:p>
          <w:p>
            <w:pPr>
              <w:pStyle w:val="yTableNAm"/>
              <w:tabs>
                <w:tab w:val="clear" w:pos="567"/>
              </w:tabs>
              <w:ind w:right="203"/>
              <w:jc w:val="right"/>
            </w:pPr>
            <w:r>
              <w:br/>
            </w:r>
            <w:r>
              <w:br/>
            </w:r>
            <w:r>
              <w:br/>
            </w:r>
            <w:r>
              <w:br/>
              <w:t>51.50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5.05</w:t>
            </w:r>
          </w:p>
          <w:p>
            <w:pPr>
              <w:pStyle w:val="yTableNAm"/>
              <w:tabs>
                <w:tab w:val="clear" w:pos="567"/>
              </w:tabs>
              <w:ind w:right="203"/>
              <w:jc w:val="right"/>
            </w:pPr>
            <w:r>
              <w:br/>
            </w:r>
            <w:r>
              <w:br/>
            </w:r>
            <w:r>
              <w:br/>
            </w:r>
            <w:r>
              <w:br/>
              <w:t>12.50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215.50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w:t>
      </w:r>
    </w:p>
    <w:p>
      <w:pPr>
        <w:pStyle w:val="yHeading3"/>
      </w:pPr>
      <w:bookmarkStart w:id="130" w:name="_Toc239758530"/>
      <w:bookmarkStart w:id="131" w:name="_Toc239761854"/>
      <w:bookmarkStart w:id="132" w:name="_Toc244333853"/>
      <w:bookmarkStart w:id="133" w:name="_Toc245873245"/>
      <w:r>
        <w:rPr>
          <w:rStyle w:val="CharSDivNo"/>
        </w:rPr>
        <w:t>Division 2</w:t>
      </w:r>
      <w:r>
        <w:rPr>
          <w:b w:val="0"/>
        </w:rPr>
        <w:t> — </w:t>
      </w:r>
      <w:r>
        <w:rPr>
          <w:rStyle w:val="CharSDivText"/>
        </w:rPr>
        <w:t>Court of Appeal fees</w:t>
      </w:r>
      <w:bookmarkEnd w:id="130"/>
      <w:bookmarkEnd w:id="131"/>
      <w:bookmarkEnd w:id="132"/>
      <w:bookmarkEnd w:id="133"/>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128.00</w:t>
            </w:r>
          </w:p>
        </w:tc>
        <w:tc>
          <w:tcPr>
            <w:tcW w:w="1240" w:type="dxa"/>
          </w:tcPr>
          <w:p>
            <w:pPr>
              <w:pStyle w:val="yTableNAm"/>
              <w:tabs>
                <w:tab w:val="clear" w:pos="567"/>
              </w:tabs>
              <w:ind w:right="204"/>
              <w:jc w:val="right"/>
            </w:pPr>
            <w:r>
              <w:t>256.00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yTableNAm"/>
              <w:tabs>
                <w:tab w:val="clear" w:pos="567"/>
              </w:tabs>
              <w:ind w:right="206"/>
              <w:jc w:val="right"/>
            </w:pPr>
            <w:r>
              <w:t>1 931.00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3 862.00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256.00</w:t>
            </w:r>
          </w:p>
        </w:tc>
        <w:tc>
          <w:tcPr>
            <w:tcW w:w="1240" w:type="dxa"/>
          </w:tcPr>
          <w:p>
            <w:pPr>
              <w:pStyle w:val="yTableNAm"/>
              <w:tabs>
                <w:tab w:val="clear" w:pos="567"/>
              </w:tabs>
              <w:ind w:right="204"/>
              <w:jc w:val="right"/>
            </w:pPr>
            <w:r>
              <w:br/>
            </w:r>
            <w:r>
              <w:br/>
            </w:r>
            <w:r>
              <w:br/>
            </w:r>
            <w:r>
              <w:br/>
              <w:t>386.00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180.50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t>270.00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t>643.00</w:t>
            </w:r>
          </w:p>
        </w:tc>
        <w:tc>
          <w:tcPr>
            <w:tcW w:w="1240" w:type="dxa"/>
          </w:tcPr>
          <w:p>
            <w:pPr>
              <w:pStyle w:val="yTableNAm"/>
              <w:keepNext/>
              <w:tabs>
                <w:tab w:val="clear" w:pos="567"/>
              </w:tabs>
              <w:ind w:right="204"/>
              <w:jc w:val="right"/>
            </w:pPr>
            <w:r>
              <w:t>965.00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514.00</w:t>
            </w:r>
          </w:p>
        </w:tc>
        <w:tc>
          <w:tcPr>
            <w:tcW w:w="1240" w:type="dxa"/>
          </w:tcPr>
          <w:p>
            <w:pPr>
              <w:pStyle w:val="yTableNAm"/>
              <w:tabs>
                <w:tab w:val="clear" w:pos="567"/>
              </w:tabs>
              <w:ind w:right="204"/>
              <w:jc w:val="right"/>
            </w:pPr>
            <w:r>
              <w:br/>
              <w:t>1 028.00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514.00</w:t>
            </w:r>
          </w:p>
        </w:tc>
        <w:tc>
          <w:tcPr>
            <w:tcW w:w="1240" w:type="dxa"/>
          </w:tcPr>
          <w:p>
            <w:pPr>
              <w:pStyle w:val="yTableNAm"/>
              <w:tabs>
                <w:tab w:val="clear" w:pos="567"/>
              </w:tabs>
              <w:ind w:right="204"/>
              <w:jc w:val="right"/>
            </w:pPr>
            <w:r>
              <w:t>1 028.00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26.00</w:t>
            </w:r>
          </w:p>
        </w:tc>
        <w:tc>
          <w:tcPr>
            <w:tcW w:w="1240" w:type="dxa"/>
          </w:tcPr>
          <w:p>
            <w:pPr>
              <w:pStyle w:val="yTableNAm"/>
              <w:tabs>
                <w:tab w:val="clear" w:pos="567"/>
              </w:tabs>
              <w:ind w:right="204"/>
              <w:jc w:val="right"/>
            </w:pPr>
            <w:r>
              <w:br/>
            </w:r>
            <w:r>
              <w:br/>
              <w:t>26.00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9.00</w:t>
            </w:r>
          </w:p>
          <w:p>
            <w:pPr>
              <w:pStyle w:val="yTableNAm"/>
              <w:tabs>
                <w:tab w:val="clear" w:pos="567"/>
              </w:tabs>
              <w:ind w:right="204"/>
              <w:jc w:val="right"/>
            </w:pPr>
            <w:r>
              <w:br/>
            </w:r>
            <w:r>
              <w:br/>
              <w:t>1.15</w:t>
            </w:r>
          </w:p>
          <w:p>
            <w:pPr>
              <w:pStyle w:val="yTableNAm"/>
              <w:tabs>
                <w:tab w:val="clear" w:pos="567"/>
              </w:tabs>
              <w:ind w:right="204"/>
              <w:jc w:val="right"/>
            </w:pPr>
            <w:r>
              <w:br/>
            </w:r>
            <w:r>
              <w:br/>
              <w:t>12.50</w:t>
            </w:r>
          </w:p>
          <w:p>
            <w:pPr>
              <w:pStyle w:val="yTableNAm"/>
              <w:tabs>
                <w:tab w:val="clear" w:pos="567"/>
              </w:tabs>
              <w:ind w:right="204"/>
              <w:jc w:val="right"/>
            </w:pPr>
            <w:r>
              <w:br/>
              <w:t>27.00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r>
            <w:r>
              <w:br/>
              <w:t>12.50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t>  5.05</w:t>
            </w:r>
          </w:p>
          <w:p>
            <w:pPr>
              <w:pStyle w:val="yTableNAm"/>
              <w:tabs>
                <w:tab w:val="clear" w:pos="567"/>
              </w:tabs>
              <w:ind w:right="204"/>
              <w:jc w:val="right"/>
            </w:pPr>
            <w:r>
              <w:br/>
            </w:r>
            <w:r>
              <w:br/>
            </w:r>
            <w:r>
              <w:br/>
            </w:r>
            <w:r>
              <w:br/>
            </w:r>
            <w:r>
              <w:br/>
              <w:t>12.50</w:t>
            </w:r>
          </w:p>
          <w:p>
            <w:pPr>
              <w:pStyle w:val="yTableNAm"/>
              <w:tabs>
                <w:tab w:val="clear" w:pos="567"/>
              </w:tabs>
              <w:ind w:right="204"/>
              <w:jc w:val="right"/>
            </w:pPr>
            <w:r>
              <w:br/>
            </w:r>
            <w:r>
              <w:br/>
            </w:r>
            <w:r>
              <w:br/>
            </w:r>
            <w:r>
              <w:br/>
              <w:t>1.50</w:t>
            </w:r>
          </w:p>
        </w:tc>
      </w:tr>
    </w:tbl>
    <w:p>
      <w:pPr>
        <w:pStyle w:val="yFootnotesection"/>
      </w:pPr>
      <w:r>
        <w:tab/>
        <w:t>[Division 2 inserted in Gazette 4 Sep 2009 p. 3467-70.]</w:t>
      </w:r>
    </w:p>
    <w:p>
      <w:pPr>
        <w:pStyle w:val="yScheduleHeading"/>
      </w:pPr>
      <w:bookmarkStart w:id="134" w:name="_Toc239758531"/>
      <w:bookmarkStart w:id="135" w:name="_Toc239761855"/>
      <w:bookmarkStart w:id="136" w:name="_Toc244333854"/>
      <w:bookmarkStart w:id="137" w:name="_Toc245873246"/>
      <w:r>
        <w:rPr>
          <w:rStyle w:val="CharSchNo"/>
        </w:rPr>
        <w:t>Schedule 2</w:t>
      </w:r>
      <w:r>
        <w:rPr>
          <w:rStyle w:val="CharSDivNo"/>
        </w:rPr>
        <w:t> </w:t>
      </w:r>
      <w:r>
        <w:t>—</w:t>
      </w:r>
      <w:r>
        <w:rPr>
          <w:rStyle w:val="CharSDivText"/>
        </w:rPr>
        <w:t> </w:t>
      </w:r>
      <w:r>
        <w:rPr>
          <w:rStyle w:val="CharSchText"/>
        </w:rPr>
        <w:t>Sheriff’s fees</w:t>
      </w:r>
      <w:bookmarkEnd w:id="134"/>
      <w:bookmarkEnd w:id="135"/>
      <w:bookmarkEnd w:id="136"/>
      <w:bookmarkEnd w:id="13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81.50</w:t>
            </w:r>
          </w:p>
          <w:p>
            <w:pPr>
              <w:pStyle w:val="yTableNAm"/>
              <w:tabs>
                <w:tab w:val="clear" w:pos="567"/>
              </w:tabs>
              <w:spacing w:before="80"/>
              <w:ind w:right="241"/>
              <w:jc w:val="right"/>
            </w:pPr>
            <w:r>
              <w:br/>
            </w:r>
            <w:r>
              <w:br/>
              <w:t>81.50</w:t>
            </w:r>
          </w:p>
          <w:p>
            <w:pPr>
              <w:pStyle w:val="yTableNAm"/>
              <w:tabs>
                <w:tab w:val="clear" w:pos="567"/>
              </w:tabs>
              <w:spacing w:before="80"/>
              <w:ind w:right="241"/>
              <w:jc w:val="right"/>
            </w:pPr>
            <w:r>
              <w:br/>
            </w:r>
            <w:r>
              <w:br/>
            </w:r>
            <w:r>
              <w:br/>
            </w:r>
            <w:r>
              <w:br/>
              <w:t>21.50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44.50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138.50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p>
    <w:p>
      <w:pPr>
        <w:pStyle w:val="yScheduleHeading"/>
      </w:pPr>
      <w:bookmarkStart w:id="138" w:name="_Toc239758532"/>
      <w:bookmarkStart w:id="139" w:name="_Toc239761856"/>
      <w:bookmarkStart w:id="140" w:name="_Toc244333855"/>
      <w:bookmarkStart w:id="141" w:name="_Toc245873247"/>
      <w:r>
        <w:rPr>
          <w:rStyle w:val="CharSchNo"/>
        </w:rPr>
        <w:t>Schedule 3</w:t>
      </w:r>
      <w:r>
        <w:t> — </w:t>
      </w:r>
      <w:r>
        <w:rPr>
          <w:rStyle w:val="CharSchText"/>
        </w:rPr>
        <w:t>Probate fees</w:t>
      </w:r>
      <w:bookmarkEnd w:id="138"/>
      <w:bookmarkEnd w:id="139"/>
      <w:bookmarkEnd w:id="140"/>
      <w:bookmarkEnd w:id="141"/>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64.00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26.00</w:t>
            </w:r>
          </w:p>
        </w:tc>
      </w:tr>
    </w:tbl>
    <w:p>
      <w:pPr>
        <w:pStyle w:val="yFootnotesection"/>
      </w:pPr>
      <w:r>
        <w:tab/>
        <w:t>[Schedule 3 inserted in Gazette 4 Sep 2009 p. 3471-2.]</w:t>
      </w:r>
    </w:p>
    <w:p>
      <w:pPr>
        <w:pStyle w:val="yScheduleHeading"/>
      </w:pPr>
      <w:bookmarkStart w:id="142" w:name="_Toc244333856"/>
      <w:bookmarkStart w:id="143" w:name="_Toc245873248"/>
      <w:r>
        <w:rPr>
          <w:rStyle w:val="CharSchNo"/>
        </w:rPr>
        <w:t>Schedule 4</w:t>
      </w:r>
      <w:r>
        <w:t xml:space="preserve"> — </w:t>
      </w:r>
      <w:r>
        <w:rPr>
          <w:rStyle w:val="CharSchText"/>
        </w:rPr>
        <w:t>Forms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42"/>
      <w:bookmarkEnd w:id="143"/>
    </w:p>
    <w:p>
      <w:pPr>
        <w:pStyle w:val="yShoulderClause"/>
        <w:spacing w:after="120"/>
      </w:pPr>
      <w:r>
        <w:t xml:space="preserve">[r. </w:t>
      </w:r>
      <w:bookmarkStart w:id="144" w:name="_Hlt533327436"/>
      <w:r>
        <w:t>4(7)</w:t>
      </w:r>
      <w:bookmarkEnd w:id="144"/>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pStyle w:val="yFootnotesection"/>
        <w:tabs>
          <w:tab w:val="left" w:pos="1310"/>
        </w:tabs>
        <w:spacing w:before="60"/>
        <w:ind w:left="0" w:firstLine="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5" w:name="_Toc102891015"/>
      <w:bookmarkStart w:id="146" w:name="_Toc107626250"/>
      <w:bookmarkStart w:id="147" w:name="_Toc139175210"/>
      <w:bookmarkStart w:id="148" w:name="_Toc139365941"/>
      <w:bookmarkStart w:id="149" w:name="_Toc141847812"/>
      <w:bookmarkStart w:id="150" w:name="_Toc142382646"/>
      <w:bookmarkStart w:id="151" w:name="_Toc144009329"/>
      <w:bookmarkStart w:id="152" w:name="_Toc144009445"/>
      <w:bookmarkStart w:id="153" w:name="_Toc144010743"/>
      <w:bookmarkStart w:id="154" w:name="_Toc144616507"/>
      <w:bookmarkStart w:id="155" w:name="_Toc145814170"/>
      <w:bookmarkStart w:id="156" w:name="_Toc170790396"/>
      <w:bookmarkStart w:id="157" w:name="_Toc171051026"/>
      <w:bookmarkStart w:id="158" w:name="_Toc202265392"/>
      <w:bookmarkStart w:id="159" w:name="_Toc232310904"/>
      <w:bookmarkStart w:id="160" w:name="_Toc233086413"/>
      <w:bookmarkStart w:id="161" w:name="_Toc233519306"/>
      <w:bookmarkStart w:id="162" w:name="_Toc233526465"/>
      <w:bookmarkStart w:id="163" w:name="_Toc244333857"/>
      <w:bookmarkStart w:id="164" w:name="_Toc245873249"/>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reprint is a compilation as at 13 November 2009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65" w:name="_Toc245873250"/>
      <w:r>
        <w:t>Compilation table</w:t>
      </w:r>
      <w:bookmarkEnd w:id="16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Borders>
              <w:bottom w:val="single" w:sz="8" w:space="0" w:color="auto"/>
            </w:tcBorders>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bl>
    <w:p>
      <w:pPr>
        <w:sectPr>
          <w:headerReference w:type="even" r:id="rId31"/>
          <w:headerReference w:type="default" r:id="rId32"/>
          <w:pgSz w:w="11906" w:h="16838" w:code="9"/>
          <w:pgMar w:top="2376" w:right="2404" w:bottom="3544" w:left="2404" w:header="720" w:footer="3380" w:gutter="0"/>
          <w:cols w:space="720"/>
          <w:noEndnote/>
          <w:docGrid w:linePitch="326"/>
        </w:sectPr>
      </w:pPr>
    </w:p>
    <w:p/>
    <w:p>
      <w:pPr>
        <w:pStyle w:val="nHeading2"/>
        <w:rPr>
          <w:sz w:val="28"/>
        </w:rPr>
      </w:pPr>
      <w:bookmarkStart w:id="166" w:name="_Toc233526467"/>
      <w:bookmarkStart w:id="167" w:name="_Toc244333859"/>
      <w:bookmarkStart w:id="168" w:name="_Toc245873251"/>
      <w:r>
        <w:rPr>
          <w:sz w:val="28"/>
        </w:rPr>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Pr>
        <w:pStyle w:val="DefinedTerms"/>
      </w:pPr>
    </w:p>
    <w:p/>
    <w:p/>
    <w:p/>
    <w:p/>
    <w:p/>
    <w:p/>
    <w:p/>
    <w:p/>
    <w:p/>
    <w:p/>
    <w:p/>
    <w:p/>
    <w:p/>
    <w:p/>
    <w:p/>
    <w:p>
      <w:bookmarkStart w:id="170" w:name="UpToHere"/>
      <w:bookmarkEnd w:id="170"/>
    </w:p>
    <w:p/>
    <w:p/>
    <w:p/>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7" w:nlCheck="1" w:checkStyle="1"/>
  <w:activeWritingStyle w:appName="MSWord" w:lang="en-US"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39"/>
    <w:docVar w:name="WAFER_20151210160639" w:val="RemoveTrackChanges"/>
    <w:docVar w:name="WAFER_20151210160639_GUID" w:val="1d9c1044-790e-432b-86cd-fc0a3ec0f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7833</Words>
  <Characters>40105</Characters>
  <Application>Microsoft Office Word</Application>
  <DocSecurity>0</DocSecurity>
  <Lines>1909</Lines>
  <Paragraphs>958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46980</CharactersWithSpaces>
  <SharedDoc>false</SharedDoc>
  <HLinks>
    <vt:vector size="18" baseType="variant">
      <vt:variant>
        <vt:i4>3014716</vt:i4>
      </vt:variant>
      <vt:variant>
        <vt:i4>2749</vt:i4>
      </vt:variant>
      <vt:variant>
        <vt:i4>1025</vt:i4>
      </vt:variant>
      <vt:variant>
        <vt:i4>1</vt:i4>
      </vt:variant>
      <vt:variant>
        <vt:lpwstr>C:\Program Files\PCO DLL\Support\Crest.wpg</vt:lpwstr>
      </vt:variant>
      <vt:variant>
        <vt:lpwstr/>
      </vt:variant>
      <vt:variant>
        <vt:i4>5439608</vt:i4>
      </vt:variant>
      <vt:variant>
        <vt:i4>46976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2002 - 02-a0-02</dc:title>
  <dc:subject/>
  <dc:creator/>
  <cp:keywords/>
  <dc:description/>
  <cp:lastModifiedBy>svcMRProcess</cp:lastModifiedBy>
  <cp:revision>4</cp:revision>
  <cp:lastPrinted>2009-11-13T03:17:00Z</cp:lastPrinted>
  <dcterms:created xsi:type="dcterms:W3CDTF">2018-09-16T21:41:00Z</dcterms:created>
  <dcterms:modified xsi:type="dcterms:W3CDTF">2018-09-16T21:41:00Z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20091113</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13 Nov 2009</vt:lpwstr>
  </property>
  <property fmtid="{D5CDD505-2E9C-101B-9397-08002B2CF9AE}" pid="8" name="Suffix">
    <vt:lpwstr>02-a0-02</vt:lpwstr>
  </property>
</Properties>
</file>