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(Consequential and Transitional Provisions)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(Consequential and Transitional Provisions)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_Toc424284041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_Toc424284042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_Toc424284043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Repeal and amendment of legislation</w:t>
      </w:r>
    </w:p>
    <w:p>
      <w:pPr>
        <w:pStyle w:val="TOC4"/>
        <w:tabs>
          <w:tab w:val="right" w:leader="dot" w:pos="7077"/>
        </w:tabs>
        <w:rPr>
          <w:rFonts w:asciiTheme="minorHAnsi" w:eastAsiaTheme="minorEastAsia" w:hAnsiTheme="minorHAnsi" w:cstheme="minorBidi"/>
          <w:b w:val="0"/>
          <w:szCs w:val="22"/>
        </w:rPr>
      </w:pPr>
      <w:r>
        <w:t>Division 4 — Miscellaneous amendments</w:t>
      </w:r>
    </w:p>
    <w:p>
      <w:pPr>
        <w:pStyle w:val="TOC8"/>
        <w:rPr>
          <w:rFonts w:asciiTheme="minorHAnsi" w:eastAsiaTheme="minorEastAsia" w:hAnsiTheme="minorHAnsi" w:cstheme="minorBidi"/>
          <w:szCs w:val="22"/>
        </w:rPr>
      </w:pPr>
      <w:r>
        <w:t>15.</w:t>
      </w:r>
      <w:r>
        <w:tab/>
        <w:t>Acts in Schedule 2 amended</w:t>
      </w:r>
      <w:r>
        <w:tab/>
      </w:r>
      <w:r>
        <w:fldChar w:fldCharType="begin"/>
      </w:r>
      <w:r>
        <w:instrText xml:space="preserve"> PAGEREF _Toc424284046 \h </w:instrText>
      </w:r>
      <w:r>
        <w:fldChar w:fldCharType="separate"/>
      </w:r>
      <w:r>
        <w:t>3</w:t>
      </w:r>
      <w:r>
        <w:fldChar w:fldCharType="end"/>
      </w:r>
    </w:p>
    <w:p>
      <w:pPr>
        <w:pStyle w:val="TOC8"/>
        <w:rPr>
          <w:rFonts w:asciiTheme="minorHAnsi" w:eastAsiaTheme="minorEastAsia" w:hAnsiTheme="minorHAnsi" w:cstheme="minorBidi"/>
          <w:szCs w:val="22"/>
        </w:rPr>
      </w:pPr>
      <w:r>
        <w:t>16.</w:t>
      </w:r>
      <w:r>
        <w:tab/>
        <w:t>Power to amend regulations</w:t>
      </w:r>
      <w:r>
        <w:tab/>
      </w:r>
      <w:r>
        <w:fldChar w:fldCharType="begin"/>
      </w:r>
      <w:r>
        <w:instrText xml:space="preserve"> PAGEREF _Toc424284047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and saving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 xml:space="preserve">Application of </w:t>
      </w:r>
      <w:r>
        <w:rPr>
          <w:i/>
        </w:rPr>
        <w:t>Interpretation Act 1984</w:t>
      </w:r>
      <w:r>
        <w:tab/>
      </w:r>
      <w:r>
        <w:fldChar w:fldCharType="begin"/>
      </w:r>
      <w:r>
        <w:instrText xml:space="preserve"> PAGEREF _Toc424284050 \h </w:instrText>
      </w:r>
      <w:r>
        <w:fldChar w:fldCharType="separate"/>
      </w:r>
      <w:r>
        <w:t>4</w:t>
      </w:r>
      <w:r>
        <w:fldChar w:fldCharType="end"/>
      </w:r>
    </w:p>
    <w:p>
      <w:pPr>
        <w:pStyle w:val="TOC8"/>
        <w:rPr>
          <w:rFonts w:asciiTheme="minorHAnsi" w:eastAsiaTheme="minorEastAsia" w:hAnsiTheme="minorHAnsi" w:cstheme="minorBidi"/>
          <w:szCs w:val="22"/>
        </w:rPr>
      </w:pPr>
      <w:r>
        <w:t>18.</w:t>
      </w:r>
      <w:r>
        <w:tab/>
        <w:t>Transitional regulations</w:t>
      </w:r>
      <w:r>
        <w:tab/>
      </w:r>
      <w:r>
        <w:fldChar w:fldCharType="begin"/>
      </w:r>
      <w:r>
        <w:instrText xml:space="preserve"> PAGEREF _Toc424284051 \h </w:instrText>
      </w:r>
      <w:r>
        <w:fldChar w:fldCharType="separate"/>
      </w:r>
      <w:r>
        <w:t>4</w:t>
      </w:r>
      <w:r>
        <w:fldChar w:fldCharType="end"/>
      </w:r>
    </w:p>
    <w:p>
      <w:pPr>
        <w:pStyle w:val="TOC8"/>
        <w:rPr>
          <w:rFonts w:asciiTheme="minorHAnsi" w:eastAsiaTheme="minorEastAsia" w:hAnsiTheme="minorHAnsi" w:cstheme="minorBidi"/>
          <w:szCs w:val="22"/>
        </w:rPr>
      </w:pPr>
      <w:r>
        <w:t>19.</w:t>
      </w:r>
      <w:r>
        <w:tab/>
        <w:t>Construction of references in written laws</w:t>
      </w:r>
      <w:r>
        <w:tab/>
      </w:r>
      <w:r>
        <w:fldChar w:fldCharType="begin"/>
      </w:r>
      <w:r>
        <w:instrText xml:space="preserve"> PAGEREF _Toc424284052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Continuation of various bodies, memberships and appointments</w:t>
      </w:r>
    </w:p>
    <w:p>
      <w:pPr>
        <w:pStyle w:val="TOC8"/>
        <w:rPr>
          <w:rFonts w:asciiTheme="minorHAnsi" w:eastAsiaTheme="minorEastAsia" w:hAnsiTheme="minorHAnsi" w:cstheme="minorBidi"/>
          <w:szCs w:val="22"/>
        </w:rPr>
      </w:pPr>
      <w:r>
        <w:t>20.</w:t>
      </w:r>
      <w:r>
        <w:tab/>
        <w:t>WAPC continues</w:t>
      </w:r>
      <w:r>
        <w:tab/>
      </w:r>
      <w:r>
        <w:fldChar w:fldCharType="begin"/>
      </w:r>
      <w:r>
        <w:instrText xml:space="preserve"> PAGEREF _Toc424284054 \h </w:instrText>
      </w:r>
      <w:r>
        <w:fldChar w:fldCharType="separate"/>
      </w:r>
      <w:r>
        <w:t>6</w:t>
      </w:r>
      <w:r>
        <w:fldChar w:fldCharType="end"/>
      </w:r>
    </w:p>
    <w:p>
      <w:pPr>
        <w:pStyle w:val="TOC8"/>
        <w:rPr>
          <w:rFonts w:asciiTheme="minorHAnsi" w:eastAsiaTheme="minorEastAsia" w:hAnsiTheme="minorHAnsi" w:cstheme="minorBidi"/>
          <w:szCs w:val="22"/>
        </w:rPr>
      </w:pPr>
      <w:r>
        <w:t>21.</w:t>
      </w:r>
      <w:r>
        <w:tab/>
        <w:t>Membership of Commission</w:t>
      </w:r>
      <w:r>
        <w:tab/>
      </w:r>
      <w:r>
        <w:fldChar w:fldCharType="begin"/>
      </w:r>
      <w:r>
        <w:instrText xml:space="preserve"> PAGEREF _Toc424284055 \h </w:instrText>
      </w:r>
      <w:r>
        <w:fldChar w:fldCharType="separate"/>
      </w:r>
      <w:r>
        <w:t>6</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_Toc424284056 \h </w:instrText>
      </w:r>
      <w:r>
        <w:fldChar w:fldCharType="separate"/>
      </w:r>
      <w:r>
        <w:t>7</w:t>
      </w:r>
      <w:r>
        <w:fldChar w:fldCharType="end"/>
      </w:r>
    </w:p>
    <w:p>
      <w:pPr>
        <w:pStyle w:val="TOC8"/>
        <w:rPr>
          <w:rFonts w:asciiTheme="minorHAnsi" w:eastAsiaTheme="minorEastAsia" w:hAnsiTheme="minorHAnsi" w:cstheme="minorBidi"/>
          <w:szCs w:val="22"/>
        </w:rPr>
      </w:pPr>
      <w:r>
        <w:t>23.</w:t>
      </w:r>
      <w:r>
        <w:tab/>
        <w:t>Committees</w:t>
      </w:r>
      <w:r>
        <w:tab/>
      </w:r>
      <w:r>
        <w:fldChar w:fldCharType="begin"/>
      </w:r>
      <w:r>
        <w:instrText xml:space="preserve"> PAGEREF _Toc424284057 \h </w:instrText>
      </w:r>
      <w:r>
        <w:fldChar w:fldCharType="separate"/>
      </w:r>
      <w:r>
        <w:t>8</w:t>
      </w:r>
      <w:r>
        <w:fldChar w:fldCharType="end"/>
      </w:r>
    </w:p>
    <w:p>
      <w:pPr>
        <w:pStyle w:val="TOC8"/>
        <w:rPr>
          <w:rFonts w:asciiTheme="minorHAnsi" w:eastAsiaTheme="minorEastAsia" w:hAnsiTheme="minorHAnsi" w:cstheme="minorBidi"/>
          <w:szCs w:val="22"/>
        </w:rPr>
      </w:pPr>
      <w:r>
        <w:t>24.</w:t>
      </w:r>
      <w:r>
        <w:tab/>
        <w:t>Board of Valuers</w:t>
      </w:r>
      <w:r>
        <w:tab/>
      </w:r>
      <w:r>
        <w:fldChar w:fldCharType="begin"/>
      </w:r>
      <w:r>
        <w:instrText xml:space="preserve"> PAGEREF _Toc424284058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8"/>
        <w:rPr>
          <w:rFonts w:asciiTheme="minorHAnsi" w:eastAsiaTheme="minorEastAsia" w:hAnsiTheme="minorHAnsi" w:cstheme="minorBidi"/>
          <w:szCs w:val="22"/>
        </w:rPr>
      </w:pPr>
      <w:r>
        <w:t>25.</w:t>
      </w:r>
      <w:r>
        <w:tab/>
        <w:t>Subsidiary legislation and fees</w:t>
      </w:r>
      <w:r>
        <w:tab/>
      </w:r>
      <w:r>
        <w:fldChar w:fldCharType="begin"/>
      </w:r>
      <w:r>
        <w:instrText xml:space="preserve"> PAGEREF _Toc424284060 \h </w:instrText>
      </w:r>
      <w:r>
        <w:fldChar w:fldCharType="separate"/>
      </w:r>
      <w:r>
        <w:t>10</w:t>
      </w:r>
      <w:r>
        <w:fldChar w:fldCharType="end"/>
      </w:r>
    </w:p>
    <w:p>
      <w:pPr>
        <w:pStyle w:val="TOC8"/>
        <w:rPr>
          <w:rFonts w:asciiTheme="minorHAnsi" w:eastAsiaTheme="minorEastAsia" w:hAnsiTheme="minorHAnsi" w:cstheme="minorBidi"/>
          <w:szCs w:val="22"/>
        </w:rPr>
      </w:pPr>
      <w:r>
        <w:t>26.</w:t>
      </w:r>
      <w:r>
        <w:tab/>
        <w:t>Planning schemes in course of preparation</w:t>
      </w:r>
      <w:r>
        <w:tab/>
      </w:r>
      <w:r>
        <w:fldChar w:fldCharType="begin"/>
      </w:r>
      <w:r>
        <w:instrText xml:space="preserve"> PAGEREF _Toc424284061 \h </w:instrText>
      </w:r>
      <w:r>
        <w:fldChar w:fldCharType="separate"/>
      </w:r>
      <w:r>
        <w:t>10</w:t>
      </w:r>
      <w:r>
        <w:fldChar w:fldCharType="end"/>
      </w:r>
    </w:p>
    <w:p>
      <w:pPr>
        <w:pStyle w:val="TOC8"/>
        <w:rPr>
          <w:rFonts w:asciiTheme="minorHAnsi" w:eastAsiaTheme="minorEastAsia" w:hAnsiTheme="minorHAnsi" w:cstheme="minorBidi"/>
          <w:szCs w:val="22"/>
        </w:rPr>
      </w:pPr>
      <w:r>
        <w:t>27.</w:t>
      </w:r>
      <w:r>
        <w:tab/>
        <w:t>Caveats</w:t>
      </w:r>
      <w:r>
        <w:tab/>
      </w:r>
      <w:r>
        <w:fldChar w:fldCharType="begin"/>
      </w:r>
      <w:r>
        <w:instrText xml:space="preserve"> PAGEREF _Toc424284062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Other savings</w:t>
      </w:r>
    </w:p>
    <w:p>
      <w:pPr>
        <w:pStyle w:val="TOC8"/>
        <w:rPr>
          <w:rFonts w:asciiTheme="minorHAnsi" w:eastAsiaTheme="minorEastAsia" w:hAnsiTheme="minorHAnsi" w:cstheme="minorBidi"/>
          <w:szCs w:val="22"/>
        </w:rPr>
      </w:pPr>
      <w:r>
        <w:t>28.</w:t>
      </w:r>
      <w:r>
        <w:tab/>
        <w:t>Section 9(4) and (5) TPD Act</w:t>
      </w:r>
      <w:r>
        <w:tab/>
      </w:r>
      <w:r>
        <w:fldChar w:fldCharType="begin"/>
      </w:r>
      <w:r>
        <w:instrText xml:space="preserve"> PAGEREF _Toc424284064 \h </w:instrText>
      </w:r>
      <w:r>
        <w:fldChar w:fldCharType="separate"/>
      </w:r>
      <w:r>
        <w:t>11</w:t>
      </w:r>
      <w:r>
        <w:fldChar w:fldCharType="end"/>
      </w:r>
    </w:p>
    <w:p>
      <w:pPr>
        <w:pStyle w:val="TOC8"/>
        <w:rPr>
          <w:rFonts w:asciiTheme="minorHAnsi" w:eastAsiaTheme="minorEastAsia" w:hAnsiTheme="minorHAnsi" w:cstheme="minorBidi"/>
          <w:szCs w:val="22"/>
        </w:rPr>
      </w:pPr>
      <w:r>
        <w:t>29.</w:t>
      </w:r>
      <w:r>
        <w:tab/>
        <w:t>Section 28A(5) TPD Act</w:t>
      </w:r>
      <w:r>
        <w:tab/>
      </w:r>
      <w:r>
        <w:fldChar w:fldCharType="begin"/>
      </w:r>
      <w:r>
        <w:instrText xml:space="preserve"> PAGEREF _Toc424284065 \h </w:instrText>
      </w:r>
      <w:r>
        <w:fldChar w:fldCharType="separate"/>
      </w:r>
      <w:r>
        <w:t>11</w:t>
      </w:r>
      <w:r>
        <w:fldChar w:fldCharType="end"/>
      </w:r>
    </w:p>
    <w:p>
      <w:pPr>
        <w:pStyle w:val="TOC8"/>
        <w:rPr>
          <w:rFonts w:asciiTheme="minorHAnsi" w:eastAsiaTheme="minorEastAsia" w:hAnsiTheme="minorHAnsi" w:cstheme="minorBidi"/>
          <w:szCs w:val="22"/>
        </w:rPr>
      </w:pPr>
      <w:r>
        <w:t>30.</w:t>
      </w:r>
      <w:r>
        <w:tab/>
        <w:t>Section 37A(4a) MRTPS Act</w:t>
      </w:r>
      <w:r>
        <w:tab/>
      </w:r>
      <w:r>
        <w:fldChar w:fldCharType="begin"/>
      </w:r>
      <w:r>
        <w:instrText xml:space="preserve"> PAGEREF _Toc424284066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Validation provision</w:t>
      </w:r>
    </w:p>
    <w:p>
      <w:pPr>
        <w:pStyle w:val="TOC8"/>
        <w:rPr>
          <w:rFonts w:asciiTheme="minorHAnsi" w:eastAsiaTheme="minorEastAsia" w:hAnsiTheme="minorHAnsi" w:cstheme="minorBidi"/>
          <w:szCs w:val="22"/>
        </w:rPr>
      </w:pPr>
      <w:r>
        <w:t>31.</w:t>
      </w:r>
      <w:r>
        <w:tab/>
        <w:t>Validation of certain endorsed approvals</w:t>
      </w:r>
      <w:r>
        <w:tab/>
      </w:r>
      <w:r>
        <w:fldChar w:fldCharType="begin"/>
      </w:r>
      <w:r>
        <w:instrText xml:space="preserve"> PAGEREF _Toc424284068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_Toc424284070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Planning and Development (Consequential and Transitional Provisions) Act 2005</w:t>
      </w:r>
    </w:p>
    <w:p>
      <w:pPr>
        <w:pStyle w:val="LongTitle"/>
        <w:suppressLineNumbers/>
        <w:rPr>
          <w:snapToGrid w:val="0"/>
        </w:rPr>
      </w:pPr>
      <w:r>
        <w:rPr>
          <w:snapToGrid w:val="0"/>
        </w:rPr>
        <w:t xml:space="preserve">An Act — </w:t>
      </w:r>
    </w:p>
    <w:p>
      <w:pPr>
        <w:pStyle w:val="LongTitle"/>
        <w:numPr>
          <w:ilvl w:val="0"/>
          <w:numId w:val="1"/>
        </w:numPr>
        <w:suppressLineNumbers/>
        <w:tabs>
          <w:tab w:val="left" w:pos="567"/>
        </w:tabs>
        <w:ind w:left="426"/>
        <w:rPr>
          <w:snapToGrid w:val="0"/>
        </w:rPr>
      </w:pPr>
      <w:r>
        <w:rPr>
          <w:snapToGrid w:val="0"/>
        </w:rPr>
        <w:t xml:space="preserve">to repeal the following Acts — </w:t>
      </w:r>
    </w:p>
    <w:p>
      <w:pPr>
        <w:pStyle w:val="LongTitle"/>
        <w:suppressLineNumbers/>
        <w:tabs>
          <w:tab w:val="num" w:pos="851"/>
        </w:tabs>
        <w:ind w:left="426" w:firstLine="283"/>
        <w:rPr>
          <w:snapToGrid w:val="0"/>
        </w:rPr>
      </w:pPr>
      <w:r>
        <w:rPr>
          <w:i/>
          <w:snapToGrid w:val="0"/>
        </w:rPr>
        <w:t>Metropolitan Region Town Planning Scheme Act 1959</w:t>
      </w:r>
      <w:r>
        <w:rPr>
          <w:snapToGrid w:val="0"/>
        </w:rPr>
        <w:t>;</w:t>
      </w:r>
    </w:p>
    <w:p>
      <w:pPr>
        <w:pStyle w:val="LongTitle"/>
        <w:suppressLineNumbers/>
        <w:tabs>
          <w:tab w:val="num" w:pos="851"/>
        </w:tabs>
        <w:ind w:left="426" w:firstLine="283"/>
        <w:rPr>
          <w:snapToGrid w:val="0"/>
        </w:rPr>
      </w:pPr>
      <w:r>
        <w:rPr>
          <w:i/>
          <w:snapToGrid w:val="0"/>
        </w:rPr>
        <w:t>Town Planning and Development Act 1928</w:t>
      </w:r>
      <w:r>
        <w:rPr>
          <w:snapToGrid w:val="0"/>
        </w:rPr>
        <w:t>;</w:t>
      </w:r>
    </w:p>
    <w:p>
      <w:pPr>
        <w:pStyle w:val="LongTitle"/>
        <w:suppressLineNumbers/>
        <w:tabs>
          <w:tab w:val="num" w:pos="851"/>
        </w:tabs>
        <w:ind w:left="426" w:firstLine="283"/>
        <w:rPr>
          <w:snapToGrid w:val="0"/>
        </w:rPr>
      </w:pPr>
      <w:r>
        <w:rPr>
          <w:i/>
          <w:snapToGrid w:val="0"/>
        </w:rPr>
        <w:t>Western Australian Planning Commission Act 1985</w:t>
      </w:r>
      <w:r>
        <w:rPr>
          <w:snapToGrid w:val="0"/>
        </w:rPr>
        <w:t>;</w:t>
      </w:r>
    </w:p>
    <w:p>
      <w:pPr>
        <w:pStyle w:val="LongTitle"/>
        <w:numPr>
          <w:ilvl w:val="0"/>
          <w:numId w:val="1"/>
        </w:numPr>
        <w:suppressLineNumbers/>
        <w:tabs>
          <w:tab w:val="left" w:pos="567"/>
        </w:tabs>
        <w:ind w:left="426"/>
        <w:rPr>
          <w:snapToGrid w:val="0"/>
        </w:rPr>
      </w:pPr>
      <w:r>
        <w:rPr>
          <w:snapToGrid w:val="0"/>
        </w:rPr>
        <w:t>to amend certain other Acts; and</w:t>
      </w:r>
    </w:p>
    <w:p>
      <w:pPr>
        <w:pStyle w:val="LongTitle"/>
        <w:numPr>
          <w:ilvl w:val="0"/>
          <w:numId w:val="1"/>
        </w:numPr>
        <w:suppressLineNumbers/>
        <w:tabs>
          <w:tab w:val="left" w:pos="567"/>
        </w:tabs>
        <w:ind w:left="426"/>
        <w:rPr>
          <w:snapToGrid w:val="0"/>
        </w:rPr>
      </w:pPr>
      <w:r>
        <w:rPr>
          <w:snapToGrid w:val="0"/>
        </w:rPr>
        <w:t xml:space="preserve">for purposes relating to those repeals and amendments and to the enactment of the </w:t>
      </w:r>
      <w:r>
        <w:rPr>
          <w:i/>
          <w:snapToGrid w:val="0"/>
        </w:rPr>
        <w:t>Planning and Development Act 2005</w:t>
      </w:r>
      <w:r>
        <w:rPr>
          <w:snapToGrid w:val="0"/>
        </w:rPr>
        <w:t>.</w:t>
      </w:r>
    </w:p>
    <w:p>
      <w:pPr>
        <w:pStyle w:val="Enactment"/>
      </w:pPr>
      <w:r>
        <w:t>The Parliament of Western Australia enacts as follows:</w:t>
      </w:r>
    </w:p>
    <w:p>
      <w:pPr>
        <w:pStyle w:val="Heading2"/>
      </w:pPr>
      <w:bookmarkStart w:id="3" w:name="_Toc378254811"/>
      <w:bookmarkStart w:id="4" w:name="_Toc424284040"/>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8254812"/>
      <w:bookmarkStart w:id="6" w:name="_Toc424284041"/>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Planning and Development (Consequential and Transitional Provisions) Act 2005</w:t>
      </w:r>
      <w:r>
        <w:rPr>
          <w:snapToGrid w:val="0"/>
        </w:rPr>
        <w:t xml:space="preserve">. </w:t>
      </w:r>
    </w:p>
    <w:p>
      <w:pPr>
        <w:pStyle w:val="Heading5"/>
        <w:rPr>
          <w:snapToGrid w:val="0"/>
        </w:rPr>
      </w:pPr>
      <w:bookmarkStart w:id="7" w:name="_Toc378254813"/>
      <w:bookmarkStart w:id="8" w:name="_Toc424284042"/>
      <w:r>
        <w:rPr>
          <w:rStyle w:val="CharSectno"/>
        </w:rPr>
        <w:t>2</w:t>
      </w:r>
      <w:r>
        <w:rPr>
          <w:snapToGrid w:val="0"/>
        </w:rPr>
        <w:t>.</w:t>
      </w:r>
      <w:r>
        <w:rPr>
          <w:snapToGrid w:val="0"/>
        </w:rPr>
        <w:tab/>
        <w:t>Commencement</w:t>
      </w:r>
      <w:bookmarkEnd w:id="7"/>
      <w:bookmarkEnd w:id="8"/>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9" w:name="_Toc378254814"/>
      <w:bookmarkStart w:id="10" w:name="_Toc424284043"/>
      <w:r>
        <w:rPr>
          <w:rStyle w:val="CharSectno"/>
        </w:rPr>
        <w:t>3</w:t>
      </w:r>
      <w:r>
        <w:t>.</w:t>
      </w:r>
      <w:r>
        <w:tab/>
        <w:t>Interpretation</w:t>
      </w:r>
      <w:bookmarkEnd w:id="9"/>
      <w:bookmarkEnd w:id="10"/>
    </w:p>
    <w:p>
      <w:pPr>
        <w:pStyle w:val="Subsection"/>
      </w:pPr>
      <w:r>
        <w:tab/>
      </w:r>
      <w:r>
        <w:tab/>
        <w:t xml:space="preserve">In this Act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existing Commission</w:t>
      </w:r>
      <w:r>
        <w:t xml:space="preserve"> means the Commission established under the WAPC Act;</w:t>
      </w:r>
    </w:p>
    <w:p>
      <w:pPr>
        <w:pStyle w:val="Defstart"/>
      </w:pPr>
      <w:r>
        <w:tab/>
      </w:r>
      <w:r>
        <w:rPr>
          <w:rStyle w:val="CharDefText"/>
        </w:rPr>
        <w:t>MRTPS Act</w:t>
      </w:r>
      <w:r>
        <w:t xml:space="preserve"> means the </w:t>
      </w:r>
      <w:r>
        <w:rPr>
          <w:i/>
        </w:rPr>
        <w:t>Metropolitan Region Town Planning Scheme Act 1959</w:t>
      </w:r>
      <w:r>
        <w:t>;</w:t>
      </w:r>
    </w:p>
    <w:p>
      <w:pPr>
        <w:pStyle w:val="Defstart"/>
      </w:pPr>
      <w:r>
        <w:tab/>
      </w:r>
      <w:r>
        <w:rPr>
          <w:rStyle w:val="CharDefText"/>
        </w:rPr>
        <w:t>PD Act</w:t>
      </w:r>
      <w:r>
        <w:t xml:space="preserve"> means the </w:t>
      </w:r>
      <w:r>
        <w:rPr>
          <w:i/>
        </w:rPr>
        <w:t>Planning and Development Act 2005</w:t>
      </w:r>
      <w:r>
        <w:t>;</w:t>
      </w:r>
    </w:p>
    <w:p>
      <w:pPr>
        <w:pStyle w:val="Defstart"/>
      </w:pPr>
      <w:r>
        <w:tab/>
      </w:r>
      <w:r>
        <w:rPr>
          <w:rStyle w:val="CharDefText"/>
        </w:rPr>
        <w:t>TPD Act</w:t>
      </w:r>
      <w:r>
        <w:t xml:space="preserve"> means the </w:t>
      </w:r>
      <w:r>
        <w:rPr>
          <w:i/>
        </w:rPr>
        <w:t>Town Planning and Development Act 1928</w:t>
      </w:r>
      <w:r>
        <w:t>;</w:t>
      </w:r>
    </w:p>
    <w:p>
      <w:pPr>
        <w:pStyle w:val="Defstart"/>
      </w:pPr>
      <w:r>
        <w:tab/>
      </w:r>
      <w:r>
        <w:rPr>
          <w:rStyle w:val="CharDefText"/>
        </w:rPr>
        <w:t>WAPC Act</w:t>
      </w:r>
      <w:r>
        <w:t xml:space="preserve"> means the </w:t>
      </w:r>
      <w:r>
        <w:rPr>
          <w:i/>
        </w:rPr>
        <w:t>Western Australian Planning Commission Act 1985</w:t>
      </w:r>
      <w:r>
        <w:t>.</w:t>
      </w:r>
    </w:p>
    <w:p>
      <w:pPr>
        <w:pStyle w:val="Heading2"/>
        <w:rPr>
          <w:rStyle w:val="CharPartText"/>
        </w:rPr>
      </w:pPr>
      <w:bookmarkStart w:id="11" w:name="_Toc378254815"/>
      <w:bookmarkStart w:id="12" w:name="_Toc424284044"/>
      <w:r>
        <w:rPr>
          <w:rStyle w:val="CharPartNo"/>
        </w:rPr>
        <w:t>Part 2</w:t>
      </w:r>
      <w:r>
        <w:t xml:space="preserve"> — </w:t>
      </w:r>
      <w:r>
        <w:rPr>
          <w:rStyle w:val="CharPartText"/>
        </w:rPr>
        <w:t>Repeal and amendment of legislation</w:t>
      </w:r>
      <w:bookmarkEnd w:id="11"/>
      <w:bookmarkEnd w:id="12"/>
    </w:p>
    <w:p>
      <w:pPr>
        <w:pStyle w:val="Ednotedivision"/>
      </w:pPr>
      <w:r>
        <w:t>[Divisions 1-3 (s. 4-14) —  Consequential amendments omitted.]</w:t>
      </w:r>
    </w:p>
    <w:p>
      <w:pPr>
        <w:pStyle w:val="Heading3"/>
      </w:pPr>
      <w:bookmarkStart w:id="13" w:name="_Toc378254816"/>
      <w:bookmarkStart w:id="14" w:name="_Toc424284045"/>
      <w:r>
        <w:rPr>
          <w:rStyle w:val="CharDivNo"/>
        </w:rPr>
        <w:t>Division 4</w:t>
      </w:r>
      <w:r>
        <w:t xml:space="preserve"> — </w:t>
      </w:r>
      <w:r>
        <w:rPr>
          <w:rStyle w:val="CharDivText"/>
        </w:rPr>
        <w:t>Miscellaneous amendments</w:t>
      </w:r>
      <w:bookmarkEnd w:id="13"/>
      <w:bookmarkEnd w:id="14"/>
    </w:p>
    <w:p>
      <w:pPr>
        <w:pStyle w:val="Heading5"/>
      </w:pPr>
      <w:bookmarkStart w:id="15" w:name="_Toc378254817"/>
      <w:bookmarkStart w:id="16" w:name="_Toc424284046"/>
      <w:r>
        <w:rPr>
          <w:rStyle w:val="CharSectno"/>
        </w:rPr>
        <w:t>15</w:t>
      </w:r>
      <w:r>
        <w:t>.</w:t>
      </w:r>
      <w:r>
        <w:tab/>
        <w:t>Acts in Schedule 2 amended</w:t>
      </w:r>
      <w:bookmarkEnd w:id="15"/>
      <w:bookmarkEnd w:id="16"/>
    </w:p>
    <w:p>
      <w:pPr>
        <w:pStyle w:val="Subsection"/>
      </w:pPr>
      <w:r>
        <w:tab/>
      </w:r>
      <w:r>
        <w:tab/>
        <w:t>The Acts mentioned in Schedule 2 are amended as set out in that Schedule.</w:t>
      </w:r>
    </w:p>
    <w:p>
      <w:pPr>
        <w:pStyle w:val="Heading5"/>
      </w:pPr>
      <w:bookmarkStart w:id="17" w:name="_Toc378254818"/>
      <w:bookmarkStart w:id="18" w:name="_Toc424284047"/>
      <w:r>
        <w:rPr>
          <w:rStyle w:val="CharSectno"/>
        </w:rPr>
        <w:t>16</w:t>
      </w:r>
      <w:r>
        <w:t>.</w:t>
      </w:r>
      <w:r>
        <w:tab/>
        <w:t>Power to amend regulations</w:t>
      </w:r>
      <w:bookmarkEnd w:id="17"/>
      <w:bookmarkEnd w:id="18"/>
    </w:p>
    <w:p>
      <w:pPr>
        <w:pStyle w:val="Subsection"/>
      </w:pPr>
      <w:r>
        <w:tab/>
        <w:t>(1)</w:t>
      </w:r>
      <w:r>
        <w:tab/>
        <w:t>The Governor, on the recommendation of the Minister, may make subsidiary legislation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the PD Act or this Act.</w:t>
      </w:r>
    </w:p>
    <w:p>
      <w:pPr>
        <w:pStyle w:val="Subsection"/>
      </w:pPr>
      <w:r>
        <w:tab/>
        <w:t>(3)</w:t>
      </w:r>
      <w:r>
        <w:tab/>
        <w:t>Nothing in this section prevents subsidiary legislation from being amended in accordance with the Act under which it was made.</w:t>
      </w:r>
    </w:p>
    <w:p>
      <w:pPr>
        <w:pStyle w:val="Heading2"/>
      </w:pPr>
      <w:bookmarkStart w:id="19" w:name="_Toc378254819"/>
      <w:bookmarkStart w:id="20" w:name="_Toc424284048"/>
      <w:r>
        <w:rPr>
          <w:rStyle w:val="CharPartNo"/>
        </w:rPr>
        <w:t>Part 3</w:t>
      </w:r>
      <w:r>
        <w:t xml:space="preserve"> — </w:t>
      </w:r>
      <w:r>
        <w:rPr>
          <w:rStyle w:val="CharPartText"/>
        </w:rPr>
        <w:t>Transitional and saving provisions</w:t>
      </w:r>
      <w:bookmarkEnd w:id="19"/>
      <w:bookmarkEnd w:id="20"/>
    </w:p>
    <w:p>
      <w:pPr>
        <w:pStyle w:val="Heading3"/>
      </w:pPr>
      <w:bookmarkStart w:id="21" w:name="_Toc378254820"/>
      <w:bookmarkStart w:id="22" w:name="_Toc424284049"/>
      <w:r>
        <w:rPr>
          <w:rStyle w:val="CharDivNo"/>
        </w:rPr>
        <w:t>Division 1</w:t>
      </w:r>
      <w:r>
        <w:t xml:space="preserve"> — </w:t>
      </w:r>
      <w:r>
        <w:rPr>
          <w:rStyle w:val="CharDivText"/>
        </w:rPr>
        <w:t>Preliminary</w:t>
      </w:r>
      <w:bookmarkEnd w:id="21"/>
      <w:bookmarkEnd w:id="22"/>
    </w:p>
    <w:p>
      <w:pPr>
        <w:pStyle w:val="Heading5"/>
      </w:pPr>
      <w:bookmarkStart w:id="23" w:name="_Toc378254821"/>
      <w:bookmarkStart w:id="24" w:name="_Toc424284050"/>
      <w:r>
        <w:rPr>
          <w:rStyle w:val="CharSectno"/>
        </w:rPr>
        <w:t>17</w:t>
      </w:r>
      <w:r>
        <w:t>.</w:t>
      </w:r>
      <w:r>
        <w:tab/>
        <w:t xml:space="preserve">Application of </w:t>
      </w:r>
      <w:r>
        <w:rPr>
          <w:i/>
        </w:rPr>
        <w:t>Interpretation Act 1984</w:t>
      </w:r>
      <w:bookmarkEnd w:id="23"/>
      <w:bookmarkEnd w:id="24"/>
    </w:p>
    <w:p>
      <w:pPr>
        <w:pStyle w:val="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Subsection"/>
      </w:pPr>
      <w:r>
        <w:tab/>
        <w:t>(2)</w:t>
      </w:r>
      <w:r>
        <w:tab/>
        <w:t>The other provisions of this Act are additional to the provisions applied by subsection (1) and except in the case of section 14(3) and (4) do not affect the operation of the provisions applied by subsection (1).</w:t>
      </w:r>
    </w:p>
    <w:p>
      <w:pPr>
        <w:pStyle w:val="Heading5"/>
      </w:pPr>
      <w:bookmarkStart w:id="25" w:name="_Toc378254822"/>
      <w:bookmarkStart w:id="26" w:name="_Toc424284051"/>
      <w:r>
        <w:rPr>
          <w:rStyle w:val="CharSectno"/>
        </w:rPr>
        <w:t>18</w:t>
      </w:r>
      <w:r>
        <w:t>.</w:t>
      </w:r>
      <w:r>
        <w:tab/>
        <w:t>Transitional regulations</w:t>
      </w:r>
      <w:bookmarkEnd w:id="25"/>
      <w:bookmarkEnd w:id="26"/>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purpose of — </w:t>
      </w:r>
    </w:p>
    <w:p>
      <w:pPr>
        <w:pStyle w:val="Defpara"/>
      </w:pPr>
      <w:r>
        <w:tab/>
        <w:t>(a)</w:t>
      </w:r>
      <w:r>
        <w:tab/>
        <w:t>effecting the transition from the provisions of the Acts repealed by this Act to the provisions of the PD Act; or</w:t>
      </w:r>
    </w:p>
    <w:p>
      <w:pPr>
        <w:pStyle w:val="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Subsection"/>
        <w:keepNext/>
        <w:keepLines/>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Heading5"/>
      </w:pPr>
      <w:bookmarkStart w:id="27" w:name="_Toc378254823"/>
      <w:bookmarkStart w:id="28" w:name="_Toc424284052"/>
      <w:r>
        <w:rPr>
          <w:rStyle w:val="CharSectno"/>
        </w:rPr>
        <w:t>19</w:t>
      </w:r>
      <w:r>
        <w:t>.</w:t>
      </w:r>
      <w:r>
        <w:tab/>
        <w:t>Construction of references in written laws</w:t>
      </w:r>
      <w:bookmarkEnd w:id="27"/>
      <w:bookmarkEnd w:id="28"/>
    </w:p>
    <w:p>
      <w:pPr>
        <w:pStyle w:val="Subsection"/>
      </w:pPr>
      <w:r>
        <w:tab/>
        <w:t>(1)</w:t>
      </w:r>
      <w:r>
        <w:tab/>
        <w:t>Unless the context otherwise requires, a reference in a written law to an enactment repealed by this Act includes a reference to the corresponding provision, if any, of the PD Act.</w:t>
      </w:r>
    </w:p>
    <w:p>
      <w:pPr>
        <w:pStyle w:val="Subsection"/>
        <w:keepNext/>
        <w:keepLines/>
      </w:pPr>
      <w:r>
        <w:tab/>
        <w:t>(2)</w:t>
      </w:r>
      <w:r>
        <w:tab/>
        <w:t>A reference in a written law to a town planning scheme may, where the context so requires, be read as if it had been amended to include or be a reference to a local planning scheme under the PD Act.</w:t>
      </w:r>
    </w:p>
    <w:p>
      <w:pPr>
        <w:pStyle w:val="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Subsection"/>
      </w:pPr>
      <w:r>
        <w:tab/>
        <w:t>(4)</w:t>
      </w:r>
      <w:r>
        <w:tab/>
        <w:t>A reference in a written law to a statement of planning policy may, where the context so requires, be read as if it had been amended to include or be a reference to a State planning policy under the PD Act.</w:t>
      </w:r>
    </w:p>
    <w:p>
      <w:pPr>
        <w:pStyle w:val="Heading3"/>
      </w:pPr>
      <w:bookmarkStart w:id="29" w:name="_Toc378254824"/>
      <w:bookmarkStart w:id="30" w:name="_Toc424284053"/>
      <w:r>
        <w:rPr>
          <w:rStyle w:val="CharDivNo"/>
        </w:rPr>
        <w:t>Division 2</w:t>
      </w:r>
      <w:r>
        <w:t> — </w:t>
      </w:r>
      <w:r>
        <w:rPr>
          <w:rStyle w:val="CharDivText"/>
        </w:rPr>
        <w:t>Continuation of various bodies, memberships and appointments</w:t>
      </w:r>
      <w:bookmarkEnd w:id="29"/>
      <w:bookmarkEnd w:id="30"/>
    </w:p>
    <w:p>
      <w:pPr>
        <w:pStyle w:val="Heading5"/>
      </w:pPr>
      <w:bookmarkStart w:id="31" w:name="_Toc378254825"/>
      <w:bookmarkStart w:id="32" w:name="_Toc424284054"/>
      <w:r>
        <w:rPr>
          <w:rStyle w:val="CharSectno"/>
        </w:rPr>
        <w:t>20</w:t>
      </w:r>
      <w:r>
        <w:t>.</w:t>
      </w:r>
      <w:r>
        <w:tab/>
        <w:t>WAPC continues</w:t>
      </w:r>
      <w:bookmarkEnd w:id="31"/>
      <w:bookmarkEnd w:id="32"/>
    </w:p>
    <w:p>
      <w:pPr>
        <w:pStyle w:val="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Subsection"/>
      </w:pPr>
      <w:r>
        <w:tab/>
        <w:t>(2)</w:t>
      </w:r>
      <w:r>
        <w:tab/>
        <w:t xml:space="preserve">If in a written law or other document or instrument there is — </w:t>
      </w:r>
    </w:p>
    <w:p>
      <w:pPr>
        <w:pStyle w:val="Indenta"/>
      </w:pPr>
      <w:r>
        <w:tab/>
        <w:t>(a)</w:t>
      </w:r>
      <w:r>
        <w:tab/>
        <w:t>a reference to the existing Commission; or</w:t>
      </w:r>
    </w:p>
    <w:p>
      <w:pPr>
        <w:pStyle w:val="Indenta"/>
      </w:pPr>
      <w:r>
        <w:tab/>
        <w:t>(b)</w:t>
      </w:r>
      <w:r>
        <w:tab/>
        <w:t>a reference that is read and construed as a reference to the existing Commission,</w:t>
      </w:r>
    </w:p>
    <w:p>
      <w:pPr>
        <w:pStyle w:val="Subsection"/>
      </w:pPr>
      <w:r>
        <w:tab/>
      </w:r>
      <w:r>
        <w:tab/>
        <w:t>the reference may, where the context so requires, be read as if it had been amended to be a reference to the Commission established under the PD Act.</w:t>
      </w:r>
    </w:p>
    <w:p>
      <w:pPr>
        <w:pStyle w:val="Heading5"/>
      </w:pPr>
      <w:bookmarkStart w:id="33" w:name="_Toc378254826"/>
      <w:bookmarkStart w:id="34" w:name="_Toc424284055"/>
      <w:r>
        <w:rPr>
          <w:rStyle w:val="CharSectno"/>
        </w:rPr>
        <w:t>21</w:t>
      </w:r>
      <w:r>
        <w:t>.</w:t>
      </w:r>
      <w:r>
        <w:tab/>
        <w:t>Membership of Commission</w:t>
      </w:r>
      <w:bookmarkEnd w:id="33"/>
      <w:bookmarkEnd w:id="34"/>
    </w:p>
    <w:p>
      <w:pPr>
        <w:pStyle w:val="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Subsection"/>
      </w:pPr>
      <w:r>
        <w:tab/>
        <w:t>(2)</w:t>
      </w:r>
      <w:r>
        <w:tab/>
        <w:t>A person to whom subsection (1) applies is to be regarded as having been appointed under the PD Act.</w:t>
      </w:r>
    </w:p>
    <w:p>
      <w:pPr>
        <w:pStyle w:val="Subsection"/>
      </w:pPr>
      <w:r>
        <w:tab/>
        <w:t>(3)</w:t>
      </w:r>
      <w:r>
        <w:tab/>
        <w:t xml:space="preserve">If in a written law or other document or instrument there is — </w:t>
      </w:r>
    </w:p>
    <w:p>
      <w:pPr>
        <w:pStyle w:val="Indenta"/>
      </w:pPr>
      <w:r>
        <w:tab/>
        <w:t>(a)</w:t>
      </w:r>
      <w:r>
        <w:tab/>
        <w:t>a reference to the chairperson or a member of the existing Commission; or</w:t>
      </w:r>
    </w:p>
    <w:p>
      <w:pPr>
        <w:pStyle w:val="Indenta"/>
      </w:pPr>
      <w:r>
        <w:tab/>
        <w:t>(b)</w:t>
      </w:r>
      <w:r>
        <w:tab/>
        <w:t>a reference that is read and construed as a reference to the chairperson or a member of the existing Commission,</w:t>
      </w:r>
    </w:p>
    <w:p>
      <w:pPr>
        <w:pStyle w:val="Subsection"/>
      </w:pPr>
      <w:r>
        <w:tab/>
      </w:r>
      <w:r>
        <w:tab/>
        <w:t>the reference may, where the context so requires, be read as if it had been amended to be a reference to the chairperson or a member of the board of the Commission established under the PD Act.</w:t>
      </w:r>
    </w:p>
    <w:p>
      <w:pPr>
        <w:pStyle w:val="Heading5"/>
      </w:pPr>
      <w:bookmarkStart w:id="35" w:name="_Toc378254827"/>
      <w:bookmarkStart w:id="36" w:name="_Toc424284056"/>
      <w:r>
        <w:rPr>
          <w:rStyle w:val="CharSectno"/>
        </w:rPr>
        <w:t>22</w:t>
      </w:r>
      <w:r>
        <w:t>.</w:t>
      </w:r>
      <w:r>
        <w:tab/>
        <w:t>Staff</w:t>
      </w:r>
      <w:bookmarkEnd w:id="35"/>
      <w:bookmarkEnd w:id="36"/>
    </w:p>
    <w:p>
      <w:pPr>
        <w:pStyle w:val="Subsection"/>
      </w:pPr>
      <w:r>
        <w:tab/>
        <w:t>(1)</w:t>
      </w:r>
      <w:r>
        <w:tab/>
        <w:t>People who were engaged by the existing Commission immediately before the commencement of the PD Act continue, under and subject to that Act, as officers of the Commission.</w:t>
      </w:r>
    </w:p>
    <w:p>
      <w:pPr>
        <w:pStyle w:val="Subsection"/>
      </w:pPr>
      <w:r>
        <w:tab/>
        <w:t>(2)</w:t>
      </w:r>
      <w:r>
        <w:tab/>
        <w:t>A person mentioned in subsection (1) is to be regarded as having been engaged under the PD Act.</w:t>
      </w:r>
    </w:p>
    <w:p>
      <w:pPr>
        <w:pStyle w:val="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Subsection"/>
      </w:pPr>
      <w:r>
        <w:tab/>
        <w:t>(4)</w:t>
      </w:r>
      <w:r>
        <w:tab/>
        <w:t>The rights under a superannuation scheme of a person who was an officer of the existing Commission are not affected, prejudiced or interrupted by the repeal of the WAPC Act.</w:t>
      </w:r>
    </w:p>
    <w:p>
      <w:pPr>
        <w:pStyle w:val="Heading5"/>
      </w:pPr>
      <w:bookmarkStart w:id="37" w:name="_Toc378254828"/>
      <w:bookmarkStart w:id="38" w:name="_Toc424284057"/>
      <w:r>
        <w:rPr>
          <w:rStyle w:val="CharSectno"/>
        </w:rPr>
        <w:t>23</w:t>
      </w:r>
      <w:r>
        <w:t>.</w:t>
      </w:r>
      <w:r>
        <w:tab/>
        <w:t>Committees</w:t>
      </w:r>
      <w:bookmarkEnd w:id="37"/>
      <w:bookmarkEnd w:id="38"/>
    </w:p>
    <w:p>
      <w:pPr>
        <w:pStyle w:val="Subsection"/>
      </w:pPr>
      <w:r>
        <w:tab/>
        <w:t>(1)</w:t>
      </w:r>
      <w:r>
        <w:tab/>
        <w:t xml:space="preserve">In this section — </w:t>
      </w:r>
    </w:p>
    <w:p>
      <w:pPr>
        <w:pStyle w:val="Defstart"/>
      </w:pPr>
      <w:r>
        <w:tab/>
      </w:r>
      <w:r>
        <w:rPr>
          <w:rStyle w:val="CharDefText"/>
        </w:rPr>
        <w:t>existing committee</w:t>
      </w:r>
      <w:r>
        <w:t xml:space="preserve"> means — </w:t>
      </w:r>
    </w:p>
    <w:p>
      <w:pPr>
        <w:pStyle w:val="Defpara"/>
      </w:pPr>
      <w:r>
        <w:tab/>
        <w:t>(a)</w:t>
      </w:r>
      <w:r>
        <w:tab/>
        <w:t>the Executive, Finance and Property Committee established under the WAPC Act;</w:t>
      </w:r>
    </w:p>
    <w:p>
      <w:pPr>
        <w:pStyle w:val="Defpara"/>
      </w:pPr>
      <w:r>
        <w:tab/>
        <w:t>(b)</w:t>
      </w:r>
      <w:r>
        <w:tab/>
        <w:t>the Statutory Planning Committee established under the WAPC Act;</w:t>
      </w:r>
    </w:p>
    <w:p>
      <w:pPr>
        <w:pStyle w:val="Defpara"/>
      </w:pPr>
      <w:r>
        <w:tab/>
        <w:t>(c)</w:t>
      </w:r>
      <w:r>
        <w:tab/>
        <w:t>the Infrastructure Coordinating Committee established under the WAPC Act;</w:t>
      </w:r>
    </w:p>
    <w:p>
      <w:pPr>
        <w:pStyle w:val="Defpara"/>
      </w:pPr>
      <w:r>
        <w:tab/>
        <w:t>(d)</w:t>
      </w:r>
      <w:r>
        <w:tab/>
        <w:t>the Coastal Planning and Coordination Council established under the WAPC Act;</w:t>
      </w:r>
    </w:p>
    <w:p>
      <w:pPr>
        <w:pStyle w:val="Defpara"/>
      </w:pPr>
      <w:r>
        <w:tab/>
        <w:t>(e)</w:t>
      </w:r>
      <w:r>
        <w:tab/>
        <w:t>any regional planning committee established under the WAPC Act; and</w:t>
      </w:r>
    </w:p>
    <w:p>
      <w:pPr>
        <w:pStyle w:val="Defpara"/>
      </w:pPr>
      <w:r>
        <w:tab/>
        <w:t>(f)</w:t>
      </w:r>
      <w:r>
        <w:tab/>
        <w:t>any District Planning Committee established under the MRTPS Act.</w:t>
      </w:r>
    </w:p>
    <w:p>
      <w:pPr>
        <w:pStyle w:val="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Subsection"/>
        <w:keepLines/>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Heading5"/>
      </w:pPr>
      <w:bookmarkStart w:id="39" w:name="_Toc378254829"/>
      <w:bookmarkStart w:id="40" w:name="_Toc424284058"/>
      <w:r>
        <w:rPr>
          <w:rStyle w:val="CharSectno"/>
        </w:rPr>
        <w:t>24</w:t>
      </w:r>
      <w:r>
        <w:t>.</w:t>
      </w:r>
      <w:r>
        <w:tab/>
        <w:t>Board of Valuers</w:t>
      </w:r>
      <w:bookmarkEnd w:id="39"/>
      <w:bookmarkEnd w:id="40"/>
    </w:p>
    <w:p>
      <w:pPr>
        <w:pStyle w:val="Subsection"/>
      </w:pPr>
      <w:r>
        <w:tab/>
        <w:t>(1)</w:t>
      </w:r>
      <w:r>
        <w:tab/>
        <w:t xml:space="preserve">In this section — </w:t>
      </w:r>
    </w:p>
    <w:p>
      <w:pPr>
        <w:pStyle w:val="Defstart"/>
      </w:pPr>
      <w:r>
        <w:tab/>
      </w:r>
      <w:r>
        <w:rPr>
          <w:rStyle w:val="CharDefText"/>
        </w:rPr>
        <w:t>existing Board</w:t>
      </w:r>
      <w:r>
        <w:t xml:space="preserve"> means the Board of Valuers established under the MRTPS Act.</w:t>
      </w:r>
    </w:p>
    <w:p>
      <w:pPr>
        <w:pStyle w:val="Subsection"/>
      </w:pPr>
      <w:r>
        <w:tab/>
        <w:t>(2)</w:t>
      </w:r>
      <w:r>
        <w:tab/>
        <w:t>The Board of Valuers established under the PD Act is a continuation of and the same legal entity as the existing Board with the same rights and obligations as the existing Board.</w:t>
      </w:r>
    </w:p>
    <w:p>
      <w:pPr>
        <w:pStyle w:val="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Heading3"/>
      </w:pPr>
      <w:bookmarkStart w:id="41" w:name="_Toc378254830"/>
      <w:bookmarkStart w:id="42" w:name="_Toc424284059"/>
      <w:r>
        <w:rPr>
          <w:rStyle w:val="CharDivNo"/>
        </w:rPr>
        <w:t>Division 3</w:t>
      </w:r>
      <w:r>
        <w:t xml:space="preserve"> — </w:t>
      </w:r>
      <w:r>
        <w:rPr>
          <w:rStyle w:val="CharDivText"/>
        </w:rPr>
        <w:t>Transitional provisions</w:t>
      </w:r>
      <w:bookmarkEnd w:id="41"/>
      <w:bookmarkEnd w:id="42"/>
    </w:p>
    <w:p>
      <w:pPr>
        <w:pStyle w:val="Heading5"/>
      </w:pPr>
      <w:bookmarkStart w:id="43" w:name="_Toc378254831"/>
      <w:bookmarkStart w:id="44" w:name="_Toc424284060"/>
      <w:r>
        <w:rPr>
          <w:rStyle w:val="CharSectno"/>
        </w:rPr>
        <w:t>25</w:t>
      </w:r>
      <w:r>
        <w:t>.</w:t>
      </w:r>
      <w:r>
        <w:tab/>
        <w:t>Subsidiary legislation and fees</w:t>
      </w:r>
      <w:bookmarkEnd w:id="43"/>
      <w:bookmarkEnd w:id="44"/>
    </w:p>
    <w:p>
      <w:pPr>
        <w:pStyle w:val="Subsection"/>
        <w:keepNext/>
      </w:pPr>
      <w:r>
        <w:tab/>
        <w:t>(1)</w:t>
      </w:r>
      <w:r>
        <w:tab/>
        <w:t xml:space="preserve">Regulations made under — </w:t>
      </w:r>
    </w:p>
    <w:p>
      <w:pPr>
        <w:pStyle w:val="Indenta"/>
      </w:pPr>
      <w:r>
        <w:tab/>
        <w:t>(a)</w:t>
      </w:r>
      <w:r>
        <w:tab/>
        <w:t>section 8 of the TPD Act or section 26 of the MRTPS Act continue in force as if they were made under section 256 of the PD Act;</w:t>
      </w:r>
    </w:p>
    <w:p>
      <w:pPr>
        <w:pStyle w:val="Indenta"/>
      </w:pPr>
      <w:r>
        <w:tab/>
        <w:t>(b)</w:t>
      </w:r>
      <w:r>
        <w:tab/>
        <w:t>section 9(1) of the TPD Act continue in force as if they were made under section 258 of the PD Act;</w:t>
      </w:r>
    </w:p>
    <w:p>
      <w:pPr>
        <w:pStyle w:val="Indenta"/>
      </w:pPr>
      <w:r>
        <w:tab/>
        <w:t>(c)</w:t>
      </w:r>
      <w:r>
        <w:tab/>
        <w:t>section 9(2b) of the TPD Act continue in force as if they were made under section 259 of the PD Act;</w:t>
      </w:r>
    </w:p>
    <w:p>
      <w:pPr>
        <w:pStyle w:val="Indenta"/>
      </w:pPr>
      <w:r>
        <w:tab/>
        <w:t>(d)</w:t>
      </w:r>
      <w:r>
        <w:tab/>
        <w:t>section 33B of the TPD Act continue in force as if they were made under section 261 of the PD Act;</w:t>
      </w:r>
    </w:p>
    <w:p>
      <w:pPr>
        <w:pStyle w:val="Indenta"/>
      </w:pPr>
      <w:r>
        <w:tab/>
        <w:t>(e)</w:t>
      </w:r>
      <w:r>
        <w:tab/>
        <w:t>section 44 of the MRTPS Act, section 58 of the WAPC Act or section 27A(5) or 34 of the TPD Act continue in force as if they were made under section 263 of the PD Act,</w:t>
      </w:r>
    </w:p>
    <w:p>
      <w:pPr>
        <w:pStyle w:val="Subsection"/>
      </w:pPr>
      <w:r>
        <w:tab/>
      </w:r>
      <w:r>
        <w:tab/>
        <w:t>and may be amended or repealed accordingly.</w:t>
      </w:r>
    </w:p>
    <w:p>
      <w:pPr>
        <w:pStyle w:val="Subsection"/>
      </w:pPr>
      <w:r>
        <w:tab/>
        <w:t>(2)</w:t>
      </w:r>
      <w:r>
        <w:tab/>
        <w:t>Local laws made under section 31 of the TPD Act continue in force as if they were made under section 262 of the PD Act and may be amended or repealed accordingly.</w:t>
      </w:r>
    </w:p>
    <w:p>
      <w:pPr>
        <w:pStyle w:val="Subsection"/>
      </w:pPr>
      <w:r>
        <w:tab/>
        <w:t>(3)</w:t>
      </w:r>
      <w:r>
        <w:tab/>
        <w:t>Fees prescribed under section 29 of the TPD Act continue, until fees are set under section 20 of the PD Act, to be chargeable and payable as if the fees were set under section 20 of the PD Act.</w:t>
      </w:r>
    </w:p>
    <w:p>
      <w:pPr>
        <w:pStyle w:val="Heading5"/>
      </w:pPr>
      <w:bookmarkStart w:id="45" w:name="_Toc378254832"/>
      <w:bookmarkStart w:id="46" w:name="_Toc424284061"/>
      <w:r>
        <w:rPr>
          <w:rStyle w:val="CharSectno"/>
        </w:rPr>
        <w:t>26</w:t>
      </w:r>
      <w:r>
        <w:t>.</w:t>
      </w:r>
      <w:r>
        <w:tab/>
        <w:t>Planning schemes in course of preparation</w:t>
      </w:r>
      <w:bookmarkEnd w:id="45"/>
      <w:bookmarkEnd w:id="46"/>
    </w:p>
    <w:p>
      <w:pPr>
        <w:pStyle w:val="Subsection"/>
      </w:pPr>
      <w:r>
        <w:tab/>
      </w:r>
      <w:r>
        <w:tab/>
        <w:t>Any planning scheme that, on the commencement day, is being prepared under the TPD Act or the WAPC Act may continue to be prepared as if the steps taken under that Act were taken under the PD Act.</w:t>
      </w:r>
    </w:p>
    <w:p>
      <w:pPr>
        <w:pStyle w:val="Heading5"/>
      </w:pPr>
      <w:bookmarkStart w:id="47" w:name="_Toc378254833"/>
      <w:bookmarkStart w:id="48" w:name="_Toc424284062"/>
      <w:r>
        <w:rPr>
          <w:rStyle w:val="CharSectno"/>
        </w:rPr>
        <w:t>27</w:t>
      </w:r>
      <w:r>
        <w:t>.</w:t>
      </w:r>
      <w:r>
        <w:tab/>
        <w:t>Caveats</w:t>
      </w:r>
      <w:bookmarkEnd w:id="47"/>
      <w:bookmarkEnd w:id="48"/>
    </w:p>
    <w:p>
      <w:pPr>
        <w:pStyle w:val="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Subsection"/>
      </w:pPr>
      <w:r>
        <w:tab/>
        <w:t>(2)</w:t>
      </w:r>
      <w:r>
        <w:tab/>
        <w:t xml:space="preserve">A caveat — </w:t>
      </w:r>
    </w:p>
    <w:p>
      <w:pPr>
        <w:pStyle w:val="Indenta"/>
      </w:pPr>
      <w:r>
        <w:tab/>
        <w:t>(a)</w:t>
      </w:r>
      <w:r>
        <w:tab/>
        <w:t>registered under section 36 of the MRTPS Act or section 35 or 36 of the WAPC Act; and</w:t>
      </w:r>
    </w:p>
    <w:p>
      <w:pPr>
        <w:pStyle w:val="Indenta"/>
      </w:pPr>
      <w:r>
        <w:tab/>
        <w:t>(b)</w:t>
      </w:r>
      <w:r>
        <w:tab/>
        <w:t>subsisting immediately before the commencement day,</w:t>
      </w:r>
    </w:p>
    <w:p>
      <w:pPr>
        <w:pStyle w:val="Subsection"/>
      </w:pPr>
      <w:r>
        <w:tab/>
      </w:r>
      <w:r>
        <w:tab/>
        <w:t>is taken to be a notification registered under section 180 or 181 of the PD Act, as the case requires.</w:t>
      </w:r>
    </w:p>
    <w:p>
      <w:pPr>
        <w:pStyle w:val="Heading3"/>
      </w:pPr>
      <w:bookmarkStart w:id="49" w:name="_Toc378254834"/>
      <w:bookmarkStart w:id="50" w:name="_Toc424284063"/>
      <w:r>
        <w:rPr>
          <w:rStyle w:val="CharDivNo"/>
        </w:rPr>
        <w:t>Division 4</w:t>
      </w:r>
      <w:r>
        <w:t xml:space="preserve"> — </w:t>
      </w:r>
      <w:r>
        <w:rPr>
          <w:rStyle w:val="CharDivText"/>
        </w:rPr>
        <w:t>Other savings</w:t>
      </w:r>
      <w:bookmarkEnd w:id="49"/>
      <w:bookmarkEnd w:id="50"/>
    </w:p>
    <w:p>
      <w:pPr>
        <w:pStyle w:val="Heading5"/>
      </w:pPr>
      <w:bookmarkStart w:id="51" w:name="_Toc378254835"/>
      <w:bookmarkStart w:id="52" w:name="_Toc424284064"/>
      <w:r>
        <w:rPr>
          <w:rStyle w:val="CharSectno"/>
        </w:rPr>
        <w:t>28</w:t>
      </w:r>
      <w:r>
        <w:t>.</w:t>
      </w:r>
      <w:r>
        <w:tab/>
        <w:t>Section 9(4) and (5) TPD Act</w:t>
      </w:r>
      <w:bookmarkEnd w:id="51"/>
      <w:bookmarkEnd w:id="52"/>
    </w:p>
    <w:p>
      <w:pPr>
        <w:pStyle w:val="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Heading5"/>
      </w:pPr>
      <w:bookmarkStart w:id="53" w:name="_Toc378254836"/>
      <w:bookmarkStart w:id="54" w:name="_Toc424284065"/>
      <w:r>
        <w:rPr>
          <w:rStyle w:val="CharSectno"/>
        </w:rPr>
        <w:t>29</w:t>
      </w:r>
      <w:r>
        <w:t>.</w:t>
      </w:r>
      <w:r>
        <w:tab/>
        <w:t>Section 28A(5) TPD Act</w:t>
      </w:r>
      <w:bookmarkEnd w:id="53"/>
      <w:bookmarkEnd w:id="54"/>
    </w:p>
    <w:p>
      <w:pPr>
        <w:pStyle w:val="Subsection"/>
      </w:pPr>
      <w:r>
        <w:tab/>
      </w:r>
      <w:r>
        <w:tab/>
        <w:t>Section 28A(5) of the TPD Act continues to apply in relation to liability and matters referred to in that subsection as if section 28A had not been repealed.</w:t>
      </w:r>
    </w:p>
    <w:p>
      <w:pPr>
        <w:pStyle w:val="Heading5"/>
      </w:pPr>
      <w:bookmarkStart w:id="55" w:name="_Toc378254837"/>
      <w:bookmarkStart w:id="56" w:name="_Toc424284066"/>
      <w:r>
        <w:rPr>
          <w:rStyle w:val="CharSectno"/>
        </w:rPr>
        <w:t>30</w:t>
      </w:r>
      <w:r>
        <w:t>.</w:t>
      </w:r>
      <w:r>
        <w:tab/>
        <w:t>Section 37A(4a) MRTPS Act</w:t>
      </w:r>
      <w:bookmarkEnd w:id="55"/>
      <w:bookmarkEnd w:id="56"/>
    </w:p>
    <w:p>
      <w:pPr>
        <w:pStyle w:val="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Heading2"/>
      </w:pPr>
      <w:bookmarkStart w:id="57" w:name="_Toc378254838"/>
      <w:bookmarkStart w:id="58" w:name="_Toc424284067"/>
      <w:r>
        <w:rPr>
          <w:rStyle w:val="CharPartNo"/>
        </w:rPr>
        <w:t>Part 4</w:t>
      </w:r>
      <w:r>
        <w:rPr>
          <w:rStyle w:val="CharDivNo"/>
        </w:rPr>
        <w:t> </w:t>
      </w:r>
      <w:r>
        <w:t>—</w:t>
      </w:r>
      <w:r>
        <w:rPr>
          <w:rStyle w:val="CharDivText"/>
        </w:rPr>
        <w:t> </w:t>
      </w:r>
      <w:r>
        <w:rPr>
          <w:rStyle w:val="CharPartText"/>
        </w:rPr>
        <w:t>Validation provision</w:t>
      </w:r>
      <w:bookmarkEnd w:id="57"/>
      <w:bookmarkEnd w:id="58"/>
    </w:p>
    <w:p>
      <w:pPr>
        <w:pStyle w:val="Heading5"/>
      </w:pPr>
      <w:bookmarkStart w:id="59" w:name="_Toc378254839"/>
      <w:bookmarkStart w:id="60" w:name="_Toc424284068"/>
      <w:r>
        <w:rPr>
          <w:rStyle w:val="CharSectno"/>
        </w:rPr>
        <w:t>31</w:t>
      </w:r>
      <w:r>
        <w:t>.</w:t>
      </w:r>
      <w:r>
        <w:tab/>
        <w:t>Validation of certain endorsed approvals</w:t>
      </w:r>
      <w:bookmarkEnd w:id="59"/>
      <w:bookmarkEnd w:id="60"/>
    </w:p>
    <w:p>
      <w:pPr>
        <w:pStyle w:val="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yEdnoteschedule"/>
      </w:pPr>
      <w:r>
        <w:t>[Schedules 1 and 2 — Consequential amendments omitted.]</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nHeading2"/>
      </w:pPr>
      <w:bookmarkStart w:id="61" w:name="_Toc378254840"/>
      <w:bookmarkStart w:id="62" w:name="_Toc424284069"/>
      <w:r>
        <w:t>Notes</w:t>
      </w:r>
      <w:bookmarkEnd w:id="61"/>
      <w:bookmarkEnd w:id="62"/>
    </w:p>
    <w:p>
      <w:pPr>
        <w:pStyle w:val="nSubsection"/>
        <w:rPr>
          <w:snapToGrid w:val="0"/>
        </w:rPr>
      </w:pPr>
      <w:r>
        <w:rPr>
          <w:snapToGrid w:val="0"/>
          <w:vertAlign w:val="superscript"/>
        </w:rPr>
        <w:t>1</w:t>
      </w:r>
      <w:r>
        <w:rPr>
          <w:snapToGrid w:val="0"/>
        </w:rPr>
        <w:tab/>
        <w:t xml:space="preserve">This is a compilation of the </w:t>
      </w:r>
      <w:r>
        <w:rPr>
          <w:i/>
          <w:snapToGrid w:val="0"/>
        </w:rPr>
        <w:t>Planning and Development (Consequential and Transitional Provisions) Act 2005</w:t>
      </w:r>
      <w:r>
        <w:rPr>
          <w:snapToGrid w:val="0"/>
        </w:rPr>
        <w:t>.  The following table contains information about that Act.</w:t>
      </w:r>
    </w:p>
    <w:p>
      <w:pPr>
        <w:pStyle w:val="nHeading3"/>
        <w:rPr>
          <w:snapToGrid w:val="0"/>
        </w:rPr>
      </w:pPr>
      <w:bookmarkStart w:id="63" w:name="_Toc378254841"/>
      <w:bookmarkStart w:id="64" w:name="_Toc424284070"/>
      <w:r>
        <w:rPr>
          <w:snapToGrid w:val="0"/>
        </w:rPr>
        <w:t>Compilation table</w:t>
      </w:r>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Planning and Development (Consequential and Transitional Provisions) Act 2005</w:t>
            </w:r>
          </w:p>
        </w:tc>
        <w:tc>
          <w:tcPr>
            <w:tcW w:w="1134" w:type="dxa"/>
            <w:tcBorders>
              <w:top w:val="single" w:sz="4" w:space="0" w:color="auto"/>
              <w:bottom w:val="single" w:sz="4" w:space="0" w:color="auto"/>
            </w:tcBorders>
          </w:tcPr>
          <w:p>
            <w:pPr>
              <w:pStyle w:val="nTable"/>
              <w:spacing w:before="100"/>
            </w:pPr>
            <w:r>
              <w:t>38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 xml:space="preserve">9 Apr 2006 (see s. 2 and </w:t>
            </w:r>
            <w:r>
              <w:rPr>
                <w:i/>
                <w:iCs/>
              </w:rPr>
              <w:t>Gazette</w:t>
            </w:r>
            <w:r>
              <w:t xml:space="preserve"> 21 Mar 2006 p. 1078)</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18(2)</w:t>
      </w:r>
    </w:p>
    <w:p>
      <w:pPr>
        <w:pStyle w:val="DefinedTerms"/>
      </w:pPr>
      <w:r>
        <w:t>commencement day</w:t>
      </w:r>
      <w:r>
        <w:tab/>
        <w:t>3</w:t>
      </w:r>
    </w:p>
    <w:p>
      <w:pPr>
        <w:pStyle w:val="DefinedTerms"/>
      </w:pPr>
      <w:r>
        <w:t>existing Board</w:t>
      </w:r>
      <w:r>
        <w:tab/>
        <w:t>24(1)</w:t>
      </w:r>
    </w:p>
    <w:p>
      <w:pPr>
        <w:pStyle w:val="DefinedTerms"/>
      </w:pPr>
      <w:r>
        <w:t>existing Commission</w:t>
      </w:r>
      <w:r>
        <w:tab/>
        <w:t>3</w:t>
      </w:r>
    </w:p>
    <w:p>
      <w:pPr>
        <w:pStyle w:val="DefinedTerms"/>
      </w:pPr>
      <w:r>
        <w:t>existing committee</w:t>
      </w:r>
      <w:r>
        <w:tab/>
        <w:t>23(1)</w:t>
      </w:r>
    </w:p>
    <w:p>
      <w:pPr>
        <w:pStyle w:val="DefinedTerms"/>
      </w:pPr>
      <w:r>
        <w:t>MRTPS Act</w:t>
      </w:r>
      <w:r>
        <w:tab/>
        <w:t>3</w:t>
      </w:r>
    </w:p>
    <w:p>
      <w:pPr>
        <w:pStyle w:val="DefinedTerms"/>
      </w:pPr>
      <w:r>
        <w:t>PD Act</w:t>
      </w:r>
      <w:r>
        <w:tab/>
        <w:t>3</w:t>
      </w:r>
    </w:p>
    <w:p>
      <w:pPr>
        <w:pStyle w:val="DefinedTerms"/>
      </w:pPr>
      <w:r>
        <w:t>specified</w:t>
      </w:r>
      <w:r>
        <w:tab/>
        <w:t>18(5)</w:t>
      </w:r>
    </w:p>
    <w:p>
      <w:pPr>
        <w:pStyle w:val="DefinedTerms"/>
      </w:pPr>
      <w:r>
        <w:t>TPD Act</w:t>
      </w:r>
      <w:r>
        <w:tab/>
        <w:t>3</w:t>
      </w:r>
    </w:p>
    <w:p>
      <w:pPr>
        <w:pStyle w:val="DefinedTerms"/>
      </w:pPr>
      <w:r>
        <w:t>transitional matter</w:t>
      </w:r>
      <w:r>
        <w:tab/>
        <w:t>18(2)</w:t>
      </w:r>
    </w:p>
    <w:p>
      <w:pPr>
        <w:pStyle w:val="DefinedTerms"/>
      </w:pPr>
      <w:r>
        <w:t>WAPC Act</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(Consequential and Transitional Provisions)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(Consequential and Transitional Provisions)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(Consequential and Transitional Provisions)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(Consequential and Transitional Provisions)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(Consequential and Transitional Provisions)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(Consequential and Transitional Provisions)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(Consequential and Transitional Provisions)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(Consequential and Transitional Provisions)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E8E7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D02D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543F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D0F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02AD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9605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1E04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2A30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E1D1C"/>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E95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040B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9ECE0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700"/>
    <w:docVar w:name="WAFER_20140123145549" w:val="RemoveTocBookmarks,RemoveUnusedBookmarks,RemoveLanguageTags,UsedStyles,ResetPageSize,UpdateArrangement"/>
    <w:docVar w:name="WAFER_20140123145549_GUID" w:val="2f71efe9-9210-49f5-bcb0-7cdf67fcc645"/>
    <w:docVar w:name="WAFER_20140123153536" w:val="RemoveTocBookmarks,RunningHeaders"/>
    <w:docVar w:name="WAFER_20140123153536_GUID" w:val="2f934313-5a2b-4521-be8f-277d8783954b"/>
    <w:docVar w:name="WAFER_20150710092336" w:val="ResetPageSize,UpdateArrangement,UpdateNTable"/>
    <w:docVar w:name="WAFER_20150710092336_GUID" w:val="dff78673-7b6e-4e85-bc87-2e9215318434"/>
    <w:docVar w:name="WAFER_20151109112700" w:val="UpdateStyles,UsedStyles"/>
    <w:docVar w:name="WAFER_20151109112700_GUID" w:val="b7f14137-310c-4b80-8a75-b2ae0d50e2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2971</Words>
  <Characters>14292</Characters>
  <Application>Microsoft Office Word</Application>
  <DocSecurity>0</DocSecurity>
  <Lines>408</Lines>
  <Paragraphs>243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Part 1 — Preliminary</vt:lpstr>
      <vt:lpstr>    Part 2 — Repeal and amendment of legislation</vt:lpstr>
      <vt:lpstr>        Division 4 — Miscellaneous amendments</vt:lpstr>
      <vt:lpstr>    Part 3 — Transitional and saving provisions</vt:lpstr>
      <vt:lpstr>        Division 1 — Preliminary</vt:lpstr>
      <vt:lpstr>        Division 2 — Continuation of various bodies, memberships and appointments</vt:lpstr>
      <vt:lpstr>        Division 3 — Transitional provisions</vt:lpstr>
      <vt:lpstr>        Division 4 — Other savings</vt:lpstr>
      <vt:lpstr>    Part 4 — Validation provision</vt:lpstr>
    </vt:vector>
  </TitlesOfParts>
  <Manager/>
  <Company/>
  <LinksUpToDate>false</LinksUpToDate>
  <CharactersWithSpaces>17020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(Consequential and Transitional Provisions) Act 2005 - 00-a0-08</dc:title>
  <dc:subject/>
  <dc:creator/>
  <cp:keywords/>
  <dc:description/>
  <cp:lastModifiedBy>svcMRProcess</cp:lastModifiedBy>
  <cp:revision>4</cp:revision>
  <cp:lastPrinted>2005-12-13T05:27:00Z</cp:lastPrinted>
  <dcterms:created xsi:type="dcterms:W3CDTF">2019-01-22T08:27:00Z</dcterms:created>
  <dcterms:modified xsi:type="dcterms:W3CDTF">2019-01-22T08:27:00Z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2005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9409</vt:i4>
  </property>
  <property fmtid="{D5CDD505-2E9C-101B-9397-08002B2CF9AE}" pid="6" name="AsAtDate">
    <vt:lpwstr>09 Apr 2006</vt:lpwstr>
  </property>
  <property fmtid="{D5CDD505-2E9C-101B-9397-08002B2CF9AE}" pid="7" name="Suffix">
    <vt:lpwstr>00-a0-08</vt:lpwstr>
  </property>
</Properties>
</file>