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w:instrText>
      </w:r>
      <w:r>
        <w:rPr>
          <w:szCs w:val="24"/>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1.</w:t>
      </w:r>
      <w:r>
        <w:tab/>
        <w:t>Citation</w:t>
      </w:r>
      <w:r>
        <w:tab/>
      </w:r>
      <w:r>
        <w:fldChar w:fldCharType="begin"/>
      </w:r>
      <w:r>
        <w:instrText xml:space="preserve"> PAGEREF _Toc378154128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_Toc378154129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_Toc378154130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_Toc378154131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_Toc378154132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_Toc378154133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_Toc378154134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_Toc378154135 \h </w:instrText>
      </w:r>
      <w:r>
        <w:fldChar w:fldCharType="separate"/>
      </w:r>
      <w:r>
        <w:t>4</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_Toc378154136 \h </w:instrText>
      </w:r>
      <w:r>
        <w:fldChar w:fldCharType="separate"/>
      </w:r>
      <w:r>
        <w:t>5</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_Toc378154137 \h </w:instrText>
      </w:r>
      <w:r>
        <w:fldChar w:fldCharType="separate"/>
      </w:r>
      <w:r>
        <w:t>6</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_Toc378154138 \h </w:instrText>
      </w:r>
      <w:r>
        <w:fldChar w:fldCharType="separate"/>
      </w:r>
      <w:r>
        <w:t>6</w:t>
      </w:r>
      <w:r>
        <w:fldChar w:fldCharType="end"/>
      </w:r>
    </w:p>
    <w:p>
      <w:pPr>
        <w:pStyle w:val="TOC2"/>
        <w:tabs>
          <w:tab w:val="right" w:leader="dot" w:pos="7086"/>
        </w:tabs>
        <w:rPr>
          <w:rFonts w:asciiTheme="minorHAnsi" w:eastAsiaTheme="minorEastAsia" w:hAnsiTheme="minorHAnsi" w:cstheme="minorBidi"/>
          <w:b w:val="0"/>
          <w:sz w:val="22"/>
          <w:szCs w:val="22"/>
        </w:rPr>
      </w:pPr>
      <w:r>
        <w:t>Schedule 3 — IP warrant (involved protected person)</w:t>
      </w:r>
    </w:p>
    <w:p>
      <w:pPr>
        <w:pStyle w:val="TOC2"/>
        <w:tabs>
          <w:tab w:val="right" w:leader="dot" w:pos="7086"/>
        </w:tabs>
        <w:rPr>
          <w:rFonts w:asciiTheme="minorHAnsi" w:eastAsiaTheme="minorEastAsia" w:hAnsiTheme="minorHAnsi" w:cstheme="minorBidi"/>
          <w:b w:val="0"/>
          <w:sz w:val="22"/>
          <w:szCs w:val="22"/>
        </w:rPr>
      </w:pPr>
      <w:r>
        <w:t>Schedule 4 — IP warrant (suspect)</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_Toc378154142 \h </w:instrText>
      </w:r>
      <w:r>
        <w:fldChar w:fldCharType="separate"/>
      </w:r>
      <w:r>
        <w:t>11</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1" w:name="_Toc378154128"/>
      <w:r>
        <w:rPr>
          <w:rStyle w:val="CharSectno"/>
        </w:rPr>
        <w:t>1</w:t>
      </w:r>
      <w:r>
        <w:t>.</w:t>
      </w:r>
      <w:r>
        <w:tab/>
        <w:t>Citation</w:t>
      </w:r>
      <w:bookmarkEnd w:id="1"/>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2" w:name="_Toc378154129"/>
      <w:r>
        <w:rPr>
          <w:rStyle w:val="CharSectno"/>
        </w:rPr>
        <w:t>2</w:t>
      </w:r>
      <w:r>
        <w:rPr>
          <w:spacing w:val="-2"/>
        </w:rPr>
        <w:t>.</w:t>
      </w:r>
      <w:r>
        <w:rPr>
          <w:spacing w:val="-2"/>
        </w:rPr>
        <w:tab/>
        <w:t>Commencement</w:t>
      </w:r>
      <w:bookmarkEnd w:id="2"/>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3" w:name="_Toc378154130"/>
      <w:r>
        <w:rPr>
          <w:rStyle w:val="CharSectno"/>
        </w:rPr>
        <w:t>3</w:t>
      </w:r>
      <w:r>
        <w:t>.</w:t>
      </w:r>
      <w:r>
        <w:tab/>
        <w:t>Public officers (s. 5(1))</w:t>
      </w:r>
      <w:bookmarkEnd w:id="3"/>
    </w:p>
    <w:p>
      <w:pPr>
        <w:pStyle w:val="Subsection"/>
      </w:pPr>
      <w:r>
        <w:tab/>
        <w:t>(1)</w:t>
      </w:r>
      <w:r>
        <w:tab/>
        <w:t xml:space="preserve">The office of aboriginal aide to which appointments are made under Part IIIA of the </w:t>
      </w:r>
      <w:r>
        <w:rPr>
          <w:i/>
        </w:rPr>
        <w:t>Police Act 1892</w:t>
      </w:r>
      <w:r>
        <w:t xml:space="preserve"> is prescribed under section 5(1)(a) of the Act.</w:t>
      </w:r>
    </w:p>
    <w:p>
      <w:pPr>
        <w:pStyle w:val="Subsection"/>
      </w:pPr>
      <w:r>
        <w:tab/>
        <w:t>(2)</w:t>
      </w:r>
      <w:r>
        <w:tab/>
        <w:t>The powers in the Act that a holder of the office of aboriginal aide may exercise are specified under section 5(1)(b) of the Act to be all the powers that the Act provides may be exercised by a public officer.</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 xml:space="preserve">The powers in the Act that a holder of the office of fisheries officer may exercise are specified under section 5(1)(b) of the </w:t>
      </w:r>
      <w:r>
        <w:lastRenderedPageBreak/>
        <w:t>Act to be all the powers that the Act provides may be exercised by a public officer.</w:t>
      </w:r>
    </w:p>
    <w:p>
      <w:pPr>
        <w:pStyle w:val="Footnotesection"/>
        <w:ind w:left="890" w:hanging="890"/>
      </w:pPr>
      <w:r>
        <w:tab/>
        <w:t>[Regulation 3 amended in Gazette 27 Jun 2006 p. 2305.]</w:t>
      </w:r>
    </w:p>
    <w:p>
      <w:pPr>
        <w:pStyle w:val="Heading5"/>
        <w:spacing w:before="240"/>
      </w:pPr>
      <w:bookmarkStart w:id="4" w:name="_Toc378154131"/>
      <w:r>
        <w:rPr>
          <w:rStyle w:val="CharSectno"/>
        </w:rPr>
        <w:t>3A</w:t>
      </w:r>
      <w:r>
        <w:t>.</w:t>
      </w:r>
      <w:r>
        <w:tab/>
        <w:t>Forensic purpose for which police officers may be required to undergo identifying procedure (s. 22(1))</w:t>
      </w:r>
      <w:bookmarkEnd w:id="4"/>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5" w:name="_Toc378154132"/>
      <w:r>
        <w:rPr>
          <w:rStyle w:val="CharSectno"/>
        </w:rPr>
        <w:t>4</w:t>
      </w:r>
      <w:r>
        <w:t>.</w:t>
      </w:r>
      <w:r>
        <w:tab/>
        <w:t>Qualified persons (s. 52)</w:t>
      </w:r>
      <w:bookmarkEnd w:id="5"/>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6" w:name="_Toc378154133"/>
      <w:r>
        <w:rPr>
          <w:rStyle w:val="CharSectno"/>
        </w:rPr>
        <w:t>5</w:t>
      </w:r>
      <w:r>
        <w:t>.</w:t>
      </w:r>
      <w:r>
        <w:tab/>
        <w:t>Law enforcement officers (s. 73(1)(e))</w:t>
      </w:r>
      <w:bookmarkEnd w:id="6"/>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section 179 of the </w:t>
      </w:r>
      <w:r>
        <w:rPr>
          <w:i/>
          <w:iCs/>
        </w:rPr>
        <w:t>Corruption and Crime Commission Act 2003</w:t>
      </w:r>
      <w:r>
        <w:t>; or</w:t>
      </w:r>
    </w:p>
    <w:p>
      <w:pPr>
        <w:pStyle w:val="Indenta"/>
      </w:pP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w:t>
      </w:r>
    </w:p>
    <w:p>
      <w:pPr>
        <w:pStyle w:val="Heading5"/>
      </w:pPr>
      <w:bookmarkStart w:id="7" w:name="_Toc378154134"/>
      <w:r>
        <w:rPr>
          <w:rStyle w:val="CharSectno"/>
        </w:rPr>
        <w:t>5A</w:t>
      </w:r>
      <w:r>
        <w:t>.</w:t>
      </w:r>
      <w:r>
        <w:tab/>
        <w:t>Disclosure of identifying information for certain national databases (s. 73(1)(n))</w:t>
      </w:r>
      <w:bookmarkEnd w:id="7"/>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8" w:name="_Toc378154135"/>
      <w:r>
        <w:rPr>
          <w:rStyle w:val="CharSectno"/>
        </w:rPr>
        <w:t>6</w:t>
      </w:r>
      <w:r>
        <w:t>.</w:t>
      </w:r>
      <w:r>
        <w:tab/>
        <w:t>Corresponding laws (s. 87, 88(a))</w:t>
      </w:r>
      <w:bookmarkEnd w:id="8"/>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t xml:space="preserve">Sections 95A and 95B of the </w:t>
            </w:r>
            <w:r>
              <w:rPr>
                <w:i/>
                <w:iCs/>
              </w:rPr>
              <w:t>Prisons (Correctional Services) Act</w:t>
            </w:r>
            <w:r>
              <w:t xml:space="preserve"> of the Northern Territory</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w:t>
      </w:r>
    </w:p>
    <w:p>
      <w:pPr>
        <w:pStyle w:val="Heading5"/>
      </w:pPr>
      <w:bookmarkStart w:id="9" w:name="_Toc378154136"/>
      <w:r>
        <w:rPr>
          <w:rStyle w:val="CharSectno"/>
        </w:rPr>
        <w:t>7</w:t>
      </w:r>
      <w:r>
        <w:t>.</w:t>
      </w:r>
      <w:r>
        <w:tab/>
        <w:t>Authorised officers (s. 87, 88(b))</w:t>
      </w:r>
      <w:bookmarkEnd w:id="9"/>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rPr>
          <w:b/>
        </w:rPr>
      </w:pPr>
      <w:r>
        <w:rPr>
          <w:b/>
        </w:rPr>
        <w:t>Table</w:t>
      </w:r>
    </w:p>
    <w:tbl>
      <w:tblPr>
        <w:tblW w:w="0" w:type="auto"/>
        <w:tblInd w:w="959" w:type="dxa"/>
        <w:tblLayout w:type="fixed"/>
        <w:tblLook w:val="0000" w:firstRow="0" w:lastRow="0" w:firstColumn="0" w:lastColumn="0" w:noHBand="0" w:noVBand="0"/>
      </w:tblPr>
      <w:tblGrid>
        <w:gridCol w:w="6379"/>
      </w:tblGrid>
      <w:tr>
        <w:tc>
          <w:tcPr>
            <w:tcW w:w="6379" w:type="dxa"/>
          </w:tcPr>
          <w:p>
            <w:pPr>
              <w:pStyle w:val="Table"/>
              <w:spacing w:line="240" w:lineRule="auto"/>
            </w:pPr>
            <w:r>
              <w:t>General Manager, Forensic Services, Australian Federal Police</w:t>
            </w:r>
          </w:p>
        </w:tc>
      </w:tr>
      <w:tr>
        <w:tc>
          <w:tcPr>
            <w:tcW w:w="6379" w:type="dxa"/>
          </w:tcPr>
          <w:p>
            <w:pPr>
              <w:pStyle w:val="Table"/>
              <w:spacing w:line="240" w:lineRule="auto"/>
            </w:pPr>
            <w:r>
              <w:t>Director of Forensic Services, New South Wales Police Service</w:t>
            </w:r>
          </w:p>
        </w:tc>
      </w:tr>
      <w:tr>
        <w:tc>
          <w:tcPr>
            <w:tcW w:w="6379" w:type="dxa"/>
          </w:tcPr>
          <w:p>
            <w:pPr>
              <w:pStyle w:val="Table"/>
              <w:spacing w:line="240" w:lineRule="auto"/>
            </w:pPr>
            <w:r>
              <w:t>Director, Victoria Forensic Science Centre, Victoria Police</w:t>
            </w:r>
          </w:p>
        </w:tc>
      </w:tr>
      <w:tr>
        <w:tc>
          <w:tcPr>
            <w:tcW w:w="6379" w:type="dxa"/>
          </w:tcPr>
          <w:p>
            <w:pPr>
              <w:pStyle w:val="Table"/>
              <w:spacing w:line="240" w:lineRule="auto"/>
            </w:pPr>
            <w:r>
              <w:t>Superintendent, Forensic Services Branch, Queensland Police Service</w:t>
            </w:r>
          </w:p>
        </w:tc>
      </w:tr>
      <w:tr>
        <w:tc>
          <w:tcPr>
            <w:tcW w:w="6379" w:type="dxa"/>
          </w:tcPr>
          <w:p>
            <w:pPr>
              <w:pStyle w:val="Table"/>
              <w:spacing w:line="240" w:lineRule="auto"/>
            </w:pPr>
            <w:r>
              <w:t>Officer in Charge, Forensic Services Branch, South Australia Police</w:t>
            </w:r>
          </w:p>
        </w:tc>
      </w:tr>
      <w:tr>
        <w:tc>
          <w:tcPr>
            <w:tcW w:w="6379" w:type="dxa"/>
          </w:tcPr>
          <w:p>
            <w:pPr>
              <w:pStyle w:val="Table"/>
              <w:spacing w:line="240" w:lineRule="auto"/>
            </w:pPr>
            <w:r>
              <w:t>Inspector, Forensic Services, Tasmania Police</w:t>
            </w:r>
          </w:p>
        </w:tc>
      </w:tr>
      <w:tr>
        <w:tc>
          <w:tcPr>
            <w:tcW w:w="6379" w:type="dxa"/>
          </w:tcPr>
          <w:p>
            <w:pPr>
              <w:pStyle w:val="Table"/>
              <w:spacing w:line="240" w:lineRule="auto"/>
            </w:pPr>
            <w:r>
              <w:t>Director, Forensic Science Centre, Northern Territory Police</w:t>
            </w:r>
          </w:p>
        </w:tc>
      </w:tr>
      <w:tr>
        <w:tc>
          <w:tcPr>
            <w:tcW w:w="6379" w:type="dxa"/>
          </w:tcPr>
          <w:p>
            <w:pPr>
              <w:pStyle w:val="Table"/>
              <w:spacing w:line="240" w:lineRule="auto"/>
            </w:pPr>
            <w:r>
              <w:t>Officer in Charge, Operations, Monitoring and Intelligence Support (OMIS), Australian Federal Police, Australian Capital Territory</w:t>
            </w:r>
          </w:p>
        </w:tc>
      </w:tr>
    </w:tbl>
    <w:p>
      <w:pPr>
        <w:pStyle w:val="Footnotesection"/>
      </w:pPr>
      <w:r>
        <w:tab/>
        <w:t>[Regulation 7 amended in Gazette 19 Nov 2002 p. 5509.]</w:t>
      </w:r>
    </w:p>
    <w:p>
      <w:pPr>
        <w:pStyle w:val="Heading5"/>
      </w:pPr>
      <w:bookmarkStart w:id="10" w:name="_Toc378154137"/>
      <w:r>
        <w:rPr>
          <w:rStyle w:val="CharSectno"/>
        </w:rPr>
        <w:t>8</w:t>
      </w:r>
      <w:r>
        <w:t>.</w:t>
      </w:r>
      <w:r>
        <w:tab/>
        <w:t>Registrar (s. 87, 88(c))</w:t>
      </w:r>
      <w:bookmarkEnd w:id="10"/>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11" w:name="_Toc378154138"/>
      <w:r>
        <w:rPr>
          <w:rStyle w:val="CharSectno"/>
        </w:rPr>
        <w:t>10</w:t>
      </w:r>
      <w:r>
        <w:t>.</w:t>
      </w:r>
      <w:r>
        <w:tab/>
        <w:t>Form of warrants (s. 33(6), 46(4))</w:t>
      </w:r>
      <w:bookmarkEnd w:id="11"/>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2" w:name="_Toc378154139"/>
      <w:r>
        <w:rPr>
          <w:rStyle w:val="CharSchNo"/>
        </w:rPr>
        <w:t>Schedule 3</w:t>
      </w:r>
      <w:r>
        <w:t> — </w:t>
      </w:r>
      <w:r>
        <w:rPr>
          <w:rStyle w:val="CharSchText"/>
        </w:rPr>
        <w:t>IP warrant (involved protected person)</w:t>
      </w:r>
      <w:bookmarkEnd w:id="12"/>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Pr>
          <w:p>
            <w:pPr>
              <w:pStyle w:val="yTable"/>
              <w:rPr>
                <w:b/>
              </w:rPr>
            </w:pPr>
          </w:p>
        </w:tc>
        <w:tc>
          <w:tcPr>
            <w:tcW w:w="5103" w:type="dxa"/>
            <w:gridSpan w:val="7"/>
            <w:tcBorders>
              <w:top w:val="single" w:sz="6" w:space="0" w:color="auto"/>
            </w:tcBorders>
          </w:tcPr>
          <w:p>
            <w:pPr>
              <w:pStyle w:val="yTable"/>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Identifying particular to be obtained</w:t>
            </w:r>
          </w:p>
        </w:tc>
        <w:tc>
          <w:tcPr>
            <w:tcW w:w="851" w:type="dxa"/>
            <w:tcBorders>
              <w:top w:val="single" w:sz="6" w:space="0" w:color="auto"/>
              <w:left w:val="single" w:sz="6" w:space="0" w:color="auto"/>
              <w:right w:val="single" w:sz="6" w:space="0" w:color="auto"/>
            </w:tcBorders>
          </w:tcPr>
          <w:p>
            <w:pPr>
              <w:pStyle w:val="yTable"/>
              <w:rPr>
                <w:sz w:val="20"/>
              </w:rPr>
            </w:pPr>
            <w:r>
              <w:rPr>
                <w:b/>
                <w:sz w:val="20"/>
              </w:rPr>
              <w:t>Print</w:t>
            </w:r>
          </w:p>
        </w:tc>
        <w:tc>
          <w:tcPr>
            <w:tcW w:w="1276" w:type="dxa"/>
            <w:gridSpan w:val="2"/>
            <w:tcBorders>
              <w:top w:val="single" w:sz="6" w:space="0" w:color="auto"/>
              <w:left w:val="single" w:sz="6" w:space="0" w:color="auto"/>
              <w:right w:val="single" w:sz="6" w:space="0" w:color="auto"/>
            </w:tcBorders>
          </w:tcPr>
          <w:p>
            <w:pPr>
              <w:pStyle w:val="yTable"/>
              <w:rPr>
                <w:sz w:val="20"/>
              </w:rPr>
            </w:pPr>
            <w:r>
              <w:rPr>
                <w:b/>
                <w:sz w:val="20"/>
              </w:rPr>
              <w:t>Photograph</w:t>
            </w:r>
          </w:p>
        </w:tc>
        <w:tc>
          <w:tcPr>
            <w:tcW w:w="1275" w:type="dxa"/>
            <w:gridSpan w:val="2"/>
            <w:tcBorders>
              <w:top w:val="single" w:sz="6" w:space="0" w:color="auto"/>
              <w:left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right w:val="single" w:sz="4" w:space="0" w:color="auto"/>
            </w:tcBorders>
          </w:tcPr>
          <w:p>
            <w:pPr>
              <w:pStyle w:val="yTable"/>
              <w:rPr>
                <w:b/>
                <w:sz w:val="20"/>
              </w:rPr>
            </w:pPr>
            <w:r>
              <w:rPr>
                <w:b/>
                <w:sz w:val="20"/>
              </w:rPr>
              <w:t>D.N.A. profile</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w:t>
      </w:r>
    </w:p>
    <w:p>
      <w:pPr>
        <w:pStyle w:val="yScheduleHeading"/>
      </w:pPr>
      <w:bookmarkStart w:id="13" w:name="_Toc378154140"/>
      <w:r>
        <w:rPr>
          <w:rStyle w:val="CharSchNo"/>
        </w:rPr>
        <w:t>Schedule 4</w:t>
      </w:r>
      <w:r>
        <w:t> — </w:t>
      </w:r>
      <w:r>
        <w:rPr>
          <w:rStyle w:val="CharSchText"/>
        </w:rPr>
        <w:t>IP warrant (suspect)</w:t>
      </w:r>
      <w:bookmarkEnd w:id="13"/>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993"/>
        <w:gridCol w:w="796"/>
        <w:gridCol w:w="479"/>
        <w:gridCol w:w="142"/>
        <w:gridCol w:w="283"/>
        <w:gridCol w:w="284"/>
        <w:gridCol w:w="567"/>
        <w:gridCol w:w="851"/>
        <w:gridCol w:w="850"/>
      </w:tblGrid>
      <w:tr>
        <w:trPr>
          <w:cantSplit/>
        </w:trPr>
        <w:tc>
          <w:tcPr>
            <w:tcW w:w="3348" w:type="dxa"/>
            <w:gridSpan w:val="3"/>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7"/>
            <w:tcBorders>
              <w:left w:val="single" w:sz="4" w:space="0" w:color="auto"/>
            </w:tcBorders>
          </w:tcPr>
          <w:p>
            <w:pPr>
              <w:pStyle w:val="yTable"/>
            </w:pPr>
          </w:p>
        </w:tc>
      </w:tr>
      <w:tr>
        <w:trPr>
          <w:cantSplit/>
        </w:trPr>
        <w:tc>
          <w:tcPr>
            <w:tcW w:w="6804" w:type="dxa"/>
            <w:gridSpan w:val="10"/>
          </w:tcPr>
          <w:p>
            <w:pPr>
              <w:pStyle w:val="yTable"/>
              <w:spacing w:before="0"/>
              <w:rPr>
                <w:i/>
              </w:rPr>
            </w:pPr>
          </w:p>
        </w:tc>
      </w:tr>
      <w:tr>
        <w:trPr>
          <w:cantSplit/>
        </w:trPr>
        <w:tc>
          <w:tcPr>
            <w:tcW w:w="6804" w:type="dxa"/>
            <w:gridSpan w:val="10"/>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10"/>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6"/>
            <w:tcBorders>
              <w:top w:val="single" w:sz="6" w:space="0" w:color="auto"/>
              <w:left w:val="single" w:sz="6" w:space="0" w:color="auto"/>
              <w:right w:val="single" w:sz="6" w:space="0" w:color="auto"/>
            </w:tcBorders>
          </w:tcPr>
          <w:p>
            <w:pPr>
              <w:pStyle w:val="yTable"/>
            </w:pPr>
            <w:r>
              <w:t>Name:</w:t>
            </w:r>
            <w:r>
              <w:br/>
              <w:t>..................................................</w:t>
            </w:r>
            <w:r>
              <w:br/>
              <w:t>..................................................</w:t>
            </w:r>
          </w:p>
        </w:tc>
        <w:tc>
          <w:tcPr>
            <w:tcW w:w="2268" w:type="dxa"/>
            <w:gridSpan w:val="3"/>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9"/>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tcBorders>
          </w:tcPr>
          <w:p>
            <w:pPr>
              <w:pStyle w:val="yTable"/>
              <w:spacing w:before="0"/>
              <w:rPr>
                <w:b/>
              </w:rPr>
            </w:pPr>
          </w:p>
        </w:tc>
        <w:tc>
          <w:tcPr>
            <w:tcW w:w="5245" w:type="dxa"/>
            <w:gridSpan w:val="9"/>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Identifying particular to be obtained</w:t>
            </w:r>
          </w:p>
        </w:tc>
        <w:tc>
          <w:tcPr>
            <w:tcW w:w="993"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Print</w:t>
            </w:r>
          </w:p>
        </w:tc>
        <w:tc>
          <w:tcPr>
            <w:tcW w:w="1275" w:type="dxa"/>
            <w:gridSpan w:val="2"/>
            <w:tcBorders>
              <w:top w:val="single" w:sz="6" w:space="0" w:color="auto"/>
              <w:left w:val="single" w:sz="6" w:space="0" w:color="auto"/>
              <w:bottom w:val="single" w:sz="6" w:space="0" w:color="auto"/>
              <w:right w:val="single" w:sz="6" w:space="0" w:color="auto"/>
            </w:tcBorders>
          </w:tcPr>
          <w:p>
            <w:pPr>
              <w:pStyle w:val="yTable"/>
              <w:rPr>
                <w:sz w:val="20"/>
              </w:rPr>
            </w:pPr>
            <w:r>
              <w:rPr>
                <w:b/>
                <w:sz w:val="20"/>
              </w:rPr>
              <w:t>Photograph</w:t>
            </w:r>
          </w:p>
        </w:tc>
        <w:tc>
          <w:tcPr>
            <w:tcW w:w="1276" w:type="dxa"/>
            <w:gridSpan w:val="4"/>
            <w:tcBorders>
              <w:top w:val="single" w:sz="6" w:space="0" w:color="auto"/>
              <w:left w:val="single" w:sz="6" w:space="0" w:color="auto"/>
              <w:bottom w:val="single" w:sz="6" w:space="0" w:color="auto"/>
              <w:right w:val="single" w:sz="6" w:space="0" w:color="auto"/>
            </w:tcBorders>
          </w:tcPr>
          <w:p>
            <w:pPr>
              <w:pStyle w:val="yTable"/>
              <w:rPr>
                <w:sz w:val="20"/>
              </w:rPr>
            </w:pPr>
            <w:r>
              <w:rPr>
                <w:b/>
                <w:sz w:val="20"/>
              </w:rPr>
              <w:t>Impression</w:t>
            </w:r>
            <w:r>
              <w:rPr>
                <w:sz w:val="20"/>
              </w:rPr>
              <w:t xml:space="preserve"> </w:t>
            </w:r>
          </w:p>
        </w:tc>
        <w:tc>
          <w:tcPr>
            <w:tcW w:w="851" w:type="dxa"/>
            <w:tcBorders>
              <w:top w:val="single" w:sz="6" w:space="0" w:color="auto"/>
              <w:left w:val="single" w:sz="6" w:space="0" w:color="auto"/>
              <w:bottom w:val="single" w:sz="6" w:space="0" w:color="auto"/>
              <w:right w:val="single" w:sz="6" w:space="0" w:color="auto"/>
            </w:tcBorders>
          </w:tcPr>
          <w:p>
            <w:pPr>
              <w:pStyle w:val="yTable"/>
              <w:rPr>
                <w:sz w:val="20"/>
              </w:rPr>
            </w:pPr>
            <w:r>
              <w:rPr>
                <w:b/>
                <w:sz w:val="20"/>
              </w:rPr>
              <w:t>Sample of hair</w:t>
            </w:r>
          </w:p>
        </w:tc>
        <w:tc>
          <w:tcPr>
            <w:tcW w:w="850" w:type="dxa"/>
            <w:tcBorders>
              <w:top w:val="single" w:sz="6" w:space="0" w:color="auto"/>
              <w:left w:val="single" w:sz="6" w:space="0" w:color="auto"/>
              <w:bottom w:val="single" w:sz="6" w:space="0" w:color="auto"/>
              <w:right w:val="single" w:sz="4" w:space="0" w:color="auto"/>
            </w:tcBorders>
          </w:tcPr>
          <w:p>
            <w:pPr>
              <w:pStyle w:val="yTable"/>
              <w:rPr>
                <w:b/>
                <w:sz w:val="20"/>
              </w:rPr>
            </w:pPr>
            <w:r>
              <w:rPr>
                <w:b/>
                <w:sz w:val="20"/>
              </w:rPr>
              <w:t>D.N.A. profile</w:t>
            </w:r>
          </w:p>
        </w:tc>
      </w:tr>
      <w:tr>
        <w:trPr>
          <w:cantSplit/>
        </w:trPr>
        <w:tc>
          <w:tcPr>
            <w:tcW w:w="6804" w:type="dxa"/>
            <w:gridSpan w:val="10"/>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9"/>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10"/>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10"/>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9"/>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5"/>
            <w:tcBorders>
              <w:left w:val="single" w:sz="6" w:space="0" w:color="auto"/>
              <w:bottom w:val="single" w:sz="6" w:space="0" w:color="auto"/>
            </w:tcBorders>
          </w:tcPr>
          <w:p>
            <w:pPr>
              <w:pStyle w:val="yTable"/>
              <w:spacing w:after="120"/>
            </w:pPr>
            <w:r>
              <w:t>From: ........./........./.........</w:t>
            </w:r>
          </w:p>
        </w:tc>
        <w:tc>
          <w:tcPr>
            <w:tcW w:w="2552" w:type="dxa"/>
            <w:gridSpan w:val="4"/>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4"/>
            <w:tcBorders>
              <w:top w:val="single" w:sz="6" w:space="0" w:color="auto"/>
              <w:bottom w:val="single" w:sz="6" w:space="0" w:color="auto"/>
            </w:tcBorders>
          </w:tcPr>
          <w:p>
            <w:pPr>
              <w:pStyle w:val="yTable"/>
              <w:spacing w:before="0" w:after="120"/>
            </w:pPr>
          </w:p>
        </w:tc>
        <w:tc>
          <w:tcPr>
            <w:tcW w:w="2835" w:type="dxa"/>
            <w:gridSpan w:val="5"/>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9"/>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9"/>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9"/>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14" w:name="_Toc378154141"/>
      <w:r>
        <w:t>Notes</w:t>
      </w:r>
      <w:bookmarkEnd w:id="14"/>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5" w:name="_Toc378154142"/>
      <w:r>
        <w:t>Compilation table</w:t>
      </w:r>
      <w:bookmarkEnd w:id="1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Criminal Investigation (Identifying People) Regulations 2002</w:t>
            </w:r>
          </w:p>
        </w:tc>
        <w:tc>
          <w:tcPr>
            <w:tcW w:w="1276" w:type="dxa"/>
            <w:tcBorders>
              <w:top w:val="single" w:sz="8" w:space="0" w:color="auto"/>
            </w:tcBorders>
          </w:tcPr>
          <w:p>
            <w:pPr>
              <w:pStyle w:val="nTable"/>
              <w:spacing w:after="40"/>
              <w:rPr>
                <w:sz w:val="19"/>
              </w:rPr>
            </w:pPr>
            <w:r>
              <w:rPr>
                <w:sz w:val="19"/>
              </w:rPr>
              <w:t>28 Jun 2002 p. 3103</w:t>
            </w:r>
            <w:r>
              <w:rPr>
                <w:sz w:val="19"/>
              </w:rPr>
              <w:noBreakHyphen/>
              <w:t>5</w:t>
            </w:r>
          </w:p>
        </w:tc>
        <w:tc>
          <w:tcPr>
            <w:tcW w:w="2693" w:type="dxa"/>
            <w:tcBorders>
              <w:top w:val="single" w:sz="8" w:space="0" w:color="auto"/>
            </w:tcBorders>
          </w:tcPr>
          <w:p>
            <w:pPr>
              <w:pStyle w:val="nTable"/>
              <w:spacing w:after="40"/>
              <w:rPr>
                <w:i/>
                <w:sz w:val="19"/>
                <w:u w:val="single"/>
              </w:rPr>
            </w:pPr>
            <w:r>
              <w:rPr>
                <w:sz w:val="19"/>
              </w:rPr>
              <w:t xml:space="preserve">29 Jun 2002 (see r. 2 and </w:t>
            </w:r>
            <w:r>
              <w:rPr>
                <w:i/>
                <w:sz w:val="19"/>
              </w:rPr>
              <w:t xml:space="preserve">Gazette </w:t>
            </w:r>
            <w:r>
              <w:rPr>
                <w:sz w:val="19"/>
              </w:rPr>
              <w:t>28 Jun 2002 p. 3037)</w:t>
            </w:r>
          </w:p>
        </w:tc>
      </w:tr>
      <w:tr>
        <w:tc>
          <w:tcPr>
            <w:tcW w:w="3119" w:type="dxa"/>
          </w:tcPr>
          <w:p>
            <w:pPr>
              <w:pStyle w:val="nTable"/>
              <w:spacing w:after="40"/>
              <w:rPr>
                <w:i/>
                <w:sz w:val="19"/>
              </w:rPr>
            </w:pPr>
            <w:r>
              <w:rPr>
                <w:i/>
                <w:sz w:val="19"/>
              </w:rPr>
              <w:t>Criminal Investigation (Identifying People) Amendment Regulations 2002</w:t>
            </w:r>
          </w:p>
        </w:tc>
        <w:tc>
          <w:tcPr>
            <w:tcW w:w="1276" w:type="dxa"/>
          </w:tcPr>
          <w:p>
            <w:pPr>
              <w:pStyle w:val="nTable"/>
              <w:spacing w:after="40"/>
              <w:rPr>
                <w:sz w:val="19"/>
              </w:rPr>
            </w:pPr>
            <w:r>
              <w:rPr>
                <w:sz w:val="19"/>
              </w:rPr>
              <w:t>19 Nov 2002 p. 5507</w:t>
            </w:r>
            <w:r>
              <w:rPr>
                <w:sz w:val="19"/>
              </w:rPr>
              <w:noBreakHyphen/>
              <w:t>14</w:t>
            </w:r>
          </w:p>
        </w:tc>
        <w:tc>
          <w:tcPr>
            <w:tcW w:w="2693" w:type="dxa"/>
          </w:tcPr>
          <w:p>
            <w:pPr>
              <w:pStyle w:val="nTable"/>
              <w:spacing w:after="40"/>
              <w:rPr>
                <w:sz w:val="19"/>
              </w:rPr>
            </w:pPr>
            <w:r>
              <w:rPr>
                <w:sz w:val="19"/>
              </w:rPr>
              <w:t xml:space="preserve">20 Nov 2002 (see r. 2 and </w:t>
            </w:r>
            <w:r>
              <w:rPr>
                <w:i/>
                <w:sz w:val="19"/>
              </w:rPr>
              <w:t>Gazette</w:t>
            </w:r>
            <w:r>
              <w:rPr>
                <w:sz w:val="19"/>
              </w:rPr>
              <w:t xml:space="preserve"> 19 Nov 2002 p. 5505)</w:t>
            </w:r>
          </w:p>
        </w:tc>
      </w:tr>
      <w:tr>
        <w:tc>
          <w:tcPr>
            <w:tcW w:w="3119" w:type="dxa"/>
          </w:tcPr>
          <w:p>
            <w:pPr>
              <w:pStyle w:val="nTable"/>
              <w:spacing w:after="40"/>
              <w:rPr>
                <w:i/>
                <w:sz w:val="19"/>
              </w:rPr>
            </w:pPr>
            <w:r>
              <w:rPr>
                <w:i/>
                <w:sz w:val="19"/>
              </w:rPr>
              <w:t>Criminal Investigation (Identifying People) Amendment Regulations 2005</w:t>
            </w:r>
          </w:p>
        </w:tc>
        <w:tc>
          <w:tcPr>
            <w:tcW w:w="1276" w:type="dxa"/>
          </w:tcPr>
          <w:p>
            <w:pPr>
              <w:pStyle w:val="nTable"/>
              <w:spacing w:after="40"/>
              <w:rPr>
                <w:sz w:val="19"/>
              </w:rPr>
            </w:pPr>
            <w:r>
              <w:rPr>
                <w:sz w:val="19"/>
              </w:rPr>
              <w:t>14 Oct 2005 p. 4556</w:t>
            </w:r>
          </w:p>
        </w:tc>
        <w:tc>
          <w:tcPr>
            <w:tcW w:w="2693" w:type="dxa"/>
          </w:tcPr>
          <w:p>
            <w:pPr>
              <w:pStyle w:val="nTable"/>
              <w:spacing w:after="40"/>
              <w:rPr>
                <w:sz w:val="19"/>
              </w:rPr>
            </w:pPr>
            <w:r>
              <w:rPr>
                <w:sz w:val="19"/>
              </w:rPr>
              <w:t>14 Oct 2005</w:t>
            </w:r>
          </w:p>
        </w:tc>
      </w:tr>
      <w:tr>
        <w:tc>
          <w:tcPr>
            <w:tcW w:w="3119" w:type="dxa"/>
          </w:tcPr>
          <w:p>
            <w:pPr>
              <w:pStyle w:val="nTable"/>
              <w:spacing w:after="40"/>
              <w:rPr>
                <w:i/>
                <w:sz w:val="19"/>
              </w:rPr>
            </w:pPr>
            <w:r>
              <w:rPr>
                <w:i/>
                <w:sz w:val="19"/>
              </w:rPr>
              <w:t>Criminal Investigation (Identifying People) Amendment Regulations 2006</w:t>
            </w:r>
          </w:p>
        </w:tc>
        <w:tc>
          <w:tcPr>
            <w:tcW w:w="1276" w:type="dxa"/>
          </w:tcPr>
          <w:p>
            <w:pPr>
              <w:pStyle w:val="nTable"/>
              <w:spacing w:after="40"/>
              <w:rPr>
                <w:sz w:val="19"/>
              </w:rPr>
            </w:pPr>
            <w:r>
              <w:rPr>
                <w:sz w:val="19"/>
              </w:rPr>
              <w:t>27 Jun 2006 p. 2304</w:t>
            </w:r>
            <w:r>
              <w:rPr>
                <w:sz w:val="19"/>
              </w:rPr>
              <w:noBreakHyphen/>
              <w:t>6</w:t>
            </w:r>
          </w:p>
        </w:tc>
        <w:tc>
          <w:tcPr>
            <w:tcW w:w="2693" w:type="dxa"/>
          </w:tcPr>
          <w:p>
            <w:pPr>
              <w:pStyle w:val="nTable"/>
              <w:spacing w:after="40"/>
              <w:rPr>
                <w:sz w:val="19"/>
              </w:rPr>
            </w:pPr>
            <w:r>
              <w:rPr>
                <w:sz w:val="19"/>
              </w:rPr>
              <w:t>27 Jun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 xml:space="preserve">Criminal Investigation (Identifying People) Regulations 2002 </w:t>
            </w:r>
            <w:r>
              <w:rPr>
                <w:b/>
                <w:bCs/>
                <w:sz w:val="19"/>
              </w:rPr>
              <w:t>as at 23 Mar 2007</w:t>
            </w:r>
            <w:r>
              <w:rPr>
                <w:sz w:val="19"/>
              </w:rPr>
              <w:t xml:space="preserve"> (includes amendments listed above)</w:t>
            </w:r>
          </w:p>
        </w:tc>
      </w:tr>
      <w:tr>
        <w:tc>
          <w:tcPr>
            <w:tcW w:w="3119" w:type="dxa"/>
          </w:tcPr>
          <w:p>
            <w:pPr>
              <w:pStyle w:val="nTable"/>
              <w:spacing w:after="40"/>
              <w:rPr>
                <w:i/>
                <w:sz w:val="19"/>
              </w:rPr>
            </w:pPr>
            <w:r>
              <w:rPr>
                <w:i/>
                <w:sz w:val="19"/>
              </w:rPr>
              <w:t>Criminal Investigation (Identifying People) Amendment Regulations 2007</w:t>
            </w:r>
          </w:p>
        </w:tc>
        <w:tc>
          <w:tcPr>
            <w:tcW w:w="1276" w:type="dxa"/>
          </w:tcPr>
          <w:p>
            <w:pPr>
              <w:pStyle w:val="nTable"/>
              <w:spacing w:after="40"/>
              <w:rPr>
                <w:sz w:val="19"/>
              </w:rPr>
            </w:pPr>
            <w:r>
              <w:rPr>
                <w:sz w:val="19"/>
              </w:rPr>
              <w:t>2 Oct 2007 p. 4972-3</w:t>
            </w:r>
          </w:p>
        </w:tc>
        <w:tc>
          <w:tcPr>
            <w:tcW w:w="2693" w:type="dxa"/>
          </w:tcPr>
          <w:p>
            <w:pPr>
              <w:pStyle w:val="nTable"/>
              <w:spacing w:after="40"/>
              <w:rPr>
                <w:sz w:val="19"/>
              </w:rPr>
            </w:pPr>
            <w:r>
              <w:rPr>
                <w:sz w:val="19"/>
              </w:rPr>
              <w:t>r. 1 and 2: 2 Oct 2007 (see r. 2(a));</w:t>
            </w:r>
          </w:p>
          <w:p>
            <w:pPr>
              <w:pStyle w:val="nTable"/>
              <w:spacing w:after="40"/>
              <w:rPr>
                <w:sz w:val="19"/>
              </w:rPr>
            </w:pPr>
            <w:r>
              <w:rPr>
                <w:sz w:val="19"/>
              </w:rPr>
              <w:t>Regulations other than r. 1 and 2: 3 Oct 2007 (see r. 2(b))</w:t>
            </w:r>
          </w:p>
        </w:tc>
      </w:tr>
      <w:tr>
        <w:tc>
          <w:tcPr>
            <w:tcW w:w="3119" w:type="dxa"/>
            <w:tcBorders>
              <w:bottom w:val="single" w:sz="4" w:space="0" w:color="auto"/>
            </w:tcBorders>
          </w:tcPr>
          <w:p>
            <w:pPr>
              <w:pStyle w:val="nTable"/>
              <w:spacing w:after="40"/>
              <w:rPr>
                <w:i/>
                <w:sz w:val="19"/>
              </w:rPr>
            </w:pPr>
            <w:r>
              <w:rPr>
                <w:i/>
                <w:sz w:val="19"/>
              </w:rPr>
              <w:t>Criminal Investigation (Identifying People) Amendment Regulations 2009</w:t>
            </w:r>
          </w:p>
        </w:tc>
        <w:tc>
          <w:tcPr>
            <w:tcW w:w="1276" w:type="dxa"/>
            <w:tcBorders>
              <w:bottom w:val="single" w:sz="4" w:space="0" w:color="auto"/>
            </w:tcBorders>
          </w:tcPr>
          <w:p>
            <w:pPr>
              <w:pStyle w:val="nTable"/>
              <w:spacing w:after="40"/>
              <w:rPr>
                <w:sz w:val="19"/>
              </w:rPr>
            </w:pPr>
            <w:r>
              <w:rPr>
                <w:sz w:val="19"/>
              </w:rPr>
              <w:t>22 Dec 2009 p. 5274</w:t>
            </w:r>
            <w:r>
              <w:rPr>
                <w:sz w:val="19"/>
              </w:rPr>
              <w:noBreakHyphen/>
              <w:t>5</w:t>
            </w:r>
          </w:p>
        </w:tc>
        <w:tc>
          <w:tcPr>
            <w:tcW w:w="2693" w:type="dxa"/>
            <w:tcBorders>
              <w:bottom w:val="single" w:sz="4" w:space="0" w:color="auto"/>
            </w:tcBorders>
          </w:tcPr>
          <w:p>
            <w:pPr>
              <w:pStyle w:val="nTable"/>
              <w:spacing w:after="40"/>
              <w:rPr>
                <w:sz w:val="19"/>
              </w:rPr>
            </w:pPr>
            <w:r>
              <w:rPr>
                <w:snapToGrid w:val="0"/>
                <w:spacing w:val="-2"/>
                <w:sz w:val="19"/>
              </w:rPr>
              <w:t>r. 1 and 2: 22 Dec 2009 (see r. 2(a));</w:t>
            </w:r>
            <w:r>
              <w:rPr>
                <w:snapToGrid w:val="0"/>
                <w:spacing w:val="-2"/>
                <w:sz w:val="19"/>
              </w:rPr>
              <w:br/>
              <w:t>Regulations other than r. 1 and 2: 23 Dec 2009 (see r. 2(b))</w:t>
            </w:r>
          </w:p>
        </w:tc>
      </w:tr>
    </w:tbl>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23 Dec 2009</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01-c0-03</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Investigation (Identifying People)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Criminal Investigation (Identifying People) Regulations 2002</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Criminal Investigation (Identifying People)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Criminal Investigation (Identifying People)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Criminal Investigation (Identifying People)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07812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9FEC8880"/>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9"/>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4"/>
  </w:num>
  <w:num w:numId="15">
    <w:abstractNumId w:val="16"/>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085728"/>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1210085728" w:val="RemoveTrackChanges"/>
    <w:docVar w:name="WAFER_20151210085728_GUID" w:val="146fd274-b470-4f0d-90b9-d7bd79c0795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5"/>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6"/>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2100</Words>
  <Characters>13340</Characters>
  <Application>Microsoft Office Word</Application>
  <DocSecurity>0</DocSecurity>
  <Lines>494</Lines>
  <Paragraphs>241</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Criminal Investigation (Identifying People) Regulations 2002</vt:lpstr>
      <vt:lpstr>    Schedule 3 — IP warrant (involved protected person)</vt:lpstr>
      <vt:lpstr>    Schedule 4 — IP warrant (suspect)</vt:lpstr>
      <vt:lpstr>    Notes</vt:lpstr>
    </vt:vector>
  </TitlesOfParts>
  <Manager/>
  <Company/>
  <LinksUpToDate>false</LinksUpToDate>
  <CharactersWithSpaces>15199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2002 - 01-c0-03</dc:title>
  <dc:subject/>
  <dc:creator/>
  <cp:keywords/>
  <dc:description/>
  <cp:lastModifiedBy>svcMRProcess</cp:lastModifiedBy>
  <cp:revision>4</cp:revision>
  <cp:lastPrinted>2007-04-11T00:42:00Z</cp:lastPrinted>
  <dcterms:created xsi:type="dcterms:W3CDTF">2015-12-10T09:57:00Z</dcterms:created>
  <dcterms:modified xsi:type="dcterms:W3CDTF">2015-12-10T09:57:00Z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CommencementDate">
    <vt:lpwstr>20091223</vt:lpwstr>
  </property>
  <property fmtid="{D5CDD505-2E9C-101B-9397-08002B2CF9AE}" pid="4" name="DocumentType">
    <vt:lpwstr>Reg</vt:lpwstr>
  </property>
  <property fmtid="{D5CDD505-2E9C-101B-9397-08002B2CF9AE}" pid="5" name="OwlsUID">
    <vt:i4>3871</vt:i4>
  </property>
  <property fmtid="{D5CDD505-2E9C-101B-9397-08002B2CF9AE}" pid="6" name="ReprintNo">
    <vt:lpwstr>1</vt:lpwstr>
  </property>
  <property fmtid="{D5CDD505-2E9C-101B-9397-08002B2CF9AE}" pid="7" name="AsAtDate">
    <vt:lpwstr>23 Dec 2009</vt:lpwstr>
  </property>
  <property fmtid="{D5CDD505-2E9C-101B-9397-08002B2CF9AE}" pid="8" name="Suffix">
    <vt:lpwstr>01-c0-03</vt:lpwstr>
  </property>
</Properties>
</file>