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Casino Control Act 1984</w:t>
      </w:r>
    </w:p>
    <w:p>
      <w:pPr>
        <w:pStyle w:val="NameofActRegPage1"/>
        <w:spacing w:before="180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_Toc249254363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_Toc249254364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_Toc249254365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_Toc249254366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_Toc249254367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_Toc249254368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_Toc249254369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_Toc249254370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_Toc249254371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_Toc249254372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_Toc249254373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_Toc249254374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_Toc249254375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_Toc249254376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_Toc249254377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_Toc249254378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_Toc249254379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_Toc249254380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_Toc249254381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_Toc249254382 \h </w:instrText>
      </w:r>
      <w:r>
        <w:fldChar w:fldCharType="separate"/>
      </w:r>
      <w:r>
        <w:t>17</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_Toc249254383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_Toc249254384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_Toc249254387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249254363"/>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49254364"/>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49254365"/>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49254366"/>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249254367"/>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212946881"/>
      <w:bookmarkStart w:id="30" w:name="_Toc249254368"/>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$400; and</w:t>
      </w:r>
    </w:p>
    <w:p>
      <w:pPr>
        <w:pStyle w:val="Indenta"/>
        <w:rPr>
          <w:snapToGrid w:val="0"/>
        </w:rPr>
      </w:pPr>
      <w:r>
        <w:rPr>
          <w:snapToGrid w:val="0"/>
        </w:rPr>
        <w:tab/>
        <w:t>(b)</w:t>
      </w:r>
      <w:r>
        <w:rPr>
          <w:snapToGrid w:val="0"/>
        </w:rPr>
        <w:tab/>
        <w:t xml:space="preserve">for a casino employee licence, is </w:t>
      </w:r>
      <w:r>
        <w:t>$250.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 xml:space="preserve">40; 30 Oct 2009 p. 4315-16.] </w:t>
      </w:r>
    </w:p>
    <w:p>
      <w:pPr>
        <w:pStyle w:val="Heading5"/>
        <w:rPr>
          <w:snapToGrid w:val="0"/>
        </w:rPr>
      </w:pPr>
      <w:bookmarkStart w:id="31" w:name="_Toc455999615"/>
      <w:bookmarkStart w:id="32" w:name="_Toc45359610"/>
      <w:bookmarkStart w:id="33" w:name="_Toc116985889"/>
      <w:bookmarkStart w:id="34" w:name="_Toc212946882"/>
      <w:bookmarkStart w:id="35" w:name="_Toc249254369"/>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249254370"/>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249254371"/>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249254372"/>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249254373"/>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249254374"/>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249254375"/>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249254376"/>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249254377"/>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249254378"/>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249254379"/>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249254380"/>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249254381"/>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249254382"/>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249254383"/>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249254384"/>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9" w:name="_Toc82249527"/>
      <w:bookmarkStart w:id="130" w:name="_Toc107386725"/>
      <w:bookmarkStart w:id="131" w:name="_Toc116985906"/>
      <w:bookmarkStart w:id="132" w:name="_Toc131402581"/>
      <w:bookmarkStart w:id="133" w:name="_Toc131903953"/>
      <w:bookmarkStart w:id="134" w:name="_Toc131912921"/>
      <w:bookmarkStart w:id="135" w:name="_Toc133218347"/>
      <w:bookmarkStart w:id="136" w:name="_Toc140368921"/>
      <w:bookmarkStart w:id="137" w:name="_Toc151200076"/>
      <w:bookmarkStart w:id="138" w:name="_Toc151260900"/>
      <w:bookmarkStart w:id="139" w:name="_Toc155062952"/>
      <w:bookmarkStart w:id="140" w:name="_Toc155080133"/>
      <w:bookmarkStart w:id="141" w:name="_Toc155080182"/>
      <w:bookmarkStart w:id="142" w:name="_Toc179703959"/>
      <w:bookmarkStart w:id="143" w:name="_Toc185647027"/>
      <w:bookmarkStart w:id="144" w:name="_Toc212946899"/>
      <w:bookmarkStart w:id="145" w:name="_Toc218325566"/>
      <w:bookmarkStart w:id="146" w:name="_Toc218400288"/>
      <w:bookmarkStart w:id="147" w:name="_Toc244662706"/>
      <w:bookmarkStart w:id="148" w:name="_Toc249254386"/>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212946900"/>
      <w:bookmarkStart w:id="150" w:name="_Toc249254387"/>
      <w:r>
        <w:t>Compilation table</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Borders>
              <w:bottom w:val="single" w:sz="4" w:space="0" w:color="auto"/>
            </w:tcBorders>
          </w:tcPr>
          <w:p>
            <w:pPr>
              <w:pStyle w:val="nTable"/>
              <w:spacing w:after="40"/>
              <w:rPr>
                <w:sz w:val="19"/>
              </w:rPr>
            </w:pPr>
            <w:r>
              <w:rPr>
                <w:sz w:val="19"/>
              </w:rPr>
              <w:t>30 Oct 2009 p. 4315</w:t>
            </w:r>
            <w:r>
              <w:rPr>
                <w:sz w:val="19"/>
              </w:rPr>
              <w:noBreakHyphen/>
              <w:t>16</w:t>
            </w:r>
          </w:p>
        </w:tc>
        <w:tc>
          <w:tcPr>
            <w:tcW w:w="2693" w:type="dxa"/>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bookmarkStart w:id="151" w:name="UpToHere"/>
      <w:bookmarkEnd w:id="151"/>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43"/>
    <w:docVar w:name="WAFER_20151207141543" w:val="RemoveTrackChanges"/>
    <w:docVar w:name="WAFER_20151207141543_GUID" w:val="38bd8410-5c28-495c-bd37-25822938d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6668</Words>
  <Characters>35942</Characters>
  <Application>Microsoft Office Word</Application>
  <DocSecurity>0</DocSecurity>
  <Lines>971</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1985 - 02-i0-02</dc:title>
  <dc:subject/>
  <dc:creator/>
  <cp:keywords/>
  <dc:description/>
  <cp:lastModifiedBy>svcMRProcess</cp:lastModifiedBy>
  <cp:revision>4</cp:revision>
  <cp:lastPrinted>2006-06-14T01:39:00Z</cp:lastPrinted>
  <dcterms:created xsi:type="dcterms:W3CDTF">2018-09-10T05:22:00Z</dcterms:created>
  <dcterms:modified xsi:type="dcterms:W3CDTF">2018-09-10T05:22:00Z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01 Jan 2010</vt:lpwstr>
  </property>
  <property fmtid="{D5CDD505-2E9C-101B-9397-08002B2CF9AE}" pid="8" name="Suffix">
    <vt:lpwstr>02-i0-02</vt:lpwstr>
  </property>
</Properties>
</file>