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Port Hedland Port Authority Act 1970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10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Hedland Port Authority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_Toc425946719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_Toc425946720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_Toc425946721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port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w:t>
      </w:r>
    </w:p>
    <w:p>
      <w:pPr>
        <w:pStyle w:val="TOC8"/>
        <w:rPr>
          <w:rFonts w:asciiTheme="minorHAnsi" w:eastAsiaTheme="minorEastAsia" w:hAnsiTheme="minorHAnsi" w:cstheme="minorBidi"/>
          <w:szCs w:val="22"/>
        </w:rPr>
      </w:pPr>
      <w:r>
        <w:t>5</w:t>
      </w:r>
      <w:r>
        <w:rPr>
          <w:snapToGrid w:val="0"/>
        </w:rPr>
        <w:t>.</w:t>
      </w:r>
      <w:r>
        <w:rPr>
          <w:snapToGrid w:val="0"/>
        </w:rPr>
        <w:tab/>
        <w:t>Port Hedland Port Authority</w:t>
      </w:r>
      <w:r>
        <w:tab/>
      </w:r>
      <w:r>
        <w:fldChar w:fldCharType="begin"/>
      </w:r>
      <w:r>
        <w:instrText xml:space="preserve"> PAGEREF _Toc425946724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Port Authority</w:t>
      </w:r>
      <w:r>
        <w:tab/>
      </w:r>
      <w:r>
        <w:fldChar w:fldCharType="begin"/>
      </w:r>
      <w:r>
        <w:instrText xml:space="preserve"> PAGEREF _Toc425946725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vertAlign w:val="superscript"/>
        </w:rPr>
        <w:t xml:space="preserve"> 2</w:t>
      </w:r>
      <w:r>
        <w:rPr>
          <w:snapToGrid w:val="0"/>
        </w:rPr>
        <w:tab/>
        <w:t>Period of office of member</w:t>
      </w:r>
      <w:r>
        <w:tab/>
      </w:r>
      <w:r>
        <w:fldChar w:fldCharType="begin"/>
      </w:r>
      <w:r>
        <w:instrText xml:space="preserve"> PAGEREF _Toc425946726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Deputy members</w:t>
      </w:r>
      <w:r>
        <w:tab/>
      </w:r>
      <w:r>
        <w:fldChar w:fldCharType="begin"/>
      </w:r>
      <w:r>
        <w:instrText xml:space="preserve"> PAGEREF _Toc425946727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Disclosure by members</w:t>
      </w:r>
      <w:r>
        <w:tab/>
      </w:r>
      <w:r>
        <w:fldChar w:fldCharType="begin"/>
      </w:r>
      <w:r>
        <w:instrText xml:space="preserve"> PAGEREF _Toc425946728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Removal from office</w:t>
      </w:r>
      <w:r>
        <w:tab/>
      </w:r>
      <w:r>
        <w:fldChar w:fldCharType="begin"/>
      </w:r>
      <w:r>
        <w:instrText xml:space="preserve"> PAGEREF _Toc425946729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_Toc425946730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_Toc425946731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Resignation of member</w:t>
      </w:r>
      <w:r>
        <w:tab/>
      </w:r>
      <w:r>
        <w:fldChar w:fldCharType="begin"/>
      </w:r>
      <w:r>
        <w:instrText xml:space="preserve"> PAGEREF _Toc425946732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the Port Authority</w:t>
      </w:r>
      <w:r>
        <w:tab/>
      </w:r>
      <w:r>
        <w:fldChar w:fldCharType="begin"/>
      </w:r>
      <w:r>
        <w:instrText xml:space="preserve"> PAGEREF _Toc425946733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Record proceedings</w:t>
      </w:r>
      <w:r>
        <w:tab/>
      </w:r>
      <w:r>
        <w:fldChar w:fldCharType="begin"/>
      </w:r>
      <w:r>
        <w:instrText xml:space="preserve"> PAGEREF _Toc425946734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Officers and other employees</w:t>
      </w:r>
    </w:p>
    <w:p>
      <w:pPr>
        <w:pStyle w:val="TOC8"/>
        <w:rPr>
          <w:rFonts w:asciiTheme="minorHAnsi" w:eastAsiaTheme="minorEastAsia" w:hAnsiTheme="minorHAnsi" w:cstheme="minorBidi"/>
          <w:szCs w:val="22"/>
        </w:rPr>
      </w:pPr>
      <w:r>
        <w:t>17</w:t>
      </w:r>
      <w:r>
        <w:rPr>
          <w:snapToGrid w:val="0"/>
        </w:rPr>
        <w:t>.</w:t>
      </w:r>
      <w:r>
        <w:rPr>
          <w:snapToGrid w:val="0"/>
        </w:rPr>
        <w:tab/>
        <w:t>Appointment of officers and employees</w:t>
      </w:r>
      <w:r>
        <w:tab/>
      </w:r>
      <w:r>
        <w:fldChar w:fldCharType="begin"/>
      </w:r>
      <w:r>
        <w:instrText xml:space="preserve"> PAGEREF _Toc425946736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officers to give security</w:t>
      </w:r>
      <w:r>
        <w:tab/>
      </w:r>
      <w:r>
        <w:fldChar w:fldCharType="begin"/>
      </w:r>
      <w:r>
        <w:instrText xml:space="preserve"> PAGEREF _Toc425946737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Vesting of property</w:t>
      </w:r>
    </w:p>
    <w:p>
      <w:pPr>
        <w:pStyle w:val="TOC8"/>
        <w:rPr>
          <w:rFonts w:asciiTheme="minorHAnsi" w:eastAsiaTheme="minorEastAsia" w:hAnsiTheme="minorHAnsi" w:cstheme="minorBidi"/>
          <w:szCs w:val="22"/>
        </w:rPr>
      </w:pPr>
      <w:r>
        <w:t>19</w:t>
      </w:r>
      <w:r>
        <w:rPr>
          <w:snapToGrid w:val="0"/>
        </w:rPr>
        <w:t>.</w:t>
      </w:r>
      <w:r>
        <w:rPr>
          <w:snapToGrid w:val="0"/>
        </w:rPr>
        <w:tab/>
        <w:t>Property vested in Port Authority</w:t>
      </w:r>
      <w:r>
        <w:tab/>
      </w:r>
      <w:r>
        <w:fldChar w:fldCharType="begin"/>
      </w:r>
      <w:r>
        <w:instrText xml:space="preserve"> PAGEREF _Toc425946739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Disposal of land with Governor’s approval</w:t>
      </w:r>
      <w:r>
        <w:tab/>
      </w:r>
      <w:r>
        <w:fldChar w:fldCharType="begin"/>
      </w:r>
      <w:r>
        <w:instrText xml:space="preserve"> PAGEREF _Toc425946740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Exemption from local government rates</w:t>
      </w:r>
      <w:r>
        <w:tab/>
      </w:r>
      <w:r>
        <w:fldChar w:fldCharType="begin"/>
      </w:r>
      <w:r>
        <w:instrText xml:space="preserve"> PAGEREF _Toc425946741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Powers and duties of the Port Authority</w:t>
      </w:r>
    </w:p>
    <w:p>
      <w:pPr>
        <w:pStyle w:val="TOC8"/>
        <w:rPr>
          <w:rFonts w:asciiTheme="minorHAnsi" w:eastAsiaTheme="minorEastAsia" w:hAnsiTheme="minorHAnsi" w:cstheme="minorBidi"/>
          <w:szCs w:val="22"/>
        </w:rPr>
      </w:pPr>
      <w:r>
        <w:t>22</w:t>
      </w:r>
      <w:r>
        <w:rPr>
          <w:snapToGrid w:val="0"/>
        </w:rPr>
        <w:t>.</w:t>
      </w:r>
      <w:r>
        <w:rPr>
          <w:snapToGrid w:val="0"/>
        </w:rPr>
        <w:tab/>
        <w:t>Control of Port and maintenance of property by Port Authority</w:t>
      </w:r>
      <w:r>
        <w:tab/>
      </w:r>
      <w:r>
        <w:fldChar w:fldCharType="begin"/>
      </w:r>
      <w:r>
        <w:instrText xml:space="preserve"> PAGEREF _Toc425946743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Construction of port works</w:t>
      </w:r>
      <w:r>
        <w:tab/>
      </w:r>
      <w:r>
        <w:fldChar w:fldCharType="begin"/>
      </w:r>
      <w:r>
        <w:instrText xml:space="preserve"> PAGEREF _Toc425946744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acquire land compulsorily</w:t>
      </w:r>
      <w:r>
        <w:tab/>
      </w:r>
      <w:r>
        <w:fldChar w:fldCharType="begin"/>
      </w:r>
      <w:r>
        <w:instrText xml:space="preserve"> PAGEREF _Toc425946745 \h </w:instrText>
      </w:r>
      <w:r>
        <w:fldChar w:fldCharType="separate"/>
      </w:r>
      <w:r>
        <w:t>13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Capital expenditure to be in financial interest of Port Authority</w:t>
      </w:r>
      <w:r>
        <w:tab/>
      </w:r>
      <w:r>
        <w:fldChar w:fldCharType="begin"/>
      </w:r>
      <w:r>
        <w:instrText xml:space="preserve"> PAGEREF _Toc425946746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not to remain on wharf etc. longer than prescribed time</w:t>
      </w:r>
      <w:r>
        <w:tab/>
      </w:r>
      <w:r>
        <w:fldChar w:fldCharType="begin"/>
      </w:r>
      <w:r>
        <w:instrText xml:space="preserve"> PAGEREF _Toc425946747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Government Departments to be settled by Minister</w:t>
      </w:r>
      <w:r>
        <w:tab/>
      </w:r>
      <w:r>
        <w:fldChar w:fldCharType="begin"/>
      </w:r>
      <w:r>
        <w:instrText xml:space="preserve"> PAGEREF _Toc425946748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Damage</w:t>
      </w:r>
    </w:p>
    <w:p>
      <w:pPr>
        <w:pStyle w:val="TOC8"/>
        <w:rPr>
          <w:rFonts w:asciiTheme="minorHAnsi" w:eastAsiaTheme="minorEastAsia" w:hAnsiTheme="minorHAnsi" w:cstheme="minorBidi"/>
          <w:szCs w:val="22"/>
        </w:rPr>
      </w:pPr>
      <w:r>
        <w:t>33</w:t>
      </w:r>
      <w:r>
        <w:rPr>
          <w:snapToGrid w:val="0"/>
        </w:rPr>
        <w:t>.</w:t>
      </w:r>
      <w:r>
        <w:rPr>
          <w:snapToGrid w:val="0"/>
        </w:rPr>
        <w:tab/>
        <w:t>Responsibility for injury to works</w:t>
      </w:r>
      <w:r>
        <w:tab/>
      </w:r>
      <w:r>
        <w:fldChar w:fldCharType="begin"/>
      </w:r>
      <w:r>
        <w:instrText xml:space="preserve"> PAGEREF _Toc425946750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for damage to submarine cables</w:t>
      </w:r>
      <w:r>
        <w:tab/>
      </w:r>
      <w:r>
        <w:fldChar w:fldCharType="begin"/>
      </w:r>
      <w:r>
        <w:instrText xml:space="preserve"> PAGEREF _Toc425946751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Port dues and wharfage charges</w:t>
      </w:r>
    </w:p>
    <w:p>
      <w:pPr>
        <w:pStyle w:val="TOC8"/>
        <w:rPr>
          <w:rFonts w:asciiTheme="minorHAnsi" w:eastAsiaTheme="minorEastAsia" w:hAnsiTheme="minorHAnsi" w:cstheme="minorBidi"/>
          <w:szCs w:val="22"/>
        </w:rPr>
      </w:pPr>
      <w:r>
        <w:t>36</w:t>
      </w:r>
      <w:r>
        <w:rPr>
          <w:snapToGrid w:val="0"/>
        </w:rPr>
        <w:t>.</w:t>
      </w:r>
      <w:r>
        <w:rPr>
          <w:snapToGrid w:val="0"/>
        </w:rPr>
        <w:tab/>
        <w:t>Port dues etc. fixed by regulations</w:t>
      </w:r>
      <w:r>
        <w:tab/>
      </w:r>
      <w:r>
        <w:fldChar w:fldCharType="begin"/>
      </w:r>
      <w:r>
        <w:instrText xml:space="preserve"> PAGEREF _Toc425946753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of Port Authority to levy port improvement rates</w:t>
      </w:r>
      <w:r>
        <w:tab/>
      </w:r>
      <w:r>
        <w:fldChar w:fldCharType="begin"/>
      </w:r>
      <w:r>
        <w:instrText xml:space="preserve"> PAGEREF _Toc425946754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Calculation of dues</w:t>
      </w:r>
      <w:r>
        <w:tab/>
      </w:r>
      <w:r>
        <w:fldChar w:fldCharType="begin"/>
      </w:r>
      <w:r>
        <w:instrText xml:space="preserve"> PAGEREF _Toc425946755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Measurement of tonnage in other cases</w:t>
      </w:r>
      <w:r>
        <w:tab/>
      </w:r>
      <w:r>
        <w:fldChar w:fldCharType="begin"/>
      </w:r>
      <w:r>
        <w:instrText xml:space="preserve"> PAGEREF _Toc425946756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 case of difference power to weigh or measure goods</w:t>
      </w:r>
      <w:r>
        <w:tab/>
      </w:r>
      <w:r>
        <w:fldChar w:fldCharType="begin"/>
      </w:r>
      <w:r>
        <w:instrText xml:space="preserve"> PAGEREF _Toc425946757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Liability for dues</w:t>
      </w:r>
    </w:p>
    <w:p>
      <w:pPr>
        <w:pStyle w:val="TOC8"/>
        <w:rPr>
          <w:rFonts w:asciiTheme="minorHAnsi" w:eastAsiaTheme="minorEastAsia" w:hAnsiTheme="minorHAnsi" w:cstheme="minorBidi"/>
          <w:szCs w:val="22"/>
        </w:rPr>
      </w:pPr>
      <w:r>
        <w:t>41</w:t>
      </w:r>
      <w:r>
        <w:rPr>
          <w:snapToGrid w:val="0"/>
        </w:rPr>
        <w:t>.</w:t>
      </w:r>
      <w:r>
        <w:rPr>
          <w:snapToGrid w:val="0"/>
        </w:rPr>
        <w:tab/>
        <w:t>Liability for dues payable by ships</w:t>
      </w:r>
      <w:r>
        <w:tab/>
      </w:r>
      <w:r>
        <w:fldChar w:fldCharType="begin"/>
      </w:r>
      <w:r>
        <w:instrText xml:space="preserve"> PAGEREF _Toc425946759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Liability for dues payable for goods</w:t>
      </w:r>
      <w:r>
        <w:tab/>
      </w:r>
      <w:r>
        <w:fldChar w:fldCharType="begin"/>
      </w:r>
      <w:r>
        <w:instrText xml:space="preserve"> PAGEREF _Toc425946760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of person other than master or owner of ship to retain certain moneys for payment of dues</w:t>
      </w:r>
      <w:r>
        <w:tab/>
      </w:r>
      <w:r>
        <w:fldChar w:fldCharType="begin"/>
      </w:r>
      <w:r>
        <w:instrText xml:space="preserve"> PAGEREF _Toc425946761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dues</w:t>
      </w:r>
      <w:r>
        <w:tab/>
      </w:r>
      <w:r>
        <w:fldChar w:fldCharType="begin"/>
      </w:r>
      <w:r>
        <w:instrText xml:space="preserve"> PAGEREF _Toc425946762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of persons authorized to collect dues to distrain</w:t>
      </w:r>
      <w:r>
        <w:tab/>
      </w:r>
      <w:r>
        <w:fldChar w:fldCharType="begin"/>
      </w:r>
      <w:r>
        <w:instrText xml:space="preserve"> PAGEREF _Toc425946763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Settlement of dispute concerning dues of charges occasioned by distress</w:t>
      </w:r>
      <w:r>
        <w:tab/>
      </w:r>
      <w:r>
        <w:fldChar w:fldCharType="begin"/>
      </w:r>
      <w:r>
        <w:instrText xml:space="preserve"> PAGEREF _Toc425946764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Penalty on evasion</w:t>
      </w:r>
      <w:r>
        <w:tab/>
      </w:r>
      <w:r>
        <w:fldChar w:fldCharType="begin"/>
      </w:r>
      <w:r>
        <w:instrText xml:space="preserve"> PAGEREF _Toc425946765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Power of Governor to revise port duties</w:t>
      </w:r>
      <w:r>
        <w:tab/>
      </w:r>
      <w:r>
        <w:fldChar w:fldCharType="begin"/>
      </w:r>
      <w:r>
        <w:instrText xml:space="preserve"> PAGEREF _Toc425946766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49</w:t>
      </w:r>
      <w:r>
        <w:rPr>
          <w:snapToGrid w:val="0"/>
        </w:rPr>
        <w:t>.</w:t>
      </w:r>
      <w:r>
        <w:rPr>
          <w:snapToGrid w:val="0"/>
        </w:rPr>
        <w:tab/>
        <w:t>Determination of value of property vested in Port Authority</w:t>
      </w:r>
      <w:r>
        <w:tab/>
      </w:r>
      <w:r>
        <w:fldChar w:fldCharType="begin"/>
      </w:r>
      <w:r>
        <w:instrText xml:space="preserve"> PAGEREF _Toc425946768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Value of subsequent works</w:t>
      </w:r>
      <w:r>
        <w:tab/>
      </w:r>
      <w:r>
        <w:fldChar w:fldCharType="begin"/>
      </w:r>
      <w:r>
        <w:instrText xml:space="preserve"> PAGEREF _Toc425946769 \h </w:instrText>
      </w:r>
      <w:r>
        <w:fldChar w:fldCharType="separate"/>
      </w:r>
      <w:r>
        <w:t>23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Annual financial targets</w:t>
      </w:r>
      <w:r>
        <w:tab/>
      </w:r>
      <w:r>
        <w:fldChar w:fldCharType="begin"/>
      </w:r>
      <w:r>
        <w:instrText xml:space="preserve"> PAGEREF _Toc425946770 \h </w:instrText>
      </w:r>
      <w:r>
        <w:fldChar w:fldCharType="separate"/>
      </w:r>
      <w:r>
        <w:t>23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Payment of dividend to the State</w:t>
      </w:r>
      <w:r>
        <w:tab/>
      </w:r>
      <w:r>
        <w:fldChar w:fldCharType="begin"/>
      </w:r>
      <w:r>
        <w:instrText xml:space="preserve"> PAGEREF _Toc425946771 \h </w:instrText>
      </w:r>
      <w:r>
        <w:fldChar w:fldCharType="separate"/>
      </w:r>
      <w:r>
        <w:t>25</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Information to be provided to Minister</w:t>
      </w:r>
      <w:r>
        <w:tab/>
      </w:r>
      <w:r>
        <w:fldChar w:fldCharType="begin"/>
      </w:r>
      <w:r>
        <w:instrText xml:space="preserve"> PAGEREF _Toc425946772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Funds of the Port Authority</w:t>
      </w:r>
      <w:r>
        <w:tab/>
      </w:r>
      <w:r>
        <w:fldChar w:fldCharType="begin"/>
      </w:r>
      <w:r>
        <w:instrText xml:space="preserve"> PAGEREF _Toc425946773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Port Authority to borrow money from Treasurer</w:t>
      </w:r>
      <w:r>
        <w:tab/>
      </w:r>
      <w:r>
        <w:fldChar w:fldCharType="begin"/>
      </w:r>
      <w:r>
        <w:instrText xml:space="preserve"> PAGEREF _Toc425946774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Port Authority to borrow money on issue of debentures or inscribed stock</w:t>
      </w:r>
      <w:r>
        <w:tab/>
      </w:r>
      <w:r>
        <w:fldChar w:fldCharType="begin"/>
      </w:r>
      <w:r>
        <w:instrText xml:space="preserve"> PAGEREF _Toc425946775 \h </w:instrText>
      </w:r>
      <w:r>
        <w:fldChar w:fldCharType="separate"/>
      </w:r>
      <w:r>
        <w:t>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Port Authority to borrow to repay loan</w:t>
      </w:r>
      <w:r>
        <w:tab/>
      </w:r>
      <w:r>
        <w:fldChar w:fldCharType="begin"/>
      </w:r>
      <w:r>
        <w:instrText xml:space="preserve"> PAGEREF _Toc425946776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Moneys borrowed charged on revenues of Port Authority and guaranteed by the State</w:t>
      </w:r>
      <w:r>
        <w:tab/>
      </w:r>
      <w:r>
        <w:fldChar w:fldCharType="begin"/>
      </w:r>
      <w:r>
        <w:instrText xml:space="preserve"> PAGEREF _Toc425946777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Provisions of second schedule to apply to debentures and inscribed stock</w:t>
      </w:r>
      <w:r>
        <w:tab/>
      </w:r>
      <w:r>
        <w:fldChar w:fldCharType="begin"/>
      </w:r>
      <w:r>
        <w:instrText xml:space="preserve"> PAGEREF _Toc425946778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Debentures and inscribed stock authorized trustee investments</w:t>
      </w:r>
      <w:r>
        <w:tab/>
      </w:r>
      <w:r>
        <w:fldChar w:fldCharType="begin"/>
      </w:r>
      <w:r>
        <w:instrText xml:space="preserve"> PAGEREF _Toc425946779 \h </w:instrText>
      </w:r>
      <w:r>
        <w:fldChar w:fldCharType="separate"/>
      </w:r>
      <w:r>
        <w:t>31</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Validation</w:t>
      </w:r>
      <w:r>
        <w:tab/>
      </w:r>
      <w:r>
        <w:fldChar w:fldCharType="begin"/>
      </w:r>
      <w:r>
        <w:instrText xml:space="preserve"> PAGEREF _Toc425946780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Contribution of interest and sinking fund</w:t>
      </w:r>
      <w:r>
        <w:tab/>
      </w:r>
      <w:r>
        <w:fldChar w:fldCharType="begin"/>
      </w:r>
      <w:r>
        <w:instrText xml:space="preserve"> PAGEREF _Toc425946781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Interest on daily balance</w:t>
      </w:r>
      <w:r>
        <w:tab/>
      </w:r>
      <w:r>
        <w:fldChar w:fldCharType="begin"/>
      </w:r>
      <w:r>
        <w:instrText xml:space="preserve"> PAGEREF _Toc425946782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Financial self sufficiency</w:t>
      </w:r>
      <w:r>
        <w:tab/>
      </w:r>
      <w:r>
        <w:fldChar w:fldCharType="begin"/>
      </w:r>
      <w:r>
        <w:instrText xml:space="preserve"> PAGEREF _Toc425946783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_Toc425946784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70</w:t>
      </w:r>
      <w:r>
        <w:rPr>
          <w:snapToGrid w:val="0"/>
        </w:rPr>
        <w:t>.</w:t>
      </w:r>
      <w:r>
        <w:rPr>
          <w:snapToGrid w:val="0"/>
        </w:rPr>
        <w:tab/>
        <w:t>Offences of depositing ballast or rubbish</w:t>
      </w:r>
      <w:r>
        <w:tab/>
      </w:r>
      <w:r>
        <w:fldChar w:fldCharType="begin"/>
      </w:r>
      <w:r>
        <w:instrText xml:space="preserve"> PAGEREF _Toc425946786 \h </w:instrText>
      </w:r>
      <w:r>
        <w:fldChar w:fldCharType="separate"/>
      </w:r>
      <w:r>
        <w:t>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 of damaging lights, buoys, beacons, etc</w:t>
      </w:r>
      <w:r>
        <w:tab/>
      </w:r>
      <w:r>
        <w:fldChar w:fldCharType="begin"/>
      </w:r>
      <w:r>
        <w:instrText xml:space="preserve"> PAGEREF _Toc425946787 \h </w:instrText>
      </w:r>
      <w:r>
        <w:fldChar w:fldCharType="separate"/>
      </w:r>
      <w:r>
        <w:t>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Penalty for wilful damage to lights</w:t>
      </w:r>
      <w:r>
        <w:tab/>
      </w:r>
      <w:r>
        <w:fldChar w:fldCharType="begin"/>
      </w:r>
      <w:r>
        <w:instrText xml:space="preserve"> PAGEREF _Toc425946788 \h </w:instrText>
      </w:r>
      <w:r>
        <w:fldChar w:fldCharType="separate"/>
      </w:r>
      <w:r>
        <w:t>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Other offences</w:t>
      </w:r>
      <w:r>
        <w:tab/>
      </w:r>
      <w:r>
        <w:fldChar w:fldCharType="begin"/>
      </w:r>
      <w:r>
        <w:instrText xml:space="preserve"> PAGEREF _Toc425946789 \h </w:instrText>
      </w:r>
      <w:r>
        <w:fldChar w:fldCharType="separate"/>
      </w:r>
      <w:r>
        <w:t>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Offence of offering bribes to officers</w:t>
      </w:r>
      <w:r>
        <w:tab/>
      </w:r>
      <w:r>
        <w:fldChar w:fldCharType="begin"/>
      </w:r>
      <w:r>
        <w:instrText xml:space="preserve"> PAGEREF _Toc425946790 \h </w:instrText>
      </w:r>
      <w:r>
        <w:fldChar w:fldCharType="separate"/>
      </w:r>
      <w:r>
        <w:t>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General penalty</w:t>
      </w:r>
      <w:r>
        <w:tab/>
      </w:r>
      <w:r>
        <w:fldChar w:fldCharType="begin"/>
      </w:r>
      <w:r>
        <w:instrText xml:space="preserve"> PAGEREF _Toc425946791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Averment as to Port</w:t>
      </w:r>
      <w:r>
        <w:tab/>
      </w:r>
      <w:r>
        <w:fldChar w:fldCharType="begin"/>
      </w:r>
      <w:r>
        <w:instrText xml:space="preserve"> PAGEREF _Toc425946792 \h </w:instrText>
      </w:r>
      <w:r>
        <w:fldChar w:fldCharType="separate"/>
      </w:r>
      <w:r>
        <w:t>36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Application of penalties</w:t>
      </w:r>
      <w:r>
        <w:tab/>
      </w:r>
      <w:r>
        <w:fldChar w:fldCharType="begin"/>
      </w:r>
      <w:r>
        <w:instrText xml:space="preserve"> PAGEREF _Toc425946793 \h </w:instrText>
      </w:r>
      <w:r>
        <w:fldChar w:fldCharType="separate"/>
      </w:r>
      <w:r>
        <w:t>36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Police officer to report breaches of the Act</w:t>
      </w:r>
      <w:r>
        <w:tab/>
      </w:r>
      <w:r>
        <w:fldChar w:fldCharType="begin"/>
      </w:r>
      <w:r>
        <w:instrText xml:space="preserve"> PAGEREF _Toc425946794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Power of Port Authority to give security</w:t>
      </w:r>
      <w:r>
        <w:tab/>
      </w:r>
      <w:r>
        <w:fldChar w:fldCharType="begin"/>
      </w:r>
      <w:r>
        <w:instrText xml:space="preserve"> PAGEREF _Toc425946795 \h </w:instrText>
      </w:r>
      <w:r>
        <w:fldChar w:fldCharType="separate"/>
      </w:r>
      <w:r>
        <w:t>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Power of Governor to ratify irregularities etc.</w:t>
      </w:r>
      <w:r>
        <w:tab/>
      </w:r>
      <w:r>
        <w:fldChar w:fldCharType="begin"/>
      </w:r>
      <w:r>
        <w:instrText xml:space="preserve"> PAGEREF _Toc425946796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82</w:t>
      </w:r>
      <w:r>
        <w:rPr>
          <w:snapToGrid w:val="0"/>
        </w:rPr>
        <w:t>.</w:t>
      </w:r>
      <w:r>
        <w:rPr>
          <w:snapToGrid w:val="0"/>
        </w:rPr>
        <w:tab/>
        <w:t>Power of Port Authority to make regulations</w:t>
      </w:r>
      <w:r>
        <w:tab/>
      </w:r>
      <w:r>
        <w:fldChar w:fldCharType="begin"/>
      </w:r>
      <w:r>
        <w:instrText xml:space="preserve"> PAGEREF _Toc425946798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Penalties for breach of regulations</w:t>
      </w:r>
      <w:r>
        <w:tab/>
      </w:r>
      <w:r>
        <w:fldChar w:fldCharType="begin"/>
      </w:r>
      <w:r>
        <w:instrText xml:space="preserve"> PAGEREF _Toc425946799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Adoption of rules, codes, etc.</w:t>
      </w:r>
      <w:r>
        <w:tab/>
      </w:r>
      <w:r>
        <w:fldChar w:fldCharType="begin"/>
      </w:r>
      <w:r>
        <w:instrText xml:space="preserve"> PAGEREF _Toc425946800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I — Debentures and inscribed stock</w:t>
      </w:r>
    </w:p>
    <w:p>
      <w:pPr>
        <w:pStyle w:val="TOC8"/>
        <w:rPr>
          <w:rFonts w:asciiTheme="minorHAnsi" w:eastAsiaTheme="minorEastAsia" w:hAnsiTheme="minorHAnsi" w:cstheme="minorBidi"/>
          <w:szCs w:val="22"/>
        </w:rPr>
      </w:pPr>
      <w:r>
        <w:t>1.</w:t>
      </w:r>
      <w:r>
        <w:tab/>
        <w:t>All debentures and inscribed stock —</w:t>
      </w:r>
      <w:r>
        <w:tab/>
      </w:r>
      <w:r>
        <w:fldChar w:fldCharType="begin"/>
      </w:r>
      <w:r>
        <w:instrText xml:space="preserve"> PAGEREF _Toc425946804 \h </w:instrText>
      </w:r>
      <w:r>
        <w:fldChar w:fldCharType="separate"/>
      </w:r>
      <w:r>
        <w:t>47</w:t>
      </w:r>
      <w:r>
        <w:fldChar w:fldCharType="end"/>
      </w:r>
    </w:p>
    <w:p>
      <w:pPr>
        <w:pStyle w:val="TOC8"/>
        <w:rPr>
          <w:rFonts w:asciiTheme="minorHAnsi" w:eastAsiaTheme="minorEastAsia" w:hAnsiTheme="minorHAnsi" w:cstheme="minorBidi"/>
          <w:szCs w:val="22"/>
        </w:rPr>
      </w:pPr>
      <w:r>
        <w:t>2.</w:t>
      </w:r>
      <w:r>
        <w:tab/>
        <w:t>When interest payable</w:t>
      </w:r>
      <w:r>
        <w:tab/>
      </w:r>
      <w:r>
        <w:fldChar w:fldCharType="begin"/>
      </w:r>
      <w:r>
        <w:instrText xml:space="preserve"> PAGEREF _Toc425946805 \h </w:instrText>
      </w:r>
      <w:r>
        <w:fldChar w:fldCharType="separate"/>
      </w:r>
      <w:r>
        <w:t>47</w:t>
      </w:r>
      <w:r>
        <w:fldChar w:fldCharType="end"/>
      </w:r>
    </w:p>
    <w:p>
      <w:pPr>
        <w:pStyle w:val="TOC8"/>
        <w:rPr>
          <w:rFonts w:asciiTheme="minorHAnsi" w:eastAsiaTheme="minorEastAsia" w:hAnsiTheme="minorHAnsi" w:cstheme="minorBidi"/>
          <w:szCs w:val="22"/>
        </w:rPr>
      </w:pPr>
      <w:r>
        <w:t>3.</w:t>
      </w:r>
      <w:r>
        <w:tab/>
        <w:t>Debentures and stock interchangeable</w:t>
      </w:r>
      <w:r>
        <w:tab/>
      </w:r>
      <w:r>
        <w:fldChar w:fldCharType="begin"/>
      </w:r>
      <w:r>
        <w:instrText xml:space="preserve"> PAGEREF _Toc425946806 \h </w:instrText>
      </w:r>
      <w:r>
        <w:fldChar w:fldCharType="separate"/>
      </w:r>
      <w:r>
        <w:t>47</w:t>
      </w:r>
      <w:r>
        <w:fldChar w:fldCharType="end"/>
      </w:r>
    </w:p>
    <w:p>
      <w:pPr>
        <w:pStyle w:val="TOC8"/>
        <w:rPr>
          <w:rFonts w:asciiTheme="minorHAnsi" w:eastAsiaTheme="minorEastAsia" w:hAnsiTheme="minorHAnsi" w:cstheme="minorBidi"/>
          <w:szCs w:val="22"/>
        </w:rPr>
      </w:pPr>
      <w:r>
        <w:t>4.</w:t>
      </w:r>
      <w:r>
        <w:tab/>
        <w:t>Brokerage</w:t>
      </w:r>
      <w:r>
        <w:tab/>
      </w:r>
      <w:r>
        <w:fldChar w:fldCharType="begin"/>
      </w:r>
      <w:r>
        <w:instrText xml:space="preserve"> PAGEREF _Toc425946807 \h </w:instrText>
      </w:r>
      <w:r>
        <w:fldChar w:fldCharType="separate"/>
      </w:r>
      <w:r>
        <w:t>47</w:t>
      </w:r>
      <w:r>
        <w:fldChar w:fldCharType="end"/>
      </w:r>
    </w:p>
    <w:p>
      <w:pPr>
        <w:pStyle w:val="TOC8"/>
        <w:rPr>
          <w:rFonts w:asciiTheme="minorHAnsi" w:eastAsiaTheme="minorEastAsia" w:hAnsiTheme="minorHAnsi" w:cstheme="minorBidi"/>
          <w:szCs w:val="22"/>
        </w:rPr>
      </w:pPr>
      <w:r>
        <w:t>5.</w:t>
      </w:r>
      <w:r>
        <w:tab/>
        <w:t>Sinking fund</w:t>
      </w:r>
      <w:r>
        <w:tab/>
      </w:r>
      <w:r>
        <w:fldChar w:fldCharType="begin"/>
      </w:r>
      <w:r>
        <w:instrText xml:space="preserve"> PAGEREF _Toc425946808 \h </w:instrText>
      </w:r>
      <w:r>
        <w:fldChar w:fldCharType="separate"/>
      </w:r>
      <w:r>
        <w:t>47</w:t>
      </w:r>
      <w:r>
        <w:fldChar w:fldCharType="end"/>
      </w:r>
    </w:p>
    <w:p>
      <w:pPr>
        <w:pStyle w:val="TOC8"/>
        <w:rPr>
          <w:rFonts w:asciiTheme="minorHAnsi" w:eastAsiaTheme="minorEastAsia" w:hAnsiTheme="minorHAnsi" w:cstheme="minorBidi"/>
          <w:szCs w:val="22"/>
        </w:rPr>
      </w:pPr>
      <w:r>
        <w:t>6.</w:t>
      </w:r>
      <w:r>
        <w:tab/>
        <w:t>Notice of trust not receivable</w:t>
      </w:r>
      <w:r>
        <w:tab/>
      </w:r>
      <w:r>
        <w:fldChar w:fldCharType="begin"/>
      </w:r>
      <w:r>
        <w:instrText xml:space="preserve"> PAGEREF _Toc425946809 \h </w:instrText>
      </w:r>
      <w:r>
        <w:fldChar w:fldCharType="separate"/>
      </w:r>
      <w:r>
        <w:t>48</w:t>
      </w:r>
      <w:r>
        <w:fldChar w:fldCharType="end"/>
      </w:r>
    </w:p>
    <w:p>
      <w:pPr>
        <w:pStyle w:val="TOC8"/>
        <w:rPr>
          <w:rFonts w:asciiTheme="minorHAnsi" w:eastAsiaTheme="minorEastAsia" w:hAnsiTheme="minorHAnsi" w:cstheme="minorBidi"/>
          <w:szCs w:val="22"/>
        </w:rPr>
      </w:pPr>
      <w:r>
        <w:t>7.</w:t>
      </w:r>
      <w:r>
        <w:tab/>
        <w:t>Owners of securities not responsible for application of moneys</w:t>
      </w:r>
      <w:r>
        <w:tab/>
      </w:r>
      <w:r>
        <w:fldChar w:fldCharType="begin"/>
      </w:r>
      <w:r>
        <w:instrText xml:space="preserve"> PAGEREF _Toc425946810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 — Debentures</w:t>
      </w:r>
    </w:p>
    <w:p>
      <w:pPr>
        <w:pStyle w:val="TOC8"/>
        <w:rPr>
          <w:rFonts w:asciiTheme="minorHAnsi" w:eastAsiaTheme="minorEastAsia" w:hAnsiTheme="minorHAnsi" w:cstheme="minorBidi"/>
          <w:szCs w:val="22"/>
        </w:rPr>
      </w:pPr>
      <w:r>
        <w:t>1.</w:t>
      </w:r>
      <w:r>
        <w:tab/>
        <w:t>Form of debenture</w:t>
      </w:r>
      <w:r>
        <w:tab/>
      </w:r>
      <w:r>
        <w:fldChar w:fldCharType="begin"/>
      </w:r>
      <w:r>
        <w:instrText xml:space="preserve"> PAGEREF _Toc425946812 \h </w:instrText>
      </w:r>
      <w:r>
        <w:fldChar w:fldCharType="separate"/>
      </w:r>
      <w:r>
        <w:t>48</w:t>
      </w:r>
      <w:r>
        <w:fldChar w:fldCharType="end"/>
      </w:r>
    </w:p>
    <w:p>
      <w:pPr>
        <w:pStyle w:val="TOC8"/>
        <w:rPr>
          <w:rFonts w:asciiTheme="minorHAnsi" w:eastAsiaTheme="minorEastAsia" w:hAnsiTheme="minorHAnsi" w:cstheme="minorBidi"/>
          <w:szCs w:val="22"/>
        </w:rPr>
      </w:pPr>
      <w:r>
        <w:t>2.</w:t>
      </w:r>
      <w:r>
        <w:tab/>
        <w:t>A debenture shall —</w:t>
      </w:r>
      <w:r>
        <w:tab/>
      </w:r>
      <w:r>
        <w:fldChar w:fldCharType="begin"/>
      </w:r>
      <w:r>
        <w:instrText xml:space="preserve"> PAGEREF _Toc425946813 \h </w:instrText>
      </w:r>
      <w:r>
        <w:fldChar w:fldCharType="separate"/>
      </w:r>
      <w:r>
        <w:t>48</w:t>
      </w:r>
      <w:r>
        <w:fldChar w:fldCharType="end"/>
      </w:r>
    </w:p>
    <w:p>
      <w:pPr>
        <w:pStyle w:val="TOC8"/>
        <w:rPr>
          <w:rFonts w:asciiTheme="minorHAnsi" w:eastAsiaTheme="minorEastAsia" w:hAnsiTheme="minorHAnsi" w:cstheme="minorBidi"/>
          <w:szCs w:val="22"/>
        </w:rPr>
      </w:pPr>
      <w:r>
        <w:t>3.</w:t>
      </w:r>
      <w:r>
        <w:tab/>
        <w:t>Pass by delivery</w:t>
      </w:r>
      <w:r>
        <w:tab/>
      </w:r>
      <w:r>
        <w:fldChar w:fldCharType="begin"/>
      </w:r>
      <w:r>
        <w:instrText xml:space="preserve"> PAGEREF _Toc425946814 \h </w:instrText>
      </w:r>
      <w:r>
        <w:fldChar w:fldCharType="separate"/>
      </w:r>
      <w:r>
        <w:t>49</w:t>
      </w:r>
      <w:r>
        <w:fldChar w:fldCharType="end"/>
      </w:r>
    </w:p>
    <w:p>
      <w:pPr>
        <w:pStyle w:val="TOC8"/>
        <w:rPr>
          <w:rFonts w:asciiTheme="minorHAnsi" w:eastAsiaTheme="minorEastAsia" w:hAnsiTheme="minorHAnsi" w:cstheme="minorBidi"/>
          <w:szCs w:val="22"/>
        </w:rPr>
      </w:pPr>
      <w:r>
        <w:t>4.</w:t>
      </w:r>
      <w:r>
        <w:tab/>
        <w:t>Rights of bearer</w:t>
      </w:r>
      <w:r>
        <w:tab/>
      </w:r>
      <w:r>
        <w:fldChar w:fldCharType="begin"/>
      </w:r>
      <w:r>
        <w:instrText xml:space="preserve"> PAGEREF _Toc425946815 \h </w:instrText>
      </w:r>
      <w:r>
        <w:fldChar w:fldCharType="separate"/>
      </w:r>
      <w:r>
        <w:t>49</w:t>
      </w:r>
      <w:r>
        <w:fldChar w:fldCharType="end"/>
      </w:r>
    </w:p>
    <w:p>
      <w:pPr>
        <w:pStyle w:val="TOC8"/>
        <w:rPr>
          <w:rFonts w:asciiTheme="minorHAnsi" w:eastAsiaTheme="minorEastAsia" w:hAnsiTheme="minorHAnsi" w:cstheme="minorBidi"/>
          <w:szCs w:val="22"/>
        </w:rPr>
      </w:pPr>
      <w:r>
        <w:t>5.</w:t>
      </w:r>
      <w:r>
        <w:tab/>
        <w:t>Payment of interest</w:t>
      </w:r>
      <w:r>
        <w:tab/>
      </w:r>
      <w:r>
        <w:fldChar w:fldCharType="begin"/>
      </w:r>
      <w:r>
        <w:instrText xml:space="preserve"> PAGEREF _Toc425946816 \h </w:instrText>
      </w:r>
      <w:r>
        <w:fldChar w:fldCharType="separate"/>
      </w:r>
      <w:r>
        <w:t>49</w:t>
      </w:r>
      <w:r>
        <w:fldChar w:fldCharType="end"/>
      </w:r>
    </w:p>
    <w:p>
      <w:pPr>
        <w:pStyle w:val="TOC8"/>
        <w:rPr>
          <w:rFonts w:asciiTheme="minorHAnsi" w:eastAsiaTheme="minorEastAsia" w:hAnsiTheme="minorHAnsi" w:cstheme="minorBidi"/>
          <w:szCs w:val="22"/>
        </w:rPr>
      </w:pPr>
      <w:r>
        <w:t>6.</w:t>
      </w:r>
      <w:r>
        <w:tab/>
        <w:t>Register of debentures</w:t>
      </w:r>
      <w:r>
        <w:tab/>
      </w:r>
      <w:r>
        <w:fldChar w:fldCharType="begin"/>
      </w:r>
      <w:r>
        <w:instrText xml:space="preserve"> PAGEREF _Toc425946817 \h </w:instrText>
      </w:r>
      <w:r>
        <w:fldChar w:fldCharType="separate"/>
      </w:r>
      <w:r>
        <w:t>49</w:t>
      </w:r>
      <w:r>
        <w:fldChar w:fldCharType="end"/>
      </w:r>
    </w:p>
    <w:p>
      <w:pPr>
        <w:pStyle w:val="TOC8"/>
        <w:rPr>
          <w:rFonts w:asciiTheme="minorHAnsi" w:eastAsiaTheme="minorEastAsia" w:hAnsiTheme="minorHAnsi" w:cstheme="minorBidi"/>
          <w:szCs w:val="22"/>
        </w:rPr>
      </w:pPr>
      <w:r>
        <w:t>7.</w:t>
      </w:r>
      <w:r>
        <w:tab/>
        <w:t>Provision for lost debentures</w:t>
      </w:r>
      <w:r>
        <w:tab/>
      </w:r>
      <w:r>
        <w:fldChar w:fldCharType="begin"/>
      </w:r>
      <w:r>
        <w:instrText xml:space="preserve"> PAGEREF _Toc425946818 \h </w:instrText>
      </w:r>
      <w:r>
        <w:fldChar w:fldCharType="separate"/>
      </w:r>
      <w:r>
        <w:t>50</w:t>
      </w:r>
      <w:r>
        <w:fldChar w:fldCharType="end"/>
      </w:r>
    </w:p>
    <w:p>
      <w:pPr>
        <w:pStyle w:val="TOC8"/>
        <w:rPr>
          <w:rFonts w:asciiTheme="minorHAnsi" w:eastAsiaTheme="minorEastAsia" w:hAnsiTheme="minorHAnsi" w:cstheme="minorBidi"/>
          <w:szCs w:val="22"/>
        </w:rPr>
      </w:pPr>
      <w:r>
        <w:t>8.</w:t>
      </w:r>
      <w:r>
        <w:tab/>
        <w:t>Provision for defaced debentures</w:t>
      </w:r>
      <w:r>
        <w:tab/>
      </w:r>
      <w:r>
        <w:fldChar w:fldCharType="begin"/>
      </w:r>
      <w:r>
        <w:instrText xml:space="preserve"> PAGEREF _Toc425946819 \h </w:instrText>
      </w:r>
      <w:r>
        <w:fldChar w:fldCharType="separate"/>
      </w:r>
      <w:r>
        <w:t>50</w:t>
      </w:r>
      <w:r>
        <w:fldChar w:fldCharType="end"/>
      </w:r>
    </w:p>
    <w:p>
      <w:pPr>
        <w:pStyle w:val="TOC8"/>
        <w:rPr>
          <w:rFonts w:asciiTheme="minorHAnsi" w:eastAsiaTheme="minorEastAsia" w:hAnsiTheme="minorHAnsi" w:cstheme="minorBidi"/>
          <w:szCs w:val="22"/>
        </w:rPr>
      </w:pPr>
      <w:r>
        <w:t>9.</w:t>
      </w:r>
      <w:r>
        <w:tab/>
        <w:t>Discharged debentures to be destroyed</w:t>
      </w:r>
      <w:r>
        <w:tab/>
      </w:r>
      <w:r>
        <w:fldChar w:fldCharType="begin"/>
      </w:r>
      <w:r>
        <w:instrText xml:space="preserve"> PAGEREF _Toc425946820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III — Stock</w:t>
      </w:r>
    </w:p>
    <w:p>
      <w:pPr>
        <w:pStyle w:val="TOC8"/>
        <w:rPr>
          <w:rFonts w:asciiTheme="minorHAnsi" w:eastAsiaTheme="minorEastAsia" w:hAnsiTheme="minorHAnsi" w:cstheme="minorBidi"/>
          <w:szCs w:val="22"/>
        </w:rPr>
      </w:pPr>
      <w:r>
        <w:t>1.</w:t>
      </w:r>
      <w:r>
        <w:tab/>
        <w:t>Establishment of registry and appointment of Registrar</w:t>
      </w:r>
      <w:r>
        <w:tab/>
      </w:r>
      <w:r>
        <w:fldChar w:fldCharType="begin"/>
      </w:r>
      <w:r>
        <w:instrText xml:space="preserve"> PAGEREF _Toc425946822 \h </w:instrText>
      </w:r>
      <w:r>
        <w:fldChar w:fldCharType="separate"/>
      </w:r>
      <w:r>
        <w:t>51</w:t>
      </w:r>
      <w:r>
        <w:fldChar w:fldCharType="end"/>
      </w:r>
    </w:p>
    <w:p>
      <w:pPr>
        <w:pStyle w:val="TOC8"/>
        <w:rPr>
          <w:rFonts w:asciiTheme="minorHAnsi" w:eastAsiaTheme="minorEastAsia" w:hAnsiTheme="minorHAnsi" w:cstheme="minorBidi"/>
          <w:szCs w:val="22"/>
        </w:rPr>
      </w:pPr>
      <w:r>
        <w:t>2.</w:t>
      </w:r>
      <w:r>
        <w:tab/>
        <w:t>Parcels of stock</w:t>
      </w:r>
      <w:r>
        <w:tab/>
      </w:r>
      <w:r>
        <w:fldChar w:fldCharType="begin"/>
      </w:r>
      <w:r>
        <w:instrText xml:space="preserve"> PAGEREF _Toc425946823 \h </w:instrText>
      </w:r>
      <w:r>
        <w:fldChar w:fldCharType="separate"/>
      </w:r>
      <w:r>
        <w:t>51</w:t>
      </w:r>
      <w:r>
        <w:fldChar w:fldCharType="end"/>
      </w:r>
    </w:p>
    <w:p>
      <w:pPr>
        <w:pStyle w:val="TOC8"/>
        <w:rPr>
          <w:rFonts w:asciiTheme="minorHAnsi" w:eastAsiaTheme="minorEastAsia" w:hAnsiTheme="minorHAnsi" w:cstheme="minorBidi"/>
          <w:szCs w:val="22"/>
        </w:rPr>
      </w:pPr>
      <w:r>
        <w:t>3.</w:t>
      </w:r>
      <w:r>
        <w:tab/>
        <w:t>Stock ledgers</w:t>
      </w:r>
      <w:r>
        <w:tab/>
      </w:r>
      <w:r>
        <w:fldChar w:fldCharType="begin"/>
      </w:r>
      <w:r>
        <w:instrText xml:space="preserve"> PAGEREF _Toc425946824 \h </w:instrText>
      </w:r>
      <w:r>
        <w:fldChar w:fldCharType="separate"/>
      </w:r>
      <w:r>
        <w:t>51</w:t>
      </w:r>
      <w:r>
        <w:fldChar w:fldCharType="end"/>
      </w:r>
    </w:p>
    <w:p>
      <w:pPr>
        <w:pStyle w:val="TOC8"/>
        <w:rPr>
          <w:rFonts w:asciiTheme="minorHAnsi" w:eastAsiaTheme="minorEastAsia" w:hAnsiTheme="minorHAnsi" w:cstheme="minorBidi"/>
          <w:szCs w:val="22"/>
        </w:rPr>
      </w:pPr>
      <w:r>
        <w:t>4.</w:t>
      </w:r>
      <w:r>
        <w:tab/>
        <w:t>Stock how transferable</w:t>
      </w:r>
      <w:r>
        <w:tab/>
      </w:r>
      <w:r>
        <w:fldChar w:fldCharType="begin"/>
      </w:r>
      <w:r>
        <w:instrText xml:space="preserve"> PAGEREF _Toc425946825 \h </w:instrText>
      </w:r>
      <w:r>
        <w:fldChar w:fldCharType="separate"/>
      </w:r>
      <w:r>
        <w:t>51</w:t>
      </w:r>
      <w:r>
        <w:fldChar w:fldCharType="end"/>
      </w:r>
    </w:p>
    <w:p>
      <w:pPr>
        <w:pStyle w:val="TOC8"/>
        <w:rPr>
          <w:rFonts w:asciiTheme="minorHAnsi" w:eastAsiaTheme="minorEastAsia" w:hAnsiTheme="minorHAnsi" w:cstheme="minorBidi"/>
          <w:szCs w:val="22"/>
        </w:rPr>
      </w:pPr>
      <w:r>
        <w:t>5.</w:t>
      </w:r>
      <w:r>
        <w:tab/>
        <w:t>Application for transmission (other than transfer) of stock</w:t>
      </w:r>
      <w:r>
        <w:tab/>
      </w:r>
      <w:r>
        <w:fldChar w:fldCharType="begin"/>
      </w:r>
      <w:r>
        <w:instrText xml:space="preserve"> PAGEREF _Toc425946826 \h </w:instrText>
      </w:r>
      <w:r>
        <w:fldChar w:fldCharType="separate"/>
      </w:r>
      <w:r>
        <w:t>52</w:t>
      </w:r>
      <w:r>
        <w:fldChar w:fldCharType="end"/>
      </w:r>
    </w:p>
    <w:p>
      <w:pPr>
        <w:pStyle w:val="TOC8"/>
        <w:rPr>
          <w:rFonts w:asciiTheme="minorHAnsi" w:eastAsiaTheme="minorEastAsia" w:hAnsiTheme="minorHAnsi" w:cstheme="minorBidi"/>
          <w:szCs w:val="22"/>
        </w:rPr>
      </w:pPr>
      <w:r>
        <w:t>6.</w:t>
      </w:r>
      <w:r>
        <w:tab/>
        <w:t>Power of Attorney</w:t>
      </w:r>
      <w:r>
        <w:tab/>
      </w:r>
      <w:r>
        <w:fldChar w:fldCharType="begin"/>
      </w:r>
      <w:r>
        <w:instrText xml:space="preserve"> PAGEREF _Toc425946827 \h </w:instrText>
      </w:r>
      <w:r>
        <w:fldChar w:fldCharType="separate"/>
      </w:r>
      <w:r>
        <w:t>52</w:t>
      </w:r>
      <w:r>
        <w:fldChar w:fldCharType="end"/>
      </w:r>
    </w:p>
    <w:p>
      <w:pPr>
        <w:pStyle w:val="TOC8"/>
        <w:rPr>
          <w:rFonts w:asciiTheme="minorHAnsi" w:eastAsiaTheme="minorEastAsia" w:hAnsiTheme="minorHAnsi" w:cstheme="minorBidi"/>
          <w:szCs w:val="22"/>
        </w:rPr>
      </w:pPr>
      <w:r>
        <w:t>7.</w:t>
      </w:r>
      <w:r>
        <w:tab/>
        <w:t>When transfer books to be closed and ledgers balanced</w:t>
      </w:r>
      <w:r>
        <w:tab/>
      </w:r>
      <w:r>
        <w:fldChar w:fldCharType="begin"/>
      </w:r>
      <w:r>
        <w:instrText xml:space="preserve"> PAGEREF _Toc425946828 \h </w:instrText>
      </w:r>
      <w:r>
        <w:fldChar w:fldCharType="separate"/>
      </w:r>
      <w:r>
        <w:t>53</w:t>
      </w:r>
      <w:r>
        <w:fldChar w:fldCharType="end"/>
      </w:r>
    </w:p>
    <w:p>
      <w:pPr>
        <w:pStyle w:val="TOC8"/>
        <w:rPr>
          <w:rFonts w:asciiTheme="minorHAnsi" w:eastAsiaTheme="minorEastAsia" w:hAnsiTheme="minorHAnsi" w:cstheme="minorBidi"/>
          <w:szCs w:val="22"/>
        </w:rPr>
      </w:pPr>
      <w:r>
        <w:t>8.</w:t>
      </w:r>
      <w:r>
        <w:tab/>
        <w:t>Receipt of registered stockholders to discharge without regard to trust</w:t>
      </w:r>
      <w:r>
        <w:tab/>
      </w:r>
      <w:r>
        <w:fldChar w:fldCharType="begin"/>
      </w:r>
      <w:r>
        <w:instrText xml:space="preserve"> PAGEREF _Toc425946829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_Toc425946832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Port Hedland Port Authority Act 1970 </w:t>
      </w:r>
    </w:p>
    <w:p>
      <w:pPr>
        <w:pStyle w:val="LongTitle"/>
        <w:rPr>
          <w:snapToGrid w:val="0"/>
        </w:rPr>
      </w:pPr>
      <w:r>
        <w:rPr>
          <w:snapToGrid w:val="0"/>
        </w:rPr>
        <w:t xml:space="preserve">An Act to establish the Port Hedland Port Authority and to provide for the Control and Management of the Port of Port Hedland and for incidental and other purposes. </w:t>
      </w:r>
    </w:p>
    <w:p>
      <w:pPr>
        <w:pStyle w:val="Enactment"/>
        <w:rPr>
          <w:snapToGrid w:val="0"/>
        </w:rPr>
      </w:pPr>
      <w:r>
        <w:rPr>
          <w:snapToGrid w:val="0"/>
        </w:rPr>
        <w:t xml:space="preserve">Be it enacted —  </w:t>
      </w:r>
    </w:p>
    <w:p>
      <w:pPr>
        <w:pStyle w:val="Heading2"/>
      </w:pPr>
      <w:bookmarkStart w:id="4" w:name="_Toc378262118"/>
      <w:bookmarkStart w:id="5" w:name="_Toc425946718"/>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62119"/>
      <w:bookmarkStart w:id="7" w:name="_Toc42594671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Hedland Port Authority Act 1970</w:t>
      </w:r>
      <w:r>
        <w:rPr>
          <w:snapToGrid w:val="0"/>
        </w:rPr>
        <w:t>.</w:t>
      </w:r>
    </w:p>
    <w:p>
      <w:pPr>
        <w:pStyle w:val="Heading5"/>
        <w:rPr>
          <w:snapToGrid w:val="0"/>
        </w:rPr>
      </w:pPr>
      <w:bookmarkStart w:id="8" w:name="_Toc378262120"/>
      <w:bookmarkStart w:id="9" w:name="_Toc42594672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36 of 1986 s.4.] </w:t>
      </w:r>
    </w:p>
    <w:p>
      <w:pPr>
        <w:pStyle w:val="Heading5"/>
        <w:rPr>
          <w:snapToGrid w:val="0"/>
        </w:rPr>
      </w:pPr>
      <w:bookmarkStart w:id="10" w:name="_Toc378262121"/>
      <w:bookmarkStart w:id="11" w:name="_Toc425946721"/>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member appointed Chairman of the Port Authority;</w:t>
      </w:r>
    </w:p>
    <w:p>
      <w:pPr>
        <w:pStyle w:val="Defstart"/>
      </w:pPr>
      <w:r>
        <w:rPr>
          <w:b/>
        </w:rPr>
        <w:tab/>
        <w:t>“goods”</w:t>
      </w:r>
      <w:r>
        <w:t xml:space="preserve"> includes wares and merchandise of every description and all chattels, livestock, minerals and mineral products and other articles;</w:t>
      </w:r>
    </w:p>
    <w:p>
      <w:pPr>
        <w:pStyle w:val="Defstart"/>
      </w:pPr>
      <w:r>
        <w:rPr>
          <w:b/>
        </w:rPr>
        <w:tab/>
        <w:t>“master”</w:t>
      </w:r>
      <w:r>
        <w:t xml:space="preserve"> includes every person, other than a pilot, having for the time being the command, charge, or management of a vessel;</w:t>
      </w:r>
    </w:p>
    <w:p>
      <w:pPr>
        <w:pStyle w:val="Defstart"/>
      </w:pPr>
      <w:r>
        <w:rPr>
          <w:b/>
        </w:rPr>
        <w:tab/>
        <w:t>“member”</w:t>
      </w:r>
      <w:r>
        <w:t xml:space="preserve"> means a person appointed to be a member of the Port Authority;</w:t>
      </w:r>
    </w:p>
    <w:p>
      <w:pPr>
        <w:pStyle w:val="Defstart"/>
      </w:pPr>
      <w:r>
        <w:rPr>
          <w:b/>
        </w:rPr>
        <w:tab/>
        <w:t>“owner”</w:t>
      </w:r>
      <w:r>
        <w:t xml:space="preserve"> includes any person who is owner jointly or in common with another person; and when used in relation to goods includes a consignor, consignee, shipper or agent for sale or custody, loading or unloading of the goods as well as the owner thereof;</w:t>
      </w:r>
    </w:p>
    <w:p>
      <w:pPr>
        <w:pStyle w:val="Defstart"/>
      </w:pPr>
      <w:r>
        <w:rPr>
          <w:b/>
        </w:rPr>
        <w:tab/>
        <w:t>“Port Authority”</w:t>
      </w:r>
      <w:r>
        <w:t xml:space="preserve"> means the Port Hedland Port Authority established under this Act;</w:t>
      </w:r>
    </w:p>
    <w:p>
      <w:pPr>
        <w:pStyle w:val="Defstart"/>
      </w:pPr>
      <w:r>
        <w:rPr>
          <w:b/>
        </w:rPr>
        <w:tab/>
        <w:t>“ship”</w:t>
      </w:r>
      <w:r>
        <w:t xml:space="preserve"> includes every description of vessel used in navigation, and not propelled exclusively by oars;</w:t>
      </w:r>
    </w:p>
    <w:p>
      <w:pPr>
        <w:pStyle w:val="Defstart"/>
      </w:pPr>
      <w:r>
        <w:rPr>
          <w:b/>
        </w:rPr>
        <w:tab/>
        <w:t>“the Account”</w:t>
      </w:r>
      <w:r>
        <w:t xml:space="preserve"> means the Port Hedland Port Authority Account;</w:t>
      </w:r>
    </w:p>
    <w:p>
      <w:pPr>
        <w:pStyle w:val="Defstart"/>
      </w:pPr>
      <w:r>
        <w:rPr>
          <w:b/>
        </w:rPr>
        <w:tab/>
        <w:t>“the Pilotage Area”</w:t>
      </w:r>
      <w:r>
        <w:t xml:space="preserve"> means the area described in the Third Schedule;</w:t>
      </w:r>
    </w:p>
    <w:p>
      <w:pPr>
        <w:pStyle w:val="Defstart"/>
      </w:pPr>
      <w:r>
        <w:rPr>
          <w:b/>
        </w:rPr>
        <w:tab/>
        <w:t>“the Port”</w:t>
      </w:r>
      <w:r>
        <w:t xml:space="preserve"> means so much of the port of Port Hedland as is contained within the boundaries described in the First Schedule to this Act;</w:t>
      </w:r>
    </w:p>
    <w:p>
      <w:pPr>
        <w:pStyle w:val="Defstart"/>
      </w:pPr>
      <w:r>
        <w:rPr>
          <w:b/>
        </w:rPr>
        <w:tab/>
        <w:t>“vessel”</w:t>
      </w:r>
      <w:r>
        <w:t xml:space="preserve"> means any ship, lighter, barge, boat, raft or craft of whatever description and howsoever navigated.</w:t>
      </w:r>
    </w:p>
    <w:p>
      <w:pPr>
        <w:pStyle w:val="Subsection"/>
        <w:rPr>
          <w:snapToGrid w:val="0"/>
        </w:rPr>
      </w:pPr>
      <w:r>
        <w:rPr>
          <w:snapToGrid w:val="0"/>
        </w:rPr>
        <w:tab/>
        <w:t>(2)</w:t>
      </w:r>
      <w:r>
        <w:rPr>
          <w:snapToGrid w:val="0"/>
        </w:rPr>
        <w:tab/>
        <w:t>Nothing in this Act — </w:t>
      </w:r>
    </w:p>
    <w:p>
      <w:pPr>
        <w:pStyle w:val="Indenta"/>
        <w:rPr>
          <w:snapToGrid w:val="0"/>
        </w:rPr>
      </w:pPr>
      <w:r>
        <w:rPr>
          <w:snapToGrid w:val="0"/>
        </w:rPr>
        <w:tab/>
        <w:t>(a)</w:t>
      </w:r>
      <w:r>
        <w:rPr>
          <w:snapToGrid w:val="0"/>
        </w:rPr>
        <w:tab/>
        <w:t xml:space="preserve">shall be construed so as to prejudice any right of the persons entitled thereto to receive the payments referred to in subclause (1) of clause 20 of the agreement a copy of which is set forth in the Schedule to the </w:t>
      </w:r>
      <w:r>
        <w:rPr>
          <w:i/>
          <w:snapToGrid w:val="0"/>
        </w:rPr>
        <w:t>Leslie Solar Salt Industry Agreement Act 1966</w:t>
      </w:r>
      <w:r>
        <w:rPr>
          <w:snapToGrid w:val="0"/>
        </w:rPr>
        <w:t>;</w:t>
      </w:r>
    </w:p>
    <w:p>
      <w:pPr>
        <w:pStyle w:val="Indenta"/>
        <w:rPr>
          <w:snapToGrid w:val="0"/>
        </w:rPr>
      </w:pPr>
      <w:r>
        <w:rPr>
          <w:snapToGrid w:val="0"/>
        </w:rPr>
        <w:tab/>
        <w:t>(b)</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Goldsworthy) Agreement Act 1964</w:t>
      </w:r>
      <w:r>
        <w:rPr>
          <w:snapToGrid w:val="0"/>
        </w:rPr>
        <w:t>;</w:t>
      </w:r>
    </w:p>
    <w:p>
      <w:pPr>
        <w:pStyle w:val="Indenta"/>
        <w:rPr>
          <w:snapToGrid w:val="0"/>
        </w:rPr>
      </w:pPr>
      <w:r>
        <w:rPr>
          <w:snapToGrid w:val="0"/>
        </w:rPr>
        <w:tab/>
        <w:t>(c)</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Newman) Agreement Act 1964</w:t>
      </w:r>
      <w:r>
        <w:rPr>
          <w:snapToGrid w:val="0"/>
        </w:rPr>
        <w:t xml:space="preserve"> as that agreement is amended or altered by the variation agreement a copy of which is set forth in the Second Schedule to the </w:t>
      </w:r>
      <w:r>
        <w:rPr>
          <w:i/>
          <w:snapToGrid w:val="0"/>
        </w:rPr>
        <w:t>Iron Ore (Mount Newman) Agreement Act 1964</w:t>
      </w:r>
      <w:r>
        <w:rPr>
          <w:snapToGrid w:val="0"/>
        </w:rPr>
        <w:t>.</w:t>
      </w:r>
    </w:p>
    <w:p>
      <w:pPr>
        <w:pStyle w:val="Footnotesection"/>
      </w:pPr>
      <w:r>
        <w:tab/>
        <w:t xml:space="preserve">[Section 4 amended by No. 36 of 1986 s.5; No. 46 of 1993 s.46.] </w:t>
      </w:r>
    </w:p>
    <w:p>
      <w:pPr>
        <w:pStyle w:val="Heading2"/>
      </w:pPr>
      <w:bookmarkStart w:id="12" w:name="_Toc378262122"/>
      <w:bookmarkStart w:id="13" w:name="_Toc425946722"/>
      <w:r>
        <w:rPr>
          <w:rStyle w:val="CharPartNo"/>
        </w:rPr>
        <w:t>Part II</w:t>
      </w:r>
      <w:r>
        <w:t> — </w:t>
      </w:r>
      <w:r>
        <w:rPr>
          <w:rStyle w:val="CharPartText"/>
        </w:rPr>
        <w:t>Establishment of port authority</w:t>
      </w:r>
      <w:bookmarkEnd w:id="12"/>
      <w:bookmarkEnd w:id="13"/>
      <w:r>
        <w:rPr>
          <w:rStyle w:val="CharPartText"/>
        </w:rPr>
        <w:t xml:space="preserve"> </w:t>
      </w:r>
    </w:p>
    <w:p>
      <w:pPr>
        <w:pStyle w:val="Heading3"/>
        <w:rPr>
          <w:snapToGrid w:val="0"/>
        </w:rPr>
      </w:pPr>
      <w:bookmarkStart w:id="14" w:name="_Toc378262123"/>
      <w:bookmarkStart w:id="15" w:name="_Toc425946723"/>
      <w:r>
        <w:rPr>
          <w:rStyle w:val="CharDivNo"/>
        </w:rPr>
        <w:t>Division 1</w:t>
      </w:r>
      <w:r>
        <w:rPr>
          <w:snapToGrid w:val="0"/>
        </w:rPr>
        <w:t> — </w:t>
      </w:r>
      <w:r>
        <w:rPr>
          <w:rStyle w:val="CharDivText"/>
        </w:rPr>
        <w:t>Constitution</w:t>
      </w:r>
      <w:bookmarkEnd w:id="14"/>
      <w:bookmarkEnd w:id="15"/>
      <w:r>
        <w:rPr>
          <w:rStyle w:val="CharDivText"/>
        </w:rPr>
        <w:t xml:space="preserve"> </w:t>
      </w:r>
    </w:p>
    <w:p>
      <w:pPr>
        <w:pStyle w:val="Heading5"/>
        <w:rPr>
          <w:snapToGrid w:val="0"/>
        </w:rPr>
      </w:pPr>
      <w:bookmarkStart w:id="16" w:name="_Toc378262124"/>
      <w:bookmarkStart w:id="17" w:name="_Toc425946724"/>
      <w:r>
        <w:rPr>
          <w:rStyle w:val="CharSectno"/>
        </w:rPr>
        <w:t>5</w:t>
      </w:r>
      <w:r>
        <w:rPr>
          <w:snapToGrid w:val="0"/>
        </w:rPr>
        <w:t>.</w:t>
      </w:r>
      <w:r>
        <w:rPr>
          <w:snapToGrid w:val="0"/>
        </w:rPr>
        <w:tab/>
        <w:t>Port Hedland Port Authority</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Port Hedland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18" w:name="_Toc378262125"/>
      <w:bookmarkStart w:id="19" w:name="_Toc425946725"/>
      <w:r>
        <w:rPr>
          <w:rStyle w:val="CharSectno"/>
        </w:rPr>
        <w:t>6</w:t>
      </w:r>
      <w:r>
        <w:rPr>
          <w:snapToGrid w:val="0"/>
        </w:rPr>
        <w:t>.</w:t>
      </w:r>
      <w:r>
        <w:rPr>
          <w:snapToGrid w:val="0"/>
        </w:rPr>
        <w:tab/>
        <w:t>Membership of Port Authority</w:t>
      </w:r>
      <w:bookmarkEnd w:id="18"/>
      <w:bookmarkEnd w:id="19"/>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Subject to subsections (3) and (4) of this section, the members shall be appointed by the Governor.</w:t>
      </w:r>
    </w:p>
    <w:p>
      <w:pPr>
        <w:pStyle w:val="Subsection"/>
        <w:rPr>
          <w:snapToGrid w:val="0"/>
        </w:rPr>
      </w:pPr>
      <w:r>
        <w:rPr>
          <w:snapToGrid w:val="0"/>
        </w:rPr>
        <w:tab/>
        <w:t>(3)</w:t>
      </w:r>
      <w:r>
        <w:rPr>
          <w:snapToGrid w:val="0"/>
        </w:rPr>
        <w:tab/>
        <w:t xml:space="preserve">One of the members shall be appointed by the Governor on the written nomination of the registered lessee or registered lessees, for the time being, of the land the subject of lease number 3116/3445 or any lease in substitution therefor issued under the </w:t>
      </w:r>
      <w:r>
        <w:rPr>
          <w:i/>
          <w:snapToGrid w:val="0"/>
        </w:rPr>
        <w:t>Land Administration Act 1997</w:t>
      </w:r>
      <w:r>
        <w:rPr>
          <w:snapToGrid w:val="0"/>
        </w:rPr>
        <w:t xml:space="preserve">, and the </w:t>
      </w:r>
      <w:r>
        <w:rPr>
          <w:i/>
          <w:snapToGrid w:val="0"/>
        </w:rPr>
        <w:t>Iron Ore (Mt. Goldsworthy) Agreement Act 1964</w:t>
      </w:r>
      <w:r>
        <w:rPr>
          <w:snapToGrid w:val="0"/>
        </w:rPr>
        <w:t>.</w:t>
      </w:r>
    </w:p>
    <w:p>
      <w:pPr>
        <w:pStyle w:val="Subsection"/>
        <w:rPr>
          <w:snapToGrid w:val="0"/>
        </w:rPr>
      </w:pPr>
      <w:r>
        <w:rPr>
          <w:snapToGrid w:val="0"/>
        </w:rPr>
        <w:tab/>
        <w:t>(4)</w:t>
      </w:r>
      <w:r>
        <w:rPr>
          <w:snapToGrid w:val="0"/>
        </w:rPr>
        <w:tab/>
        <w:t xml:space="preserve">One of the members shall be appointed by the Governor on the written nomination of the registered lessee or the registered lessees, for the time being, of the land the subject of lease number 3116/3692 or any lease in substitution therefor issued under the </w:t>
      </w:r>
      <w:r>
        <w:rPr>
          <w:i/>
          <w:snapToGrid w:val="0"/>
        </w:rPr>
        <w:t>Land Administration Act 1997</w:t>
      </w:r>
      <w:r>
        <w:rPr>
          <w:snapToGrid w:val="0"/>
        </w:rPr>
        <w:t xml:space="preserve">, and the </w:t>
      </w:r>
      <w:r>
        <w:rPr>
          <w:i/>
          <w:snapToGrid w:val="0"/>
        </w:rPr>
        <w:t>Iron Ore (Mt. Newman) Agreement Act 1964</w:t>
      </w:r>
      <w:r>
        <w:rPr>
          <w:snapToGrid w:val="0"/>
        </w:rPr>
        <w:t>.</w:t>
      </w:r>
    </w:p>
    <w:p>
      <w:pPr>
        <w:pStyle w:val="Subsection"/>
        <w:rPr>
          <w:snapToGrid w:val="0"/>
        </w:rPr>
      </w:pPr>
      <w:r>
        <w:rPr>
          <w:snapToGrid w:val="0"/>
        </w:rPr>
        <w:tab/>
        <w:t>(5)</w:t>
      </w:r>
      <w:r>
        <w:rPr>
          <w:snapToGrid w:val="0"/>
        </w:rPr>
        <w:tab/>
        <w:t>One of the members, not being a member referred to in subsection (3) or (4) of this section, shall be appointed Chairman of the Port Authority by the Governor.</w:t>
      </w:r>
    </w:p>
    <w:p>
      <w:pPr>
        <w:pStyle w:val="Subsection"/>
        <w:rPr>
          <w:snapToGrid w:val="0"/>
        </w:rPr>
      </w:pPr>
      <w:r>
        <w:rPr>
          <w:snapToGrid w:val="0"/>
        </w:rPr>
        <w:tab/>
        <w:t>(6)</w:t>
      </w:r>
      <w:r>
        <w:rPr>
          <w:snapToGrid w:val="0"/>
        </w:rPr>
        <w:tab/>
        <w:t>If at any time the appropriate registered lessee does not or the appropriate registered lessees do not, nominate a person for appointment as member under subsection (3) or (4) of this section or under section 8 of this Act or as a deputy member under section 9 of this Act, within thirty days after being requested in writing by the Minister so to do, the Governor may, without such nomination of the registered lessee or registered lessees, appoint any person who is otherwise eligible to be the member or deputy member, to represent the interests of the registered lessee or registered lessees in default.</w:t>
      </w:r>
    </w:p>
    <w:p>
      <w:pPr>
        <w:pStyle w:val="Subsection"/>
        <w:rPr>
          <w:snapToGrid w:val="0"/>
        </w:rPr>
      </w:pPr>
      <w:r>
        <w:rPr>
          <w:snapToGrid w:val="0"/>
        </w:rPr>
        <w:tab/>
        <w:t>(7)</w:t>
      </w:r>
      <w:r>
        <w:rPr>
          <w:snapToGrid w:val="0"/>
        </w:rPr>
        <w:tab/>
        <w:t>A person appointed by the Governor under subsection (6) of this section shall, for all purposes, be deemed to be duly nominated and appointed as member or deputy member, as the case may require and to be the nominee and the representative of the respective lessee or lessees in default.</w:t>
      </w:r>
    </w:p>
    <w:p>
      <w:pPr>
        <w:pStyle w:val="Footnotesection"/>
      </w:pPr>
      <w:r>
        <w:tab/>
        <w:t>[Section 6 amended by No. 31 of 1997 s.141.]</w:t>
      </w:r>
    </w:p>
    <w:p>
      <w:pPr>
        <w:pStyle w:val="Heading5"/>
        <w:rPr>
          <w:snapToGrid w:val="0"/>
        </w:rPr>
      </w:pPr>
      <w:bookmarkStart w:id="20" w:name="_Toc378262126"/>
      <w:bookmarkStart w:id="21" w:name="_Toc425946726"/>
      <w:r>
        <w:rPr>
          <w:rStyle w:val="CharSectno"/>
        </w:rPr>
        <w:t>7</w:t>
      </w:r>
      <w:r>
        <w:rPr>
          <w:snapToGrid w:val="0"/>
        </w:rPr>
        <w:t>.</w:t>
      </w:r>
      <w:r>
        <w:rPr>
          <w:snapToGrid w:val="0"/>
          <w:vertAlign w:val="superscript"/>
        </w:rPr>
        <w:t xml:space="preserve"> 2</w:t>
      </w:r>
      <w:r>
        <w:rPr>
          <w:snapToGrid w:val="0"/>
        </w:rPr>
        <w:tab/>
        <w:t>Period of office of member</w:t>
      </w:r>
      <w:bookmarkEnd w:id="20"/>
      <w:bookmarkEnd w:id="21"/>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 </w:t>
      </w:r>
    </w:p>
    <w:p>
      <w:pPr>
        <w:pStyle w:val="Indenti"/>
        <w:rPr>
          <w:snapToGrid w:val="0"/>
        </w:rPr>
      </w:pPr>
      <w:r>
        <w:rPr>
          <w:snapToGrid w:val="0"/>
        </w:rPr>
        <w:tab/>
        <w:t>(i)</w:t>
      </w:r>
      <w:r>
        <w:rPr>
          <w:snapToGrid w:val="0"/>
        </w:rPr>
        <w:tab/>
        <w:t>in the case of a member referred to in section 6 (3) or (4), eligible for renomination; and</w:t>
      </w:r>
    </w:p>
    <w:p>
      <w:pPr>
        <w:pStyle w:val="Indenti"/>
        <w:rPr>
          <w:snapToGrid w:val="0"/>
        </w:rPr>
      </w:pPr>
      <w:r>
        <w:rPr>
          <w:snapToGrid w:val="0"/>
        </w:rPr>
        <w:tab/>
        <w:t>(ii)</w:t>
      </w:r>
      <w:r>
        <w:rPr>
          <w:snapToGrid w:val="0"/>
        </w:rPr>
        <w:tab/>
        <w:t>eligible for reappointment,</w:t>
      </w:r>
    </w:p>
    <w:p>
      <w:pPr>
        <w:pStyle w:val="Indenta"/>
        <w:rPr>
          <w:snapToGrid w:val="0"/>
        </w:rPr>
      </w:pPr>
      <w:r>
        <w:rPr>
          <w:snapToGrid w:val="0"/>
        </w:rPr>
        <w:tab/>
      </w:r>
      <w:r>
        <w:rPr>
          <w:snapToGrid w:val="0"/>
        </w:rPr>
        <w:tab/>
        <w:t>as a member.</w:t>
      </w:r>
    </w:p>
    <w:p>
      <w:pPr>
        <w:pStyle w:val="Footnotesection"/>
      </w:pPr>
      <w:r>
        <w:tab/>
        <w:t xml:space="preserve">[Section 7 inserted by No. 79 of 1986 s.24.] </w:t>
      </w:r>
    </w:p>
    <w:p>
      <w:pPr>
        <w:pStyle w:val="Ednotesection"/>
      </w:pPr>
      <w:r>
        <w:t>[</w:t>
      </w:r>
      <w:r>
        <w:rPr>
          <w:b/>
        </w:rPr>
        <w:t>8.</w:t>
      </w:r>
      <w:r>
        <w:tab/>
      </w:r>
      <w:r>
        <w:tab/>
        <w:t xml:space="preserve">Repealed by No. 79 of 1986 s.24.] </w:t>
      </w:r>
    </w:p>
    <w:p>
      <w:pPr>
        <w:pStyle w:val="Heading5"/>
        <w:rPr>
          <w:snapToGrid w:val="0"/>
        </w:rPr>
      </w:pPr>
      <w:bookmarkStart w:id="22" w:name="_Toc378262127"/>
      <w:bookmarkStart w:id="23" w:name="_Toc425946727"/>
      <w:r>
        <w:rPr>
          <w:rStyle w:val="CharSectno"/>
        </w:rPr>
        <w:t>9</w:t>
      </w:r>
      <w:r>
        <w:rPr>
          <w:snapToGrid w:val="0"/>
        </w:rPr>
        <w:t>.</w:t>
      </w:r>
      <w:r>
        <w:rPr>
          <w:snapToGrid w:val="0"/>
        </w:rPr>
        <w:tab/>
        <w:t>Deputy members</w:t>
      </w:r>
      <w:bookmarkEnd w:id="22"/>
      <w:bookmarkEnd w:id="23"/>
      <w:r>
        <w:rPr>
          <w:snapToGrid w:val="0"/>
        </w:rPr>
        <w:t xml:space="preserve"> </w:t>
      </w:r>
    </w:p>
    <w:p>
      <w:pPr>
        <w:pStyle w:val="Subsection"/>
        <w:rPr>
          <w:snapToGrid w:val="0"/>
        </w:rPr>
      </w:pPr>
      <w:r>
        <w:rPr>
          <w:snapToGrid w:val="0"/>
        </w:rPr>
        <w:tab/>
        <w:t>(1)</w:t>
      </w:r>
      <w:r>
        <w:rPr>
          <w:snapToGrid w:val="0"/>
        </w:rPr>
        <w:tab/>
        <w:t>The Governor shall appoint a person to be the deputy of a member.</w:t>
      </w:r>
    </w:p>
    <w:p>
      <w:pPr>
        <w:pStyle w:val="Subsection"/>
        <w:rPr>
          <w:snapToGrid w:val="0"/>
        </w:rPr>
      </w:pPr>
      <w:r>
        <w:rPr>
          <w:snapToGrid w:val="0"/>
        </w:rPr>
        <w:tab/>
        <w:t>(2)</w:t>
      </w:r>
      <w:r>
        <w:rPr>
          <w:snapToGrid w:val="0"/>
        </w:rPr>
        <w:tab/>
        <w:t>A person appointed under this section shall be nominated for, appointed to and removed from the office of deputy in like manner and for like cause as the member for whom he is deputy.</w:t>
      </w:r>
    </w:p>
    <w:p>
      <w:pPr>
        <w:pStyle w:val="Subsection"/>
        <w:rPr>
          <w:snapToGrid w:val="0"/>
        </w:rPr>
      </w:pPr>
      <w:r>
        <w:rPr>
          <w:snapToGrid w:val="0"/>
        </w:rPr>
        <w:tab/>
        <w:t>(3)</w:t>
      </w:r>
      <w:r>
        <w:rPr>
          <w:snapToGrid w:val="0"/>
        </w:rPr>
        <w:tab/>
        <w:t>A person shall be the deputy of one member only.</w:t>
      </w:r>
    </w:p>
    <w:p>
      <w:pPr>
        <w:pStyle w:val="Subsection"/>
        <w:rPr>
          <w:snapToGrid w:val="0"/>
        </w:rPr>
      </w:pPr>
      <w:r>
        <w:rPr>
          <w:snapToGrid w:val="0"/>
        </w:rPr>
        <w:tab/>
        <w:t>(4)</w:t>
      </w:r>
      <w:r>
        <w:rPr>
          <w:snapToGrid w:val="0"/>
        </w:rPr>
        <w:tab/>
        <w:t>The deputy of a member is entitled, in the event of the absence of a member from a meeting of the Port Authority, to attend that meeting, and when so attending, shall be deemed to be a member.</w:t>
      </w:r>
    </w:p>
    <w:p>
      <w:pPr>
        <w:pStyle w:val="Heading5"/>
        <w:rPr>
          <w:snapToGrid w:val="0"/>
        </w:rPr>
      </w:pPr>
      <w:bookmarkStart w:id="24" w:name="_Toc378262128"/>
      <w:bookmarkStart w:id="25" w:name="_Toc425946728"/>
      <w:r>
        <w:rPr>
          <w:rStyle w:val="CharSectno"/>
        </w:rPr>
        <w:t>10</w:t>
      </w:r>
      <w:r>
        <w:rPr>
          <w:snapToGrid w:val="0"/>
        </w:rPr>
        <w:t>.</w:t>
      </w:r>
      <w:r>
        <w:rPr>
          <w:snapToGrid w:val="0"/>
        </w:rPr>
        <w:tab/>
        <w:t>Disclosure by members</w:t>
      </w:r>
      <w:bookmarkEnd w:id="24"/>
      <w:bookmarkEnd w:id="25"/>
      <w:r>
        <w:rPr>
          <w:snapToGrid w:val="0"/>
        </w:rPr>
        <w:t xml:space="preserve"> </w:t>
      </w:r>
    </w:p>
    <w:p>
      <w:pPr>
        <w:pStyle w:val="Subsection"/>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to a member appointed under section 6 (3), (4) or (6) in respect of a pecuniary interest of the member that consists only of being an employee of a registered lessee referred to in those subsections.</w:t>
      </w:r>
    </w:p>
    <w:p>
      <w:pPr>
        <w:pStyle w:val="Footnotesection"/>
      </w:pPr>
      <w:r>
        <w:tab/>
        <w:t xml:space="preserve">[Section 10 inserted by No. 46 of 1993 s.46.] </w:t>
      </w:r>
    </w:p>
    <w:p>
      <w:pPr>
        <w:pStyle w:val="Heading5"/>
        <w:rPr>
          <w:snapToGrid w:val="0"/>
        </w:rPr>
      </w:pPr>
      <w:bookmarkStart w:id="26" w:name="_Toc378262129"/>
      <w:bookmarkStart w:id="27" w:name="_Toc425946729"/>
      <w:r>
        <w:rPr>
          <w:rStyle w:val="CharSectno"/>
        </w:rPr>
        <w:t>11</w:t>
      </w:r>
      <w:r>
        <w:rPr>
          <w:snapToGrid w:val="0"/>
        </w:rPr>
        <w:t>.</w:t>
      </w:r>
      <w:r>
        <w:rPr>
          <w:snapToGrid w:val="0"/>
        </w:rPr>
        <w:tab/>
        <w:t>Removal from office</w:t>
      </w:r>
      <w:bookmarkEnd w:id="26"/>
      <w:bookmarkEnd w:id="27"/>
      <w:r>
        <w:rPr>
          <w:snapToGrid w:val="0"/>
        </w:rPr>
        <w:t xml:space="preserve"> </w:t>
      </w:r>
    </w:p>
    <w:p>
      <w:pPr>
        <w:pStyle w:val="Subsection"/>
        <w:rPr>
          <w:snapToGrid w:val="0"/>
        </w:rPr>
      </w:pPr>
      <w:r>
        <w:rPr>
          <w:snapToGrid w:val="0"/>
        </w:rPr>
        <w:tab/>
        <w:t>(1)</w:t>
      </w:r>
      <w:r>
        <w:rPr>
          <w:snapToGrid w:val="0"/>
        </w:rPr>
        <w:tab/>
        <w:t>A member who is nominated and appointed under subsection (3) or (4) of section 6 of this Act or is appointed under subsection (6) of that section shall cease to be a member if the registered lessee or the registered lessees who so nominated him or who is or are deemed to have nominated him pursuant to subsection (7) of that section — </w:t>
      </w:r>
    </w:p>
    <w:p>
      <w:pPr>
        <w:pStyle w:val="Indenta"/>
        <w:rPr>
          <w:snapToGrid w:val="0"/>
        </w:rPr>
      </w:pPr>
      <w:r>
        <w:rPr>
          <w:snapToGrid w:val="0"/>
        </w:rPr>
        <w:tab/>
        <w:t>(a)</w:t>
      </w:r>
      <w:r>
        <w:rPr>
          <w:snapToGrid w:val="0"/>
        </w:rPr>
        <w:tab/>
        <w:t>ceases or cease to be the registered lessee or the registered lessees of the land referred to in the subsection pursuant to which he was nominated and appointed; or</w:t>
      </w:r>
    </w:p>
    <w:p>
      <w:pPr>
        <w:pStyle w:val="Indenta"/>
        <w:rPr>
          <w:snapToGrid w:val="0"/>
        </w:rPr>
      </w:pPr>
      <w:r>
        <w:rPr>
          <w:snapToGrid w:val="0"/>
        </w:rPr>
        <w:tab/>
        <w:t>(b)</w:t>
      </w:r>
      <w:r>
        <w:rPr>
          <w:snapToGrid w:val="0"/>
        </w:rPr>
        <w:tab/>
        <w:t>by instrument in writing served on the Minister requests or request that the member shall cease to be a member.</w:t>
      </w:r>
    </w:p>
    <w:p>
      <w:pPr>
        <w:pStyle w:val="Subsection"/>
        <w:rPr>
          <w:snapToGrid w:val="0"/>
        </w:rPr>
      </w:pPr>
      <w:r>
        <w:rPr>
          <w:snapToGrid w:val="0"/>
        </w:rPr>
        <w:tab/>
        <w:t>(2)</w:t>
      </w:r>
      <w:r>
        <w:rPr>
          <w:snapToGrid w:val="0"/>
        </w:rPr>
        <w:tab/>
        <w:t>The Governor may remove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11 amended by No. 46 of 1993 s.46.] </w:t>
      </w:r>
    </w:p>
    <w:p>
      <w:pPr>
        <w:pStyle w:val="Heading5"/>
        <w:rPr>
          <w:snapToGrid w:val="0"/>
        </w:rPr>
      </w:pPr>
      <w:bookmarkStart w:id="28" w:name="_Toc378262130"/>
      <w:bookmarkStart w:id="29" w:name="_Toc425946730"/>
      <w:r>
        <w:rPr>
          <w:rStyle w:val="CharSectno"/>
        </w:rPr>
        <w:t>12</w:t>
      </w:r>
      <w:r>
        <w:rPr>
          <w:snapToGrid w:val="0"/>
        </w:rPr>
        <w:t>.</w:t>
      </w:r>
      <w:r>
        <w:rPr>
          <w:snapToGrid w:val="0"/>
        </w:rPr>
        <w:tab/>
        <w:t>Remuneration and allowances</w:t>
      </w:r>
      <w:bookmarkEnd w:id="28"/>
      <w:bookmarkEnd w:id="29"/>
      <w:r>
        <w:rPr>
          <w:snapToGrid w:val="0"/>
        </w:rPr>
        <w:t xml:space="preserve"> </w:t>
      </w:r>
    </w:p>
    <w:p>
      <w:pPr>
        <w:pStyle w:val="Subsection"/>
        <w:rPr>
          <w:snapToGrid w:val="0"/>
        </w:rPr>
      </w:pPr>
      <w:r>
        <w:rPr>
          <w:snapToGrid w:val="0"/>
        </w:rPr>
        <w:tab/>
      </w:r>
      <w:r>
        <w:rPr>
          <w:snapToGrid w:val="0"/>
        </w:rPr>
        <w:tab/>
        <w:t>The Chairman and each other member shall be paid such remuneration and allowances as are prescribed.</w:t>
      </w:r>
    </w:p>
    <w:p>
      <w:pPr>
        <w:pStyle w:val="Heading5"/>
        <w:rPr>
          <w:snapToGrid w:val="0"/>
        </w:rPr>
      </w:pPr>
      <w:bookmarkStart w:id="30" w:name="_Toc378262131"/>
      <w:bookmarkStart w:id="31" w:name="_Toc425946731"/>
      <w:r>
        <w:rPr>
          <w:rStyle w:val="CharSectno"/>
        </w:rPr>
        <w:t>13</w:t>
      </w:r>
      <w:r>
        <w:rPr>
          <w:snapToGrid w:val="0"/>
        </w:rPr>
        <w:t>.</w:t>
      </w:r>
      <w:r>
        <w:rPr>
          <w:snapToGrid w:val="0"/>
        </w:rPr>
        <w:tab/>
        <w:t>Leave of absence</w:t>
      </w:r>
      <w:bookmarkEnd w:id="30"/>
      <w:bookmarkEnd w:id="31"/>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32" w:name="_Toc378262132"/>
      <w:bookmarkStart w:id="33" w:name="_Toc425946732"/>
      <w:r>
        <w:rPr>
          <w:rStyle w:val="CharSectno"/>
        </w:rPr>
        <w:t>14</w:t>
      </w:r>
      <w:r>
        <w:rPr>
          <w:snapToGrid w:val="0"/>
        </w:rPr>
        <w:t>.</w:t>
      </w:r>
      <w:r>
        <w:rPr>
          <w:snapToGrid w:val="0"/>
        </w:rPr>
        <w:tab/>
        <w:t>Resignation of member</w:t>
      </w:r>
      <w:bookmarkEnd w:id="32"/>
      <w:bookmarkEnd w:id="33"/>
      <w:r>
        <w:rPr>
          <w:snapToGrid w:val="0"/>
        </w:rPr>
        <w:t xml:space="preserve"> </w:t>
      </w:r>
    </w:p>
    <w:p>
      <w:pPr>
        <w:pStyle w:val="Subsection"/>
        <w:rPr>
          <w:snapToGrid w:val="0"/>
        </w:rPr>
      </w:pPr>
      <w:r>
        <w:rPr>
          <w:snapToGrid w:val="0"/>
        </w:rPr>
        <w:tab/>
      </w:r>
      <w:r>
        <w:rPr>
          <w:snapToGrid w:val="0"/>
        </w:rPr>
        <w:tab/>
        <w:t>A member may resign his office by instrument in writing under his hand addressed to and delivered to the Governor.</w:t>
      </w:r>
    </w:p>
    <w:p>
      <w:pPr>
        <w:pStyle w:val="Heading5"/>
        <w:rPr>
          <w:snapToGrid w:val="0"/>
        </w:rPr>
      </w:pPr>
      <w:bookmarkStart w:id="34" w:name="_Toc378262133"/>
      <w:bookmarkStart w:id="35" w:name="_Toc425946733"/>
      <w:r>
        <w:rPr>
          <w:rStyle w:val="CharSectno"/>
        </w:rPr>
        <w:t>15</w:t>
      </w:r>
      <w:r>
        <w:rPr>
          <w:snapToGrid w:val="0"/>
        </w:rPr>
        <w:t>.</w:t>
      </w:r>
      <w:r>
        <w:rPr>
          <w:snapToGrid w:val="0"/>
        </w:rPr>
        <w:tab/>
        <w:t>Meetings of the Port Authority</w:t>
      </w:r>
      <w:bookmarkEnd w:id="34"/>
      <w:bookmarkEnd w:id="35"/>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Subject to this section, the Port Authority shall meet at such times and places as the Chairman thinks necessary for the efficient conduct of the affairs of the Port Authority.</w:t>
      </w:r>
    </w:p>
    <w:p>
      <w:pPr>
        <w:pStyle w:val="Indenta"/>
        <w:rPr>
          <w:snapToGrid w:val="0"/>
        </w:rPr>
      </w:pPr>
      <w:r>
        <w:rPr>
          <w:snapToGrid w:val="0"/>
        </w:rPr>
        <w:tab/>
        <w:t>(b)</w:t>
      </w:r>
      <w:r>
        <w:rPr>
          <w:snapToGrid w:val="0"/>
        </w:rPr>
        <w:tab/>
        <w:t>Due notice of all meetings convened under this section shall be given to each member by the person convening the meeting.</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36" w:name="_Toc378262134"/>
      <w:bookmarkStart w:id="37" w:name="_Toc425946734"/>
      <w:r>
        <w:rPr>
          <w:rStyle w:val="CharSectno"/>
        </w:rPr>
        <w:t>16</w:t>
      </w:r>
      <w:r>
        <w:rPr>
          <w:snapToGrid w:val="0"/>
        </w:rPr>
        <w:t>.</w:t>
      </w:r>
      <w:r>
        <w:rPr>
          <w:snapToGrid w:val="0"/>
        </w:rPr>
        <w:tab/>
        <w:t>Record proceedings</w:t>
      </w:r>
      <w:bookmarkEnd w:id="36"/>
      <w:bookmarkEnd w:id="37"/>
      <w:r>
        <w:rPr>
          <w:snapToGrid w:val="0"/>
        </w:rPr>
        <w:t xml:space="preserve"> </w:t>
      </w:r>
    </w:p>
    <w:p>
      <w:pPr>
        <w:pStyle w:val="Subsection"/>
        <w:rPr>
          <w:snapToGrid w:val="0"/>
        </w:rPr>
      </w:pPr>
      <w:r>
        <w:rPr>
          <w:snapToGrid w:val="0"/>
        </w:rPr>
        <w:tab/>
      </w:r>
      <w:r>
        <w:rPr>
          <w:snapToGrid w:val="0"/>
        </w:rPr>
        <w:tab/>
        <w:t>The Port Authority shall keep a record of its proceedings.</w:t>
      </w:r>
    </w:p>
    <w:p>
      <w:pPr>
        <w:pStyle w:val="Footnotesection"/>
      </w:pPr>
      <w:r>
        <w:tab/>
        <w:t xml:space="preserve">[Section 16 inserted by No. 98 of 1985 Schedule 1.] </w:t>
      </w:r>
    </w:p>
    <w:p>
      <w:pPr>
        <w:pStyle w:val="Heading3"/>
        <w:rPr>
          <w:snapToGrid w:val="0"/>
        </w:rPr>
      </w:pPr>
      <w:bookmarkStart w:id="38" w:name="_Toc378262135"/>
      <w:bookmarkStart w:id="39" w:name="_Toc425946735"/>
      <w:r>
        <w:rPr>
          <w:rStyle w:val="CharDivNo"/>
        </w:rPr>
        <w:t>Division 2</w:t>
      </w:r>
      <w:r>
        <w:rPr>
          <w:snapToGrid w:val="0"/>
        </w:rPr>
        <w:t> — </w:t>
      </w:r>
      <w:r>
        <w:rPr>
          <w:rStyle w:val="CharDivText"/>
        </w:rPr>
        <w:t>Officers and other employees</w:t>
      </w:r>
      <w:bookmarkEnd w:id="38"/>
      <w:bookmarkEnd w:id="39"/>
      <w:r>
        <w:rPr>
          <w:rStyle w:val="CharDivText"/>
        </w:rPr>
        <w:t xml:space="preserve"> </w:t>
      </w:r>
    </w:p>
    <w:p>
      <w:pPr>
        <w:pStyle w:val="Heading5"/>
        <w:rPr>
          <w:snapToGrid w:val="0"/>
        </w:rPr>
      </w:pPr>
      <w:bookmarkStart w:id="40" w:name="_Toc378262136"/>
      <w:bookmarkStart w:id="41" w:name="_Toc425946736"/>
      <w:r>
        <w:rPr>
          <w:rStyle w:val="CharSectno"/>
        </w:rPr>
        <w:t>17</w:t>
      </w:r>
      <w:r>
        <w:rPr>
          <w:snapToGrid w:val="0"/>
        </w:rPr>
        <w:t>.</w:t>
      </w:r>
      <w:r>
        <w:rPr>
          <w:snapToGrid w:val="0"/>
        </w:rPr>
        <w:tab/>
        <w:t>Appointment of officers and employees</w:t>
      </w:r>
      <w:bookmarkEnd w:id="40"/>
      <w:bookmarkEnd w:id="41"/>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the like approval, dismiss any of them; and</w:t>
      </w:r>
    </w:p>
    <w:p>
      <w:pPr>
        <w:pStyle w:val="Indenta"/>
        <w:rPr>
          <w:snapToGrid w:val="0"/>
        </w:rPr>
      </w:pPr>
      <w:r>
        <w:rPr>
          <w:snapToGrid w:val="0"/>
        </w:rPr>
        <w:tab/>
        <w:t>(b)</w:t>
      </w:r>
      <w:r>
        <w:rPr>
          <w:snapToGrid w:val="0"/>
        </w:rPr>
        <w:tab/>
        <w:t>appoint such other officers and such employees as may be necessary for the administration of this Act, and at any time dismiss any of them.</w:t>
      </w:r>
    </w:p>
    <w:p>
      <w:pPr>
        <w:pStyle w:val="Subsection"/>
        <w:rPr>
          <w:snapToGrid w:val="0"/>
        </w:rPr>
      </w:pPr>
      <w:r>
        <w:rPr>
          <w:snapToGrid w:val="0"/>
        </w:rPr>
        <w:tab/>
        <w:t>(2)</w:t>
      </w:r>
      <w:r>
        <w:rPr>
          <w:snapToGrid w:val="0"/>
        </w:rPr>
        <w:tab/>
        <w:t>All officers and employees appointed under this section are subject to the control of the Port Authority.</w:t>
      </w:r>
    </w:p>
    <w:p>
      <w:pPr>
        <w:pStyle w:val="Subsection"/>
        <w:rPr>
          <w:snapToGrid w:val="0"/>
        </w:rPr>
      </w:pPr>
      <w:r>
        <w:rPr>
          <w:snapToGrid w:val="0"/>
        </w:rPr>
        <w:tab/>
        <w:t>(2a)</w:t>
      </w:r>
      <w:r>
        <w:rPr>
          <w:snapToGrid w:val="0"/>
        </w:rPr>
        <w:tab/>
        <w:t xml:space="preserve">Notwithstanding anything in this section, to the extent that there is in the case of a person appointed under subsection (1) to be a general manager, assistant general manager or secretary, or any other officer or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employees, at daily or weekly wages, is in the sole power of the Port Authority.</w:t>
      </w:r>
    </w:p>
    <w:p>
      <w:pPr>
        <w:pStyle w:val="Subsection"/>
        <w:rPr>
          <w:snapToGrid w:val="0"/>
        </w:rPr>
      </w:pPr>
      <w:r>
        <w:rPr>
          <w:snapToGrid w:val="0"/>
        </w:rPr>
        <w:tab/>
        <w:t>(4)</w:t>
      </w:r>
      <w:r>
        <w:rPr>
          <w:snapToGrid w:val="0"/>
        </w:rPr>
        <w:tab/>
        <w:t xml:space="preserve">The Port Authority may appoint and dismiss persons as special constables, who, within the limits of the Port have, and may exercise and enjoy such powers, authorities, and immunities, and are subject to such duties and obligations as a police officer appointed under the </w:t>
      </w:r>
      <w:r>
        <w:rPr>
          <w:i/>
          <w:snapToGrid w:val="0"/>
        </w:rPr>
        <w:t>Police Act 1892</w:t>
      </w:r>
      <w:r>
        <w:rPr>
          <w:snapToGrid w:val="0"/>
        </w:rPr>
        <w:t>, now has or is subject to by law.</w:t>
      </w:r>
    </w:p>
    <w:p>
      <w:pPr>
        <w:pStyle w:val="Subsection"/>
        <w:keepNext/>
        <w:keepLines/>
        <w:rPr>
          <w:snapToGrid w:val="0"/>
        </w:rPr>
      </w:pPr>
      <w:r>
        <w:rPr>
          <w:snapToGrid w:val="0"/>
        </w:rPr>
        <w:tab/>
        <w:t>(5)</w:t>
      </w:r>
      <w:r>
        <w:rPr>
          <w:snapToGrid w:val="0"/>
        </w:rPr>
        <w:tab/>
        <w:t>A person appointed a special constable under this section is not a member of the Police Force of — the State but is an employee of the Port Authority and under its direction and control.</w:t>
      </w:r>
    </w:p>
    <w:p>
      <w:pPr>
        <w:pStyle w:val="Footnotesection"/>
      </w:pPr>
      <w:r>
        <w:tab/>
        <w:t xml:space="preserve">[Section 17 amended by No. 113 of 1987 Schedule 2; No. 46 of 1993 s.46.] </w:t>
      </w:r>
    </w:p>
    <w:p>
      <w:pPr>
        <w:pStyle w:val="Heading5"/>
        <w:rPr>
          <w:snapToGrid w:val="0"/>
        </w:rPr>
      </w:pPr>
      <w:bookmarkStart w:id="42" w:name="_Toc378262137"/>
      <w:bookmarkStart w:id="43" w:name="_Toc425946737"/>
      <w:r>
        <w:rPr>
          <w:rStyle w:val="CharSectno"/>
        </w:rPr>
        <w:t>18</w:t>
      </w:r>
      <w:r>
        <w:rPr>
          <w:snapToGrid w:val="0"/>
        </w:rPr>
        <w:t>.</w:t>
      </w:r>
      <w:r>
        <w:rPr>
          <w:snapToGrid w:val="0"/>
        </w:rPr>
        <w:tab/>
        <w:t>Certain officers to give security</w:t>
      </w:r>
      <w:bookmarkEnd w:id="42"/>
      <w:bookmarkEnd w:id="43"/>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3"/>
        <w:rPr>
          <w:snapToGrid w:val="0"/>
        </w:rPr>
      </w:pPr>
      <w:bookmarkStart w:id="44" w:name="_Toc378262138"/>
      <w:bookmarkStart w:id="45" w:name="_Toc425946738"/>
      <w:r>
        <w:rPr>
          <w:rStyle w:val="CharDivNo"/>
        </w:rPr>
        <w:t>Division 3</w:t>
      </w:r>
      <w:r>
        <w:rPr>
          <w:snapToGrid w:val="0"/>
        </w:rPr>
        <w:t> — </w:t>
      </w:r>
      <w:r>
        <w:rPr>
          <w:rStyle w:val="CharDivText"/>
        </w:rPr>
        <w:t>Vesting of property</w:t>
      </w:r>
      <w:bookmarkEnd w:id="44"/>
      <w:bookmarkEnd w:id="45"/>
      <w:r>
        <w:rPr>
          <w:rStyle w:val="CharDivText"/>
        </w:rPr>
        <w:t xml:space="preserve"> </w:t>
      </w:r>
    </w:p>
    <w:p>
      <w:pPr>
        <w:pStyle w:val="Heading5"/>
        <w:rPr>
          <w:snapToGrid w:val="0"/>
        </w:rPr>
      </w:pPr>
      <w:bookmarkStart w:id="46" w:name="_Toc378262139"/>
      <w:bookmarkStart w:id="47" w:name="_Toc425946739"/>
      <w:r>
        <w:rPr>
          <w:rStyle w:val="CharSectno"/>
        </w:rPr>
        <w:t>19</w:t>
      </w:r>
      <w:r>
        <w:rPr>
          <w:snapToGrid w:val="0"/>
        </w:rPr>
        <w:t>.</w:t>
      </w:r>
      <w:r>
        <w:rPr>
          <w:snapToGrid w:val="0"/>
        </w:rPr>
        <w:tab/>
        <w:t>Property vested in Port Authority</w:t>
      </w:r>
      <w:bookmarkEnd w:id="46"/>
      <w:bookmarkEnd w:id="47"/>
      <w:r>
        <w:rPr>
          <w:snapToGrid w:val="0"/>
        </w:rPr>
        <w:t xml:space="preserve"> </w:t>
      </w:r>
    </w:p>
    <w:p>
      <w:pPr>
        <w:pStyle w:val="Subsection"/>
        <w:rPr>
          <w:snapToGrid w:val="0"/>
        </w:rPr>
      </w:pPr>
      <w:r>
        <w:rPr>
          <w:snapToGrid w:val="0"/>
        </w:rPr>
        <w:tab/>
        <w:t>(1)</w:t>
      </w:r>
      <w:r>
        <w:rPr>
          <w:snapToGrid w:val="0"/>
        </w:rPr>
        <w:tab/>
        <w:t>Subject to this section, 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including the bed and shores of the Port;</w:t>
      </w:r>
    </w:p>
    <w:p>
      <w:pPr>
        <w:pStyle w:val="Indenta"/>
        <w:rPr>
          <w:snapToGrid w:val="0"/>
        </w:rPr>
      </w:pPr>
      <w:r>
        <w:rPr>
          <w:snapToGrid w:val="0"/>
        </w:rPr>
        <w:tab/>
        <w:t>(b)</w:t>
      </w:r>
      <w:r>
        <w:rPr>
          <w:snapToGrid w:val="0"/>
        </w:rPr>
        <w:tab/>
        <w:t>all harbour lifts, signals, buoys and beacons within the boundaries of the Port or used in connection with navigation into or out of the Port, not being the property of the Crown in the right of the Commonwealth;</w:t>
      </w:r>
    </w:p>
    <w:p>
      <w:pPr>
        <w:pStyle w:val="Indenta"/>
        <w:rPr>
          <w:snapToGrid w:val="0"/>
        </w:rPr>
      </w:pPr>
      <w:r>
        <w:rPr>
          <w:snapToGrid w:val="0"/>
        </w:rPr>
        <w:tab/>
        <w:t>(c)</w:t>
      </w:r>
      <w:r>
        <w:rPr>
          <w:snapToGrid w:val="0"/>
        </w:rPr>
        <w:tab/>
        <w:t>all wharves, docks, landing stages, piers, jetties, wharf sheds and railways belonging to the Crown in right of the State and all equipment and buildings thereon that are within the boundaries of the Port;</w:t>
      </w:r>
    </w:p>
    <w:p>
      <w:pPr>
        <w:pStyle w:val="Indenta"/>
        <w:rPr>
          <w:snapToGrid w:val="0"/>
        </w:rPr>
      </w:pPr>
      <w:r>
        <w:rPr>
          <w:snapToGrid w:val="0"/>
        </w:rPr>
        <w:tab/>
        <w:t>(d)</w:t>
      </w:r>
      <w:r>
        <w:rPr>
          <w:snapToGrid w:val="0"/>
        </w:rPr>
        <w:tab/>
        <w:t xml:space="preserve">any improvements referred to in clause 3 (2) (a) of lease number 3116/3688 or referred to in clause 3 (8) (a) of lease number 3116/3689 or referred to in clause (3) (2) (a) of lease number 3116/4185 all of which leases are issued under the </w:t>
      </w:r>
      <w:r>
        <w:rPr>
          <w:i/>
          <w:snapToGrid w:val="0"/>
        </w:rPr>
        <w:t>Land Act 1933</w:t>
      </w:r>
      <w:r>
        <w:rPr>
          <w:snapToGrid w:val="0"/>
        </w:rPr>
        <w:t xml:space="preserve"> that are acquired on the surrender of the demised premises referred to in those leases pursuant to those clauses or pursuant to any leases or clauses thereof in substitution therefor; and</w:t>
      </w:r>
    </w:p>
    <w:p>
      <w:pPr>
        <w:pStyle w:val="Indenta"/>
        <w:rPr>
          <w:snapToGrid w:val="0"/>
        </w:rPr>
      </w:pPr>
      <w:r>
        <w:rPr>
          <w:snapToGrid w:val="0"/>
        </w:rPr>
        <w:tab/>
        <w:t>(e)</w:t>
      </w:r>
      <w:r>
        <w:rPr>
          <w:snapToGrid w:val="0"/>
        </w:rPr>
        <w:tab/>
        <w:t>subject to subsection (2) of section 4 of this Act, all such other property as the Port Authority may acquire or the Governor may at any time think fit to vest in the Port Authority for the purposes of this Act.</w:t>
      </w:r>
    </w:p>
    <w:p>
      <w:pPr>
        <w:pStyle w:val="Subsection"/>
        <w:rPr>
          <w:snapToGrid w:val="0"/>
        </w:rPr>
      </w:pPr>
      <w:r>
        <w:rPr>
          <w:snapToGrid w:val="0"/>
        </w:rPr>
        <w:tab/>
        <w:t>(2)</w:t>
      </w:r>
      <w:r>
        <w:rPr>
          <w:snapToGrid w:val="0"/>
        </w:rPr>
        <w:tab/>
        <w:t>For the purposes of vesting in the Port Authority any improvements referred to in paragraph (d) of subsection (1) of this section, the Port Authority is empowered to reimburse or enter into any agreements with the lessees referred to in the leases specified in that paragraph in accordance with the terms of such leases.</w:t>
      </w:r>
    </w:p>
    <w:p>
      <w:pPr>
        <w:pStyle w:val="Heading5"/>
        <w:rPr>
          <w:snapToGrid w:val="0"/>
        </w:rPr>
      </w:pPr>
      <w:bookmarkStart w:id="48" w:name="_Toc378262140"/>
      <w:bookmarkStart w:id="49" w:name="_Toc425946740"/>
      <w:r>
        <w:rPr>
          <w:rStyle w:val="CharSectno"/>
        </w:rPr>
        <w:t>20</w:t>
      </w:r>
      <w:r>
        <w:rPr>
          <w:snapToGrid w:val="0"/>
        </w:rPr>
        <w:t>.</w:t>
      </w:r>
      <w:r>
        <w:rPr>
          <w:snapToGrid w:val="0"/>
        </w:rPr>
        <w:tab/>
        <w:t>Disposal of land with Governor’s approval</w:t>
      </w:r>
      <w:bookmarkEnd w:id="48"/>
      <w:bookmarkEnd w:id="49"/>
      <w:r>
        <w:rPr>
          <w:snapToGrid w:val="0"/>
        </w:rPr>
        <w:t xml:space="preserve"> </w:t>
      </w:r>
    </w:p>
    <w:p>
      <w:pPr>
        <w:pStyle w:val="Subsection"/>
        <w:rPr>
          <w:snapToGrid w:val="0"/>
        </w:rPr>
      </w:pPr>
      <w:r>
        <w:rPr>
          <w:snapToGrid w:val="0"/>
        </w:rPr>
        <w:tab/>
      </w:r>
      <w:r>
        <w:rPr>
          <w:snapToGrid w:val="0"/>
        </w:rPr>
        <w:tab/>
        <w:t>The Port Authority shall not dispose of any land vested in it without the prior approval of the Governor.</w:t>
      </w:r>
    </w:p>
    <w:p>
      <w:pPr>
        <w:pStyle w:val="Heading5"/>
        <w:rPr>
          <w:snapToGrid w:val="0"/>
        </w:rPr>
      </w:pPr>
      <w:bookmarkStart w:id="50" w:name="_Toc378262141"/>
      <w:bookmarkStart w:id="51" w:name="_Toc425946741"/>
      <w:r>
        <w:rPr>
          <w:rStyle w:val="CharSectno"/>
        </w:rPr>
        <w:t>21</w:t>
      </w:r>
      <w:r>
        <w:rPr>
          <w:snapToGrid w:val="0"/>
        </w:rPr>
        <w:t>.</w:t>
      </w:r>
      <w:r>
        <w:rPr>
          <w:snapToGrid w:val="0"/>
        </w:rPr>
        <w:tab/>
        <w:t>Exemption from local government rates</w:t>
      </w:r>
      <w:bookmarkEnd w:id="50"/>
      <w:bookmarkEnd w:id="51"/>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or other statutory authority from levying and collecting rates and other lawful charges in respect of land, houses and buildings of the Port Authority that are for the time being let or occupied for private purposes.</w:t>
      </w:r>
    </w:p>
    <w:p>
      <w:pPr>
        <w:pStyle w:val="Footnotesection"/>
      </w:pPr>
      <w:r>
        <w:tab/>
        <w:t xml:space="preserve">[Section 21 amended by No. 14 of 1996 s.4.] </w:t>
      </w:r>
    </w:p>
    <w:p>
      <w:pPr>
        <w:pStyle w:val="Heading3"/>
        <w:rPr>
          <w:snapToGrid w:val="0"/>
        </w:rPr>
      </w:pPr>
      <w:bookmarkStart w:id="52" w:name="_Toc378262142"/>
      <w:bookmarkStart w:id="53" w:name="_Toc425946742"/>
      <w:r>
        <w:rPr>
          <w:rStyle w:val="CharDivNo"/>
        </w:rPr>
        <w:t>Division 4</w:t>
      </w:r>
      <w:r>
        <w:rPr>
          <w:snapToGrid w:val="0"/>
        </w:rPr>
        <w:t> — </w:t>
      </w:r>
      <w:r>
        <w:rPr>
          <w:rStyle w:val="CharDivText"/>
        </w:rPr>
        <w:t>Powers and duties of the Port Authority</w:t>
      </w:r>
      <w:bookmarkEnd w:id="52"/>
      <w:bookmarkEnd w:id="53"/>
      <w:r>
        <w:rPr>
          <w:rStyle w:val="CharDivText"/>
        </w:rPr>
        <w:t xml:space="preserve"> </w:t>
      </w:r>
    </w:p>
    <w:p>
      <w:pPr>
        <w:pStyle w:val="Heading5"/>
        <w:rPr>
          <w:snapToGrid w:val="0"/>
        </w:rPr>
      </w:pPr>
      <w:bookmarkStart w:id="54" w:name="_Toc378262143"/>
      <w:bookmarkStart w:id="55" w:name="_Toc425946743"/>
      <w:r>
        <w:rPr>
          <w:rStyle w:val="CharSectno"/>
        </w:rPr>
        <w:t>22</w:t>
      </w:r>
      <w:r>
        <w:rPr>
          <w:snapToGrid w:val="0"/>
        </w:rPr>
        <w:t>.</w:t>
      </w:r>
      <w:r>
        <w:rPr>
          <w:snapToGrid w:val="0"/>
        </w:rPr>
        <w:tab/>
        <w:t>Control of Port and maintenance of property by Port Authority</w:t>
      </w:r>
      <w:bookmarkEnd w:id="54"/>
      <w:bookmarkEnd w:id="55"/>
      <w:r>
        <w:rPr>
          <w:snapToGrid w:val="0"/>
        </w:rPr>
        <w:t xml:space="preserve"> </w:t>
      </w:r>
    </w:p>
    <w:p>
      <w:pPr>
        <w:pStyle w:val="Subsection"/>
        <w:rPr>
          <w:snapToGrid w:val="0"/>
        </w:rPr>
      </w:pPr>
      <w:r>
        <w:rPr>
          <w:snapToGrid w:val="0"/>
        </w:rPr>
        <w:tab/>
        <w:t>(1)</w:t>
      </w:r>
      <w:r>
        <w:rPr>
          <w:snapToGrid w:val="0"/>
        </w:rPr>
        <w:tab/>
        <w:t xml:space="preserve">Subject to any direction even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Subsection"/>
        <w:rPr>
          <w:snapToGrid w:val="0"/>
        </w:rPr>
      </w:pPr>
      <w:r>
        <w:rPr>
          <w:snapToGrid w:val="0"/>
        </w:rPr>
        <w:tab/>
        <w:t>(2)</w:t>
      </w:r>
      <w:r>
        <w:rPr>
          <w:snapToGrid w:val="0"/>
        </w:rPr>
        <w:tab/>
        <w:t>The Port Authority may do all such things as are necessary or convenient to be done for or in connection with the duties imposed on it under this section.</w:t>
      </w:r>
    </w:p>
    <w:p>
      <w:pPr>
        <w:pStyle w:val="Footnotesection"/>
      </w:pPr>
      <w:r>
        <w:tab/>
        <w:t xml:space="preserve">[Section 22 amended by No. 98 of 1987 s.34; No. 46 of 1993 s.46.] </w:t>
      </w:r>
    </w:p>
    <w:p>
      <w:pPr>
        <w:pStyle w:val="Heading5"/>
        <w:rPr>
          <w:snapToGrid w:val="0"/>
        </w:rPr>
      </w:pPr>
      <w:bookmarkStart w:id="56" w:name="_Toc378262144"/>
      <w:bookmarkStart w:id="57" w:name="_Toc425946744"/>
      <w:r>
        <w:rPr>
          <w:rStyle w:val="CharSectno"/>
        </w:rPr>
        <w:t>23</w:t>
      </w:r>
      <w:r>
        <w:rPr>
          <w:snapToGrid w:val="0"/>
        </w:rPr>
        <w:t>.</w:t>
      </w:r>
      <w:r>
        <w:rPr>
          <w:snapToGrid w:val="0"/>
        </w:rPr>
        <w:tab/>
        <w:t>Construction of port works</w:t>
      </w:r>
      <w:bookmarkEnd w:id="56"/>
      <w:bookmarkEnd w:id="57"/>
      <w:r>
        <w:rPr>
          <w:snapToGrid w:val="0"/>
        </w:rPr>
        <w:t xml:space="preserve"> </w:t>
      </w:r>
    </w:p>
    <w:p>
      <w:pPr>
        <w:pStyle w:val="Subsection"/>
        <w:rPr>
          <w:snapToGrid w:val="0"/>
        </w:rPr>
      </w:pPr>
      <w:r>
        <w:rPr>
          <w:snapToGrid w:val="0"/>
        </w:rPr>
        <w:tab/>
        <w:t>(1)</w:t>
      </w:r>
      <w:r>
        <w:rPr>
          <w:snapToGrid w:val="0"/>
        </w:rPr>
        <w:tab/>
        <w:t xml:space="preserve">The Port Authority may, with the prior approval of the Minister, construct, complete and extend any port works or other works required for the purposes of this Act within the Port or approaches to the Port, for which purpose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port works includes any pier, quay, wharf, jetty, bridge, viaduct, embankment or dam, or any reclamation of land from the sea or a river, or excavation, deepening, dredging or widening of any channel, basin or other part of the Port or of any channel to, or the approaches to, the Port.</w:t>
      </w:r>
    </w:p>
    <w:p>
      <w:pPr>
        <w:pStyle w:val="Footnotesection"/>
      </w:pPr>
      <w:r>
        <w:tab/>
        <w:t xml:space="preserve">[Section 23 amended by No. 78 of 1979 s.22; No. 36 of 1986 s.6.] </w:t>
      </w:r>
    </w:p>
    <w:p>
      <w:pPr>
        <w:pStyle w:val="Ednotesection"/>
      </w:pPr>
      <w:r>
        <w:t>[</w:t>
      </w:r>
      <w:r>
        <w:rPr>
          <w:b/>
        </w:rPr>
        <w:t>24., 25</w:t>
      </w:r>
      <w:r>
        <w:tab/>
        <w:t>Repealed by No. 46 of 1993 s.46]</w:t>
      </w:r>
    </w:p>
    <w:p>
      <w:pPr>
        <w:pStyle w:val="Heading5"/>
        <w:rPr>
          <w:snapToGrid w:val="0"/>
        </w:rPr>
      </w:pPr>
      <w:bookmarkStart w:id="58" w:name="_Toc378262145"/>
      <w:bookmarkStart w:id="59" w:name="_Toc425946745"/>
      <w:r>
        <w:rPr>
          <w:rStyle w:val="CharSectno"/>
        </w:rPr>
        <w:t>26</w:t>
      </w:r>
      <w:r>
        <w:rPr>
          <w:snapToGrid w:val="0"/>
        </w:rPr>
        <w:t>.</w:t>
      </w:r>
      <w:r>
        <w:rPr>
          <w:snapToGrid w:val="0"/>
        </w:rPr>
        <w:tab/>
        <w:t>Power to acquire land compulsorily</w:t>
      </w:r>
      <w:bookmarkEnd w:id="58"/>
      <w:bookmarkEnd w:id="59"/>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that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[Section 26 amended by No. 31 of 1997 s.142.]</w:t>
      </w:r>
    </w:p>
    <w:p>
      <w:pPr>
        <w:pStyle w:val="Ednotesection"/>
      </w:pPr>
      <w:r>
        <w:t>[</w:t>
      </w:r>
      <w:r>
        <w:rPr>
          <w:b/>
        </w:rPr>
        <w:t>27.</w:t>
      </w:r>
      <w:r>
        <w:tab/>
      </w:r>
      <w:r>
        <w:tab/>
        <w:t xml:space="preserve">Repealed by No. 46 of 1993 s.46.] </w:t>
      </w:r>
    </w:p>
    <w:p>
      <w:pPr>
        <w:pStyle w:val="Heading5"/>
        <w:rPr>
          <w:snapToGrid w:val="0"/>
        </w:rPr>
      </w:pPr>
      <w:bookmarkStart w:id="60" w:name="_Toc378262146"/>
      <w:bookmarkStart w:id="61" w:name="_Toc425946746"/>
      <w:r>
        <w:rPr>
          <w:rStyle w:val="CharSectno"/>
        </w:rPr>
        <w:t>27A</w:t>
      </w:r>
      <w:r>
        <w:rPr>
          <w:snapToGrid w:val="0"/>
        </w:rPr>
        <w:t>.</w:t>
      </w:r>
      <w:r>
        <w:rPr>
          <w:snapToGrid w:val="0"/>
        </w:rPr>
        <w:tab/>
        <w:t>Capital expenditure to be in financial interest of Port Authority</w:t>
      </w:r>
      <w:bookmarkEnd w:id="60"/>
      <w:bookmarkEnd w:id="61"/>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27A inserted by No. 98 of 1987 s.35.] </w:t>
      </w:r>
    </w:p>
    <w:p>
      <w:pPr>
        <w:pStyle w:val="Heading5"/>
        <w:rPr>
          <w:snapToGrid w:val="0"/>
        </w:rPr>
      </w:pPr>
      <w:bookmarkStart w:id="62" w:name="_Toc378262147"/>
      <w:bookmarkStart w:id="63" w:name="_Toc425946747"/>
      <w:r>
        <w:rPr>
          <w:rStyle w:val="CharSectno"/>
        </w:rPr>
        <w:t>28</w:t>
      </w:r>
      <w:r>
        <w:rPr>
          <w:snapToGrid w:val="0"/>
        </w:rPr>
        <w:t>.</w:t>
      </w:r>
      <w:r>
        <w:rPr>
          <w:snapToGrid w:val="0"/>
        </w:rPr>
        <w:tab/>
        <w:t>Goods not to remain on wharf etc. longer than prescribed time</w:t>
      </w:r>
      <w:bookmarkEnd w:id="62"/>
      <w:bookmarkEnd w:id="63"/>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w:t>
      </w:r>
      <w:r>
        <w:rPr>
          <w:snapToGrid w:val="0"/>
        </w:rPr>
        <w:noBreakHyphen/>
        <w:t>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64" w:name="_Toc378262148"/>
      <w:bookmarkStart w:id="65" w:name="_Toc425946748"/>
      <w:r>
        <w:rPr>
          <w:rStyle w:val="CharSectno"/>
        </w:rPr>
        <w:t>29</w:t>
      </w:r>
      <w:r>
        <w:rPr>
          <w:snapToGrid w:val="0"/>
        </w:rPr>
        <w:t>.</w:t>
      </w:r>
      <w:r>
        <w:rPr>
          <w:snapToGrid w:val="0"/>
        </w:rPr>
        <w:tab/>
        <w:t>Disputes between Port Authority and Government Departments to be settled by Minister</w:t>
      </w:r>
      <w:bookmarkEnd w:id="64"/>
      <w:bookmarkEnd w:id="65"/>
      <w:r>
        <w:rPr>
          <w:snapToGrid w:val="0"/>
        </w:rPr>
        <w:t xml:space="preserve"> </w:t>
      </w:r>
    </w:p>
    <w:p>
      <w:pPr>
        <w:pStyle w:val="Subsection"/>
        <w:rPr>
          <w:snapToGrid w:val="0"/>
        </w:rPr>
      </w:pPr>
      <w:r>
        <w:rPr>
          <w:snapToGrid w:val="0"/>
        </w:rPr>
        <w:tab/>
      </w:r>
      <w:r>
        <w:rPr>
          <w:snapToGrid w:val="0"/>
        </w:rPr>
        <w:tab/>
        <w:t>Any dispute between the Port Authority and The Western Australian Government Railways Commission, or any other Government department, with respect to any land or other property vested in the Port Authority, shall be referred by the parties to the dispute to the Minister, whose decision is final and binding upon the parties.</w:t>
      </w:r>
    </w:p>
    <w:p>
      <w:pPr>
        <w:pStyle w:val="Ednotesection"/>
      </w:pPr>
      <w:r>
        <w:t>[</w:t>
      </w:r>
      <w:r>
        <w:rPr>
          <w:b/>
        </w:rPr>
        <w:t>29A.</w:t>
      </w:r>
      <w:r>
        <w:t xml:space="preserve"> and </w:t>
      </w:r>
      <w:r>
        <w:rPr>
          <w:b/>
        </w:rPr>
        <w:t>30</w:t>
      </w:r>
      <w:r>
        <w:t xml:space="preserve">  Repealed by No. 46 of 1993 s.46.]</w:t>
      </w:r>
    </w:p>
    <w:p>
      <w:pPr>
        <w:pStyle w:val="Ednotesection"/>
      </w:pPr>
      <w:r>
        <w:t>[</w:t>
      </w:r>
      <w:r>
        <w:rPr>
          <w:b/>
        </w:rPr>
        <w:t>PART III</w:t>
      </w:r>
      <w:r>
        <w:t xml:space="preserve">  Repealed by No. 46 of 1993 s.46.]</w:t>
      </w:r>
    </w:p>
    <w:p>
      <w:pPr>
        <w:pStyle w:val="Heading2"/>
      </w:pPr>
      <w:bookmarkStart w:id="66" w:name="_Toc378262149"/>
      <w:bookmarkStart w:id="67" w:name="_Toc425946749"/>
      <w:r>
        <w:rPr>
          <w:rStyle w:val="CharPartNo"/>
        </w:rPr>
        <w:t>Part IV</w:t>
      </w:r>
      <w:r>
        <w:rPr>
          <w:rStyle w:val="CharDivNo"/>
        </w:rPr>
        <w:t> </w:t>
      </w:r>
      <w:r>
        <w:t>—</w:t>
      </w:r>
      <w:r>
        <w:rPr>
          <w:rStyle w:val="CharDivText"/>
        </w:rPr>
        <w:t> </w:t>
      </w:r>
      <w:r>
        <w:rPr>
          <w:rStyle w:val="CharPartText"/>
        </w:rPr>
        <w:t>Damage</w:t>
      </w:r>
      <w:bookmarkEnd w:id="66"/>
      <w:bookmarkEnd w:id="67"/>
      <w:r>
        <w:rPr>
          <w:rStyle w:val="CharPartText"/>
        </w:rPr>
        <w:t xml:space="preserve"> </w:t>
      </w:r>
    </w:p>
    <w:p>
      <w:pPr>
        <w:pStyle w:val="Footnoteheading"/>
        <w:rPr>
          <w:snapToGrid w:val="0"/>
        </w:rPr>
      </w:pPr>
      <w:r>
        <w:rPr>
          <w:snapToGrid w:val="0"/>
        </w:rPr>
        <w:t xml:space="preserve">[Heading amended by No. 46 of 1993 s.46.] </w:t>
      </w:r>
    </w:p>
    <w:p>
      <w:pPr>
        <w:pStyle w:val="Ednotesection"/>
      </w:pPr>
      <w:r>
        <w:t>[</w:t>
      </w:r>
      <w:r>
        <w:rPr>
          <w:b/>
        </w:rPr>
        <w:t>32.</w:t>
      </w:r>
      <w:r>
        <w:tab/>
      </w:r>
      <w:r>
        <w:tab/>
        <w:t xml:space="preserve">Repealed by No. 46 of 1993 s.46.] </w:t>
      </w:r>
    </w:p>
    <w:p>
      <w:pPr>
        <w:pStyle w:val="Heading5"/>
        <w:rPr>
          <w:snapToGrid w:val="0"/>
        </w:rPr>
      </w:pPr>
      <w:bookmarkStart w:id="68" w:name="_Toc378262150"/>
      <w:bookmarkStart w:id="69" w:name="_Toc425946750"/>
      <w:r>
        <w:rPr>
          <w:rStyle w:val="CharSectno"/>
        </w:rPr>
        <w:t>33</w:t>
      </w:r>
      <w:r>
        <w:rPr>
          <w:snapToGrid w:val="0"/>
        </w:rPr>
        <w:t>.</w:t>
      </w:r>
      <w:r>
        <w:rPr>
          <w:snapToGrid w:val="0"/>
        </w:rPr>
        <w:tab/>
        <w:t>Responsibility for injury to works</w:t>
      </w:r>
      <w:bookmarkEnd w:id="68"/>
      <w:bookmarkEnd w:id="69"/>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in or about any of them, to any part of the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timber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70" w:name="_Toc378262151"/>
      <w:bookmarkStart w:id="71" w:name="_Toc425946751"/>
      <w:r>
        <w:rPr>
          <w:rStyle w:val="CharSectno"/>
        </w:rPr>
        <w:t>34</w:t>
      </w:r>
      <w:r>
        <w:rPr>
          <w:snapToGrid w:val="0"/>
        </w:rPr>
        <w:t>.</w:t>
      </w:r>
      <w:r>
        <w:rPr>
          <w:snapToGrid w:val="0"/>
        </w:rPr>
        <w:tab/>
        <w:t>Liability for damage to submarine cables</w:t>
      </w:r>
      <w:bookmarkEnd w:id="70"/>
      <w:bookmarkEnd w:id="71"/>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pPr>
      <w:r>
        <w:t>[</w:t>
      </w:r>
      <w:r>
        <w:rPr>
          <w:b/>
        </w:rPr>
        <w:t>35.</w:t>
      </w:r>
      <w:r>
        <w:tab/>
      </w:r>
      <w:r>
        <w:tab/>
        <w:t xml:space="preserve">Repealed by No. 46 of 1993 s.46.] </w:t>
      </w:r>
    </w:p>
    <w:p>
      <w:pPr>
        <w:pStyle w:val="Heading2"/>
      </w:pPr>
      <w:bookmarkStart w:id="72" w:name="_Toc378262152"/>
      <w:bookmarkStart w:id="73" w:name="_Toc425946752"/>
      <w:r>
        <w:rPr>
          <w:rStyle w:val="CharPartNo"/>
        </w:rPr>
        <w:t>Part V</w:t>
      </w:r>
      <w:r>
        <w:rPr>
          <w:rStyle w:val="CharDivNo"/>
        </w:rPr>
        <w:t> </w:t>
      </w:r>
      <w:r>
        <w:t>—</w:t>
      </w:r>
      <w:r>
        <w:rPr>
          <w:rStyle w:val="CharDivText"/>
        </w:rPr>
        <w:t> </w:t>
      </w:r>
      <w:r>
        <w:rPr>
          <w:rStyle w:val="CharPartText"/>
        </w:rPr>
        <w:t>Port dues and wharfage charges</w:t>
      </w:r>
      <w:bookmarkEnd w:id="72"/>
      <w:bookmarkEnd w:id="73"/>
      <w:r>
        <w:rPr>
          <w:rStyle w:val="CharPartText"/>
        </w:rPr>
        <w:t xml:space="preserve"> </w:t>
      </w:r>
    </w:p>
    <w:p>
      <w:pPr>
        <w:pStyle w:val="Heading5"/>
        <w:rPr>
          <w:snapToGrid w:val="0"/>
        </w:rPr>
      </w:pPr>
      <w:bookmarkStart w:id="74" w:name="_Toc378262153"/>
      <w:bookmarkStart w:id="75" w:name="_Toc425946753"/>
      <w:r>
        <w:rPr>
          <w:rStyle w:val="CharSectno"/>
        </w:rPr>
        <w:t>36</w:t>
      </w:r>
      <w:r>
        <w:rPr>
          <w:snapToGrid w:val="0"/>
        </w:rPr>
        <w:t>.</w:t>
      </w:r>
      <w:r>
        <w:rPr>
          <w:snapToGrid w:val="0"/>
        </w:rPr>
        <w:tab/>
        <w:t>Port dues etc. fixed by regulations</w:t>
      </w:r>
      <w:bookmarkEnd w:id="74"/>
      <w:bookmarkEnd w:id="75"/>
      <w:r>
        <w:rPr>
          <w:snapToGrid w:val="0"/>
        </w:rPr>
        <w:t xml:space="preserve"> </w:t>
      </w:r>
    </w:p>
    <w:p>
      <w:pPr>
        <w:pStyle w:val="Subsection"/>
        <w:rPr>
          <w:snapToGrid w:val="0"/>
        </w:rPr>
      </w:pPr>
      <w:r>
        <w:rPr>
          <w:snapToGrid w:val="0"/>
        </w:rPr>
        <w:tab/>
        <w:t>(1)</w:t>
      </w:r>
      <w:r>
        <w:rPr>
          <w:snapToGrid w:val="0"/>
        </w:rPr>
        <w:tab/>
        <w:t>Port dues and wharfage and service charges shall be made and levied by the Port Authority and are payable in accordance with the regulations.</w:t>
      </w:r>
    </w:p>
    <w:p>
      <w:pPr>
        <w:pStyle w:val="Subsection"/>
        <w:rPr>
          <w:snapToGrid w:val="0"/>
        </w:rPr>
      </w:pPr>
      <w:r>
        <w:rPr>
          <w:snapToGrid w:val="0"/>
        </w:rPr>
        <w:tab/>
        <w:t>(2)</w:t>
      </w:r>
      <w:r>
        <w:rPr>
          <w:snapToGrid w:val="0"/>
        </w:rPr>
        <w:tab/>
        <w:t>Until the regulations are made, all port dues and wharfage charges or other charges now payable by law shall be continued to be levied and charged, and are payable to the Port Authority as if they had been made payable under this Act.</w:t>
      </w:r>
    </w:p>
    <w:p>
      <w:pPr>
        <w:pStyle w:val="Heading5"/>
        <w:rPr>
          <w:snapToGrid w:val="0"/>
        </w:rPr>
      </w:pPr>
      <w:bookmarkStart w:id="76" w:name="_Toc378262154"/>
      <w:bookmarkStart w:id="77" w:name="_Toc425946754"/>
      <w:r>
        <w:rPr>
          <w:rStyle w:val="CharSectno"/>
        </w:rPr>
        <w:t>37</w:t>
      </w:r>
      <w:r>
        <w:rPr>
          <w:snapToGrid w:val="0"/>
        </w:rPr>
        <w:t>.</w:t>
      </w:r>
      <w:r>
        <w:rPr>
          <w:snapToGrid w:val="0"/>
        </w:rPr>
        <w:tab/>
        <w:t>Power of Port Authority to levy port improvement rates</w:t>
      </w:r>
      <w:bookmarkEnd w:id="76"/>
      <w:bookmarkEnd w:id="77"/>
      <w:r>
        <w:rPr>
          <w:snapToGrid w:val="0"/>
        </w:rPr>
        <w:t xml:space="preserve"> </w:t>
      </w:r>
    </w:p>
    <w:p>
      <w:pPr>
        <w:pStyle w:val="Subsection"/>
        <w:rPr>
          <w:snapToGrid w:val="0"/>
        </w:rPr>
      </w:pPr>
      <w:r>
        <w:rPr>
          <w:snapToGrid w:val="0"/>
        </w:rPr>
        <w:tab/>
        <w:t>(1)</w:t>
      </w:r>
      <w:r>
        <w:rPr>
          <w:snapToGrid w:val="0"/>
        </w:rPr>
        <w:tab/>
        <w:t>The Port Authority may, with the approval of the Treasurer, make regulations providing for the levying of port improvement rates for all or any of the following purposes — </w:t>
      </w:r>
    </w:p>
    <w:p>
      <w:pPr>
        <w:pStyle w:val="Indenta"/>
        <w:rPr>
          <w:snapToGrid w:val="0"/>
        </w:rPr>
      </w:pPr>
      <w:r>
        <w:rPr>
          <w:snapToGrid w:val="0"/>
        </w:rPr>
        <w:tab/>
        <w:t>(a)</w:t>
      </w:r>
      <w:r>
        <w:rPr>
          <w:snapToGrid w:val="0"/>
        </w:rPr>
        <w:tab/>
        <w:t>to raise funds to fulfil its obligations in respect of assets or improvements acquired by it for the purposes of this Act;</w:t>
      </w:r>
    </w:p>
    <w:p>
      <w:pPr>
        <w:pStyle w:val="Indenta"/>
        <w:rPr>
          <w:snapToGrid w:val="0"/>
        </w:rPr>
      </w:pPr>
      <w:r>
        <w:rPr>
          <w:snapToGrid w:val="0"/>
        </w:rPr>
        <w:tab/>
        <w:t>(b)</w:t>
      </w:r>
      <w:r>
        <w:rPr>
          <w:snapToGrid w:val="0"/>
        </w:rPr>
        <w:tab/>
        <w:t>for carrying out improvements to the Port; or</w:t>
      </w:r>
    </w:p>
    <w:p>
      <w:pPr>
        <w:pStyle w:val="Indenta"/>
        <w:rPr>
          <w:snapToGrid w:val="0"/>
        </w:rPr>
      </w:pPr>
      <w:r>
        <w:rPr>
          <w:snapToGrid w:val="0"/>
        </w:rPr>
        <w:tab/>
        <w:t>(c)</w:t>
      </w:r>
      <w:r>
        <w:rPr>
          <w:snapToGrid w:val="0"/>
        </w:rPr>
        <w:tab/>
        <w:t>to make capital repayments of funds borrowed for any of the purposes of carrying out improvements to the Port and the repayment of interest payable on the funds so borrowed.</w:t>
      </w:r>
    </w:p>
    <w:p>
      <w:pPr>
        <w:pStyle w:val="Subsection"/>
        <w:rPr>
          <w:snapToGrid w:val="0"/>
        </w:rPr>
      </w:pPr>
      <w:r>
        <w:rPr>
          <w:snapToGrid w:val="0"/>
        </w:rPr>
        <w:tab/>
        <w:t>(2)</w:t>
      </w:r>
      <w:r>
        <w:rPr>
          <w:snapToGrid w:val="0"/>
        </w:rPr>
        <w:tab/>
        <w:t>Improvement rates levied under the regulations may be at such rate per tonne by weight or measurement as expressed in the regulations and shall be levied upon all goods shipped from or through the Port or entering the Port for discharge.</w:t>
      </w:r>
    </w:p>
    <w:p>
      <w:pPr>
        <w:pStyle w:val="Subsection"/>
        <w:rPr>
          <w:snapToGrid w:val="0"/>
        </w:rPr>
      </w:pPr>
      <w:r>
        <w:rPr>
          <w:snapToGrid w:val="0"/>
        </w:rPr>
        <w:tab/>
        <w:t>(3)</w:t>
      </w:r>
      <w:r>
        <w:rPr>
          <w:snapToGrid w:val="0"/>
        </w:rPr>
        <w:tab/>
        <w:t>Those regulations may prescribe — </w:t>
      </w:r>
    </w:p>
    <w:p>
      <w:pPr>
        <w:pStyle w:val="Indenta"/>
        <w:rPr>
          <w:snapToGrid w:val="0"/>
        </w:rPr>
      </w:pPr>
      <w:r>
        <w:rPr>
          <w:snapToGrid w:val="0"/>
        </w:rPr>
        <w:tab/>
        <w:t>(a)</w:t>
      </w:r>
      <w:r>
        <w:rPr>
          <w:snapToGrid w:val="0"/>
        </w:rPr>
        <w:tab/>
        <w:t>Use manner of levying and collecting the rate; and</w:t>
      </w:r>
    </w:p>
    <w:p>
      <w:pPr>
        <w:pStyle w:val="Indenta"/>
        <w:rPr>
          <w:snapToGrid w:val="0"/>
        </w:rPr>
      </w:pPr>
      <w:r>
        <w:rPr>
          <w:snapToGrid w:val="0"/>
        </w:rPr>
        <w:tab/>
        <w:t>(b)</w:t>
      </w:r>
      <w:r>
        <w:rPr>
          <w:snapToGrid w:val="0"/>
        </w:rPr>
        <w:tab/>
        <w:t>the persons by whom, and the manner in which, the rate shall be paid to any authorized officer of the Port Authority or to any other person authorized by the Port Authority in that behalf.</w:t>
      </w:r>
    </w:p>
    <w:p>
      <w:pPr>
        <w:pStyle w:val="Subsection"/>
        <w:rPr>
          <w:snapToGrid w:val="0"/>
        </w:rPr>
      </w:pPr>
      <w:r>
        <w:rPr>
          <w:snapToGrid w:val="0"/>
        </w:rPr>
        <w:tab/>
        <w:t>(4)</w:t>
      </w:r>
      <w:r>
        <w:rPr>
          <w:snapToGrid w:val="0"/>
        </w:rPr>
        <w:tab/>
        <w:t>Those regulations may be prescribed to be of general application or to apply in particular cases or circumstances having regard to the use of the Port improvements by the person shipping or discharging goods in respect of which the improvement rate is levied and the regulations may prescribe a rate per tonne by weight or measurement which may differ in particular cases or circumstances.</w:t>
      </w:r>
    </w:p>
    <w:p>
      <w:pPr>
        <w:pStyle w:val="Footnotesection"/>
      </w:pPr>
      <w:r>
        <w:tab/>
        <w:t xml:space="preserve">[Section 37 amended by No. 94 of 1972 s.4 (as amended by No. 83 of 1973).] </w:t>
      </w:r>
    </w:p>
    <w:p>
      <w:pPr>
        <w:pStyle w:val="Heading5"/>
        <w:rPr>
          <w:snapToGrid w:val="0"/>
        </w:rPr>
      </w:pPr>
      <w:bookmarkStart w:id="78" w:name="_Toc378262155"/>
      <w:bookmarkStart w:id="79" w:name="_Toc425946755"/>
      <w:r>
        <w:rPr>
          <w:rStyle w:val="CharSectno"/>
        </w:rPr>
        <w:t>38</w:t>
      </w:r>
      <w:r>
        <w:rPr>
          <w:snapToGrid w:val="0"/>
        </w:rPr>
        <w:t>.</w:t>
      </w:r>
      <w:r>
        <w:rPr>
          <w:snapToGrid w:val="0"/>
        </w:rPr>
        <w:tab/>
        <w:t>Calculation of dues</w:t>
      </w:r>
      <w:bookmarkEnd w:id="78"/>
      <w:bookmarkEnd w:id="79"/>
      <w:r>
        <w:rPr>
          <w:snapToGrid w:val="0"/>
        </w:rPr>
        <w:t xml:space="preserve"> </w:t>
      </w:r>
    </w:p>
    <w:p>
      <w:pPr>
        <w:pStyle w:val="Subsection"/>
        <w:rPr>
          <w:snapToGrid w:val="0"/>
        </w:rPr>
      </w:pPr>
      <w:r>
        <w:rPr>
          <w:snapToGrid w:val="0"/>
        </w:rPr>
        <w:tab/>
        <w:t>(1)</w:t>
      </w:r>
      <w:r>
        <w:rPr>
          <w:snapToGrid w:val="0"/>
        </w:rPr>
        <w:tab/>
        <w:t>Where a ship has been registered at a port in the United Kingdom or in the Commonwealth, the amount of tonnage specified in the certificate of such registry shall, for the purposes of this Act, be deemed to be the tonnage of such ship.</w:t>
      </w:r>
    </w:p>
    <w:p>
      <w:pPr>
        <w:pStyle w:val="Subsection"/>
        <w:rPr>
          <w:snapToGrid w:val="0"/>
        </w:rPr>
      </w:pPr>
      <w:r>
        <w:rPr>
          <w:snapToGrid w:val="0"/>
        </w:rPr>
        <w:tab/>
        <w:t>(2)</w:t>
      </w:r>
      <w:r>
        <w:rPr>
          <w:snapToGrid w:val="0"/>
        </w:rPr>
        <w:tab/>
        <w:t xml:space="preserve">Where a ship is registered at a port in a country that has adopted the provisions of the </w:t>
      </w:r>
      <w:r>
        <w:rPr>
          <w:i/>
          <w:snapToGrid w:val="0"/>
        </w:rPr>
        <w:t>Merchant Shipping Act 1894</w:t>
      </w:r>
      <w:r>
        <w:rPr>
          <w:snapToGrid w:val="0"/>
        </w:rPr>
        <w:t xml:space="preserve"> of the United Kingdom Parliament, in respect of the measurement of tonnage the ship shall be deemed to be of the tonnage denoted in its certificate of registry or other national papers.</w:t>
      </w:r>
    </w:p>
    <w:p>
      <w:pPr>
        <w:pStyle w:val="Heading5"/>
        <w:rPr>
          <w:snapToGrid w:val="0"/>
        </w:rPr>
      </w:pPr>
      <w:bookmarkStart w:id="80" w:name="_Toc378262156"/>
      <w:bookmarkStart w:id="81" w:name="_Toc425946756"/>
      <w:r>
        <w:rPr>
          <w:rStyle w:val="CharSectno"/>
        </w:rPr>
        <w:t>39</w:t>
      </w:r>
      <w:r>
        <w:rPr>
          <w:snapToGrid w:val="0"/>
        </w:rPr>
        <w:t>.</w:t>
      </w:r>
      <w:r>
        <w:rPr>
          <w:snapToGrid w:val="0"/>
        </w:rPr>
        <w:tab/>
        <w:t>Measurement of tonnage in other cases</w:t>
      </w:r>
      <w:bookmarkEnd w:id="80"/>
      <w:bookmarkEnd w:id="81"/>
      <w:r>
        <w:rPr>
          <w:snapToGrid w:val="0"/>
        </w:rPr>
        <w:t xml:space="preserve"> </w:t>
      </w:r>
    </w:p>
    <w:p>
      <w:pPr>
        <w:pStyle w:val="Subsection"/>
        <w:rPr>
          <w:snapToGrid w:val="0"/>
        </w:rPr>
      </w:pPr>
      <w:r>
        <w:rPr>
          <w:snapToGrid w:val="0"/>
        </w:rPr>
        <w:tab/>
      </w:r>
      <w:r>
        <w:rPr>
          <w:snapToGrid w:val="0"/>
        </w:rPr>
        <w:tab/>
        <w:t>Where any question arises as to the tonnage of any ship not registered as mentioned in section 38 of this Act, any office, of the Port Authority authorized by it in that behalf, may measure the ship in accordance with the regulations for the measurement of shipping for the time being in force in the State; or the Port Authority may accept, as the measurement of the ship, the measurement of the ship appearing in the latest edition of Lloyds Register that is in the possession of the Port Authority.</w:t>
      </w:r>
    </w:p>
    <w:p>
      <w:pPr>
        <w:pStyle w:val="Heading5"/>
        <w:rPr>
          <w:snapToGrid w:val="0"/>
        </w:rPr>
      </w:pPr>
      <w:bookmarkStart w:id="82" w:name="_Toc378262157"/>
      <w:bookmarkStart w:id="83" w:name="_Toc425946757"/>
      <w:r>
        <w:rPr>
          <w:rStyle w:val="CharSectno"/>
        </w:rPr>
        <w:t>40</w:t>
      </w:r>
      <w:r>
        <w:rPr>
          <w:snapToGrid w:val="0"/>
        </w:rPr>
        <w:t>.</w:t>
      </w:r>
      <w:r>
        <w:rPr>
          <w:snapToGrid w:val="0"/>
        </w:rPr>
        <w:tab/>
        <w:t>In case of difference power to weigh or measure goods</w:t>
      </w:r>
      <w:bookmarkEnd w:id="82"/>
      <w:bookmarkEnd w:id="83"/>
      <w:r>
        <w:rPr>
          <w:snapToGrid w:val="0"/>
        </w:rPr>
        <w:t xml:space="preserve"> </w:t>
      </w:r>
    </w:p>
    <w:p>
      <w:pPr>
        <w:pStyle w:val="Subsection"/>
        <w:rPr>
          <w:snapToGrid w:val="0"/>
        </w:rPr>
      </w:pPr>
      <w:r>
        <w:rPr>
          <w:snapToGrid w:val="0"/>
        </w:rPr>
        <w:tab/>
      </w:r>
      <w:r>
        <w:rPr>
          <w:snapToGrid w:val="0"/>
        </w:rPr>
        <w:tab/>
        <w:t>Where a difference arises between the officer authorized to collect any dues or charges payable under this Act to the Port Authority and the owner of goods respecting the weight or quantity of any goods liable to those dues or charges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bookmarkStart w:id="84" w:name="_Toc378262158"/>
      <w:bookmarkStart w:id="85" w:name="_Toc425946758"/>
      <w:r>
        <w:rPr>
          <w:rStyle w:val="CharPartNo"/>
        </w:rPr>
        <w:t>Part VI</w:t>
      </w:r>
      <w:r>
        <w:rPr>
          <w:rStyle w:val="CharDivNo"/>
        </w:rPr>
        <w:t> </w:t>
      </w:r>
      <w:r>
        <w:t>—</w:t>
      </w:r>
      <w:r>
        <w:rPr>
          <w:rStyle w:val="CharDivText"/>
        </w:rPr>
        <w:t> </w:t>
      </w:r>
      <w:r>
        <w:rPr>
          <w:rStyle w:val="CharPartText"/>
        </w:rPr>
        <w:t>Liability for dues</w:t>
      </w:r>
      <w:bookmarkEnd w:id="84"/>
      <w:bookmarkEnd w:id="85"/>
      <w:r>
        <w:rPr>
          <w:rStyle w:val="CharPartText"/>
        </w:rPr>
        <w:t xml:space="preserve"> </w:t>
      </w:r>
    </w:p>
    <w:p>
      <w:pPr>
        <w:pStyle w:val="Heading5"/>
        <w:rPr>
          <w:snapToGrid w:val="0"/>
        </w:rPr>
      </w:pPr>
      <w:bookmarkStart w:id="86" w:name="_Toc378262159"/>
      <w:bookmarkStart w:id="87" w:name="_Toc425946759"/>
      <w:r>
        <w:rPr>
          <w:rStyle w:val="CharSectno"/>
        </w:rPr>
        <w:t>41</w:t>
      </w:r>
      <w:r>
        <w:rPr>
          <w:snapToGrid w:val="0"/>
        </w:rPr>
        <w:t>.</w:t>
      </w:r>
      <w:r>
        <w:rPr>
          <w:snapToGrid w:val="0"/>
        </w:rPr>
        <w:tab/>
        <w:t>Liability for dues payable by ships</w:t>
      </w:r>
      <w:bookmarkEnd w:id="86"/>
      <w:bookmarkEnd w:id="87"/>
      <w:r>
        <w:rPr>
          <w:snapToGrid w:val="0"/>
        </w:rPr>
        <w:t xml:space="preserve"> </w:t>
      </w:r>
    </w:p>
    <w:p>
      <w:pPr>
        <w:pStyle w:val="Subsection"/>
        <w:rPr>
          <w:snapToGrid w:val="0"/>
        </w:rPr>
      </w:pPr>
      <w:r>
        <w:rPr>
          <w:snapToGrid w:val="0"/>
        </w:rPr>
        <w:tab/>
      </w:r>
      <w:r>
        <w:rPr>
          <w:snapToGrid w:val="0"/>
        </w:rPr>
        <w:tab/>
        <w:t>The owner and master of a ship and any charterer thereof and any agent thereof as has paid, or made himself liable to pay, any other charge on account of the ship, is liable to pay the dues payable under this Act in respect of the ship.</w:t>
      </w:r>
    </w:p>
    <w:p>
      <w:pPr>
        <w:pStyle w:val="Heading5"/>
        <w:rPr>
          <w:snapToGrid w:val="0"/>
        </w:rPr>
      </w:pPr>
      <w:bookmarkStart w:id="88" w:name="_Toc378262160"/>
      <w:bookmarkStart w:id="89" w:name="_Toc425946760"/>
      <w:r>
        <w:rPr>
          <w:rStyle w:val="CharSectno"/>
        </w:rPr>
        <w:t>42</w:t>
      </w:r>
      <w:r>
        <w:rPr>
          <w:snapToGrid w:val="0"/>
        </w:rPr>
        <w:t>.</w:t>
      </w:r>
      <w:r>
        <w:rPr>
          <w:snapToGrid w:val="0"/>
        </w:rPr>
        <w:tab/>
        <w:t>Liability for dues payable for goods</w:t>
      </w:r>
      <w:bookmarkEnd w:id="88"/>
      <w:bookmarkEnd w:id="89"/>
      <w:r>
        <w:rPr>
          <w:snapToGrid w:val="0"/>
        </w:rPr>
        <w:t xml:space="preserve"> </w:t>
      </w:r>
    </w:p>
    <w:p>
      <w:pPr>
        <w:pStyle w:val="Subsection"/>
        <w:rPr>
          <w:snapToGrid w:val="0"/>
        </w:rPr>
      </w:pPr>
      <w:r>
        <w:rPr>
          <w:snapToGrid w:val="0"/>
        </w:rPr>
        <w:tab/>
      </w:r>
      <w:r>
        <w:rPr>
          <w:snapToGrid w:val="0"/>
        </w:rPr>
        <w:tab/>
        <w:t>The following persons are liable to pay the dues payable under this Act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w:t>
      </w:r>
    </w:p>
    <w:p>
      <w:pPr>
        <w:pStyle w:val="Indenta"/>
        <w:rPr>
          <w:snapToGrid w:val="0"/>
        </w:rPr>
      </w:pPr>
      <w:r>
        <w:rPr>
          <w:snapToGrid w:val="0"/>
        </w:rPr>
        <w:tab/>
        <w:t>(c)</w:t>
      </w:r>
      <w:r>
        <w:rPr>
          <w:snapToGrid w:val="0"/>
        </w:rPr>
        <w:tab/>
        <w:t>any person entitled to the possession of the goods, either as owner or agent for the owner; and</w:t>
      </w:r>
    </w:p>
    <w:p>
      <w:pPr>
        <w:pStyle w:val="Indenta"/>
        <w:rPr>
          <w:snapToGrid w:val="0"/>
        </w:rPr>
      </w:pPr>
      <w:r>
        <w:rPr>
          <w:snapToGrid w:val="0"/>
        </w:rPr>
        <w:tab/>
        <w:t>(d)</w:t>
      </w:r>
      <w:r>
        <w:rPr>
          <w:snapToGrid w:val="0"/>
        </w:rPr>
        <w:tab/>
        <w:t>the owner or occupier of the wharf from which such goods are shipped or on to which such goods are discharged.</w:t>
      </w:r>
    </w:p>
    <w:p>
      <w:pPr>
        <w:pStyle w:val="Heading5"/>
        <w:rPr>
          <w:snapToGrid w:val="0"/>
        </w:rPr>
      </w:pPr>
      <w:bookmarkStart w:id="90" w:name="_Toc378262161"/>
      <w:bookmarkStart w:id="91" w:name="_Toc425946761"/>
      <w:r>
        <w:rPr>
          <w:rStyle w:val="CharSectno"/>
        </w:rPr>
        <w:t>43</w:t>
      </w:r>
      <w:r>
        <w:rPr>
          <w:snapToGrid w:val="0"/>
        </w:rPr>
        <w:t>.</w:t>
      </w:r>
      <w:r>
        <w:rPr>
          <w:snapToGrid w:val="0"/>
        </w:rPr>
        <w:tab/>
        <w:t>Power of person other than master or owner of ship to retain certain moneys for payment of dues</w:t>
      </w:r>
      <w:bookmarkEnd w:id="90"/>
      <w:bookmarkEnd w:id="91"/>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92" w:name="_Toc378262162"/>
      <w:bookmarkStart w:id="93" w:name="_Toc425946762"/>
      <w:r>
        <w:rPr>
          <w:rStyle w:val="CharSectno"/>
        </w:rPr>
        <w:t>44</w:t>
      </w:r>
      <w:r>
        <w:rPr>
          <w:snapToGrid w:val="0"/>
        </w:rPr>
        <w:t>.</w:t>
      </w:r>
      <w:r>
        <w:rPr>
          <w:snapToGrid w:val="0"/>
        </w:rPr>
        <w:tab/>
        <w:t>Recovery of dues</w:t>
      </w:r>
      <w:bookmarkEnd w:id="92"/>
      <w:bookmarkEnd w:id="93"/>
      <w:r>
        <w:rPr>
          <w:snapToGrid w:val="0"/>
        </w:rPr>
        <w:t xml:space="preserve"> </w:t>
      </w:r>
    </w:p>
    <w:p>
      <w:pPr>
        <w:pStyle w:val="Subsection"/>
        <w:rPr>
          <w:snapToGrid w:val="0"/>
        </w:rPr>
      </w:pPr>
      <w:r>
        <w:rPr>
          <w:snapToGrid w:val="0"/>
        </w:rPr>
        <w:tab/>
      </w:r>
      <w:r>
        <w:rPr>
          <w:snapToGrid w:val="0"/>
        </w:rPr>
        <w:tab/>
        <w:t>All dues, charges and rates payable to the Port Authority may be recovered by the Port Authority as a debt in a court of competent jurisdiction.</w:t>
      </w:r>
    </w:p>
    <w:p>
      <w:pPr>
        <w:pStyle w:val="Heading5"/>
        <w:rPr>
          <w:snapToGrid w:val="0"/>
        </w:rPr>
      </w:pPr>
      <w:bookmarkStart w:id="94" w:name="_Toc378262163"/>
      <w:bookmarkStart w:id="95" w:name="_Toc425946763"/>
      <w:r>
        <w:rPr>
          <w:rStyle w:val="CharSectno"/>
        </w:rPr>
        <w:t>45</w:t>
      </w:r>
      <w:r>
        <w:rPr>
          <w:snapToGrid w:val="0"/>
        </w:rPr>
        <w:t>.</w:t>
      </w:r>
      <w:r>
        <w:rPr>
          <w:snapToGrid w:val="0"/>
        </w:rPr>
        <w:tab/>
        <w:t>Power of persons authorized to collect dues to distrain</w:t>
      </w:r>
      <w:bookmarkEnd w:id="94"/>
      <w:bookmarkEnd w:id="95"/>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96" w:name="_Toc378262164"/>
      <w:bookmarkStart w:id="97" w:name="_Toc425946764"/>
      <w:r>
        <w:rPr>
          <w:rStyle w:val="CharSectno"/>
        </w:rPr>
        <w:t>46</w:t>
      </w:r>
      <w:r>
        <w:rPr>
          <w:snapToGrid w:val="0"/>
        </w:rPr>
        <w:t>.</w:t>
      </w:r>
      <w:r>
        <w:rPr>
          <w:snapToGrid w:val="0"/>
        </w:rPr>
        <w:tab/>
        <w:t>Settlement of dispute concerning dues of charges occasioned by distress</w:t>
      </w:r>
      <w:bookmarkEnd w:id="96"/>
      <w:bookmarkEnd w:id="97"/>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Port Hedland, or until he is satisfied that sufficient security has been given for the payment of such amount when ascertained, and of the expenses arising from non</w:t>
      </w:r>
      <w:r>
        <w:rPr>
          <w:snapToGrid w:val="0"/>
        </w:rPr>
        <w:noBreakHyphen/>
        <w:t>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98" w:name="_Toc378262165"/>
      <w:bookmarkStart w:id="99" w:name="_Toc425946765"/>
      <w:r>
        <w:rPr>
          <w:rStyle w:val="CharSectno"/>
        </w:rPr>
        <w:t>47</w:t>
      </w:r>
      <w:r>
        <w:rPr>
          <w:snapToGrid w:val="0"/>
        </w:rPr>
        <w:t>.</w:t>
      </w:r>
      <w:r>
        <w:rPr>
          <w:snapToGrid w:val="0"/>
        </w:rPr>
        <w:tab/>
        <w:t>Penalty on evasion</w:t>
      </w:r>
      <w:bookmarkEnd w:id="98"/>
      <w:bookmarkEnd w:id="99"/>
      <w:r>
        <w:rPr>
          <w:snapToGrid w:val="0"/>
        </w:rPr>
        <w:t xml:space="preserve"> </w:t>
      </w:r>
    </w:p>
    <w:p>
      <w:pPr>
        <w:pStyle w:val="Subsection"/>
        <w:rPr>
          <w:snapToGrid w:val="0"/>
        </w:rPr>
      </w:pPr>
      <w:r>
        <w:rPr>
          <w:snapToGrid w:val="0"/>
        </w:rPr>
        <w:tab/>
      </w:r>
      <w:r>
        <w:rPr>
          <w:snapToGrid w:val="0"/>
        </w:rPr>
        <w:tab/>
        <w:t>If any master, owner, charterer, consignor, consignee, shipper or agent evades or attempts to evade the payment of any dues or charges payable under this Act he is guilty of an offence against this Act and he is liable to a fine of two hundred dollars, in addition to the amount of the dues or charges.</w:t>
      </w:r>
    </w:p>
    <w:p>
      <w:pPr>
        <w:pStyle w:val="Heading5"/>
        <w:rPr>
          <w:snapToGrid w:val="0"/>
        </w:rPr>
      </w:pPr>
      <w:bookmarkStart w:id="100" w:name="_Toc378262166"/>
      <w:bookmarkStart w:id="101" w:name="_Toc425946766"/>
      <w:r>
        <w:rPr>
          <w:rStyle w:val="CharSectno"/>
        </w:rPr>
        <w:t>48</w:t>
      </w:r>
      <w:r>
        <w:rPr>
          <w:snapToGrid w:val="0"/>
        </w:rPr>
        <w:t>.</w:t>
      </w:r>
      <w:r>
        <w:rPr>
          <w:snapToGrid w:val="0"/>
        </w:rPr>
        <w:tab/>
        <w:t>Power of Governor to revise port duties</w:t>
      </w:r>
      <w:bookmarkEnd w:id="100"/>
      <w:bookmarkEnd w:id="101"/>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charges,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49 and 50 of this Act, or if for any other reason the Governor thinks fit so to do, the Governor may revise the port dues, wharfage charges and other dues, tolls, fees and charges prescribed by the regulations.</w:t>
      </w:r>
    </w:p>
    <w:p>
      <w:pPr>
        <w:pStyle w:val="Subsection"/>
        <w:rPr>
          <w:snapToGrid w:val="0"/>
        </w:rPr>
      </w:pPr>
      <w:r>
        <w:rPr>
          <w:snapToGrid w:val="0"/>
        </w:rPr>
        <w:tab/>
        <w:t>(2)</w:t>
      </w:r>
      <w:r>
        <w:rPr>
          <w:snapToGrid w:val="0"/>
        </w:rPr>
        <w:tab/>
        <w:t>The Port Authority shall impose and collect such dues, charges, tolls and fees as so revised by the Governor until the Governor otherwise orders.</w:t>
      </w:r>
    </w:p>
    <w:p>
      <w:pPr>
        <w:pStyle w:val="Heading2"/>
      </w:pPr>
      <w:bookmarkStart w:id="102" w:name="_Toc378262167"/>
      <w:bookmarkStart w:id="103" w:name="_Toc425946767"/>
      <w:r>
        <w:rPr>
          <w:rStyle w:val="CharPartNo"/>
        </w:rPr>
        <w:t>Part VII</w:t>
      </w:r>
      <w:r>
        <w:rPr>
          <w:rStyle w:val="CharDivNo"/>
        </w:rPr>
        <w:t> </w:t>
      </w:r>
      <w:r>
        <w:t>—</w:t>
      </w:r>
      <w:r>
        <w:rPr>
          <w:rStyle w:val="CharDivText"/>
        </w:rPr>
        <w:t> </w:t>
      </w:r>
      <w:r>
        <w:rPr>
          <w:rStyle w:val="CharPartText"/>
        </w:rPr>
        <w:t>Finance</w:t>
      </w:r>
      <w:bookmarkEnd w:id="102"/>
      <w:bookmarkEnd w:id="103"/>
      <w:r>
        <w:rPr>
          <w:rStyle w:val="CharPartText"/>
        </w:rPr>
        <w:t xml:space="preserve"> </w:t>
      </w:r>
    </w:p>
    <w:p>
      <w:pPr>
        <w:pStyle w:val="Heading5"/>
        <w:rPr>
          <w:snapToGrid w:val="0"/>
        </w:rPr>
      </w:pPr>
      <w:bookmarkStart w:id="104" w:name="_Toc378262168"/>
      <w:bookmarkStart w:id="105" w:name="_Toc425946768"/>
      <w:r>
        <w:rPr>
          <w:rStyle w:val="CharSectno"/>
        </w:rPr>
        <w:t>49</w:t>
      </w:r>
      <w:r>
        <w:rPr>
          <w:snapToGrid w:val="0"/>
        </w:rPr>
        <w:t>.</w:t>
      </w:r>
      <w:r>
        <w:rPr>
          <w:snapToGrid w:val="0"/>
        </w:rPr>
        <w:tab/>
        <w:t>Determination of value of property vested in Port Authority</w:t>
      </w:r>
      <w:bookmarkEnd w:id="104"/>
      <w:bookmarkEnd w:id="105"/>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106" w:name="_Toc378262169"/>
      <w:bookmarkStart w:id="107" w:name="_Toc425946769"/>
      <w:r>
        <w:rPr>
          <w:rStyle w:val="CharSectno"/>
        </w:rPr>
        <w:t>50</w:t>
      </w:r>
      <w:r>
        <w:rPr>
          <w:snapToGrid w:val="0"/>
        </w:rPr>
        <w:t>.</w:t>
      </w:r>
      <w:r>
        <w:rPr>
          <w:snapToGrid w:val="0"/>
        </w:rPr>
        <w:tab/>
        <w:t>Value of subsequent works</w:t>
      </w:r>
      <w:bookmarkEnd w:id="106"/>
      <w:bookmarkEnd w:id="107"/>
      <w:r>
        <w:rPr>
          <w:snapToGrid w:val="0"/>
        </w:rPr>
        <w:t xml:space="preserve"> </w:t>
      </w:r>
    </w:p>
    <w:p>
      <w:pPr>
        <w:pStyle w:val="Subsection"/>
        <w:rPr>
          <w:snapToGrid w:val="0"/>
        </w:rPr>
      </w:pPr>
      <w:r>
        <w:rPr>
          <w:snapToGrid w:val="0"/>
        </w:rPr>
        <w:tab/>
      </w:r>
      <w:r>
        <w:rPr>
          <w:snapToGrid w:val="0"/>
        </w:rPr>
        <w:tab/>
        <w:t>After the Minister determines the value under section 49 of this Act,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108" w:name="_Toc378262170"/>
      <w:bookmarkStart w:id="109" w:name="_Toc425946770"/>
      <w:r>
        <w:rPr>
          <w:rStyle w:val="CharSectno"/>
        </w:rPr>
        <w:t>50A</w:t>
      </w:r>
      <w:r>
        <w:rPr>
          <w:snapToGrid w:val="0"/>
        </w:rPr>
        <w:t>.</w:t>
      </w:r>
      <w:r>
        <w:rPr>
          <w:snapToGrid w:val="0"/>
        </w:rPr>
        <w:tab/>
        <w:t>Annual financial targets</w:t>
      </w:r>
      <w:bookmarkEnd w:id="108"/>
      <w:bookmarkEnd w:id="109"/>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50A inserted by No. 98 of 1987 s.37.] </w:t>
      </w:r>
    </w:p>
    <w:p>
      <w:pPr>
        <w:pStyle w:val="Heading5"/>
        <w:rPr>
          <w:snapToGrid w:val="0"/>
        </w:rPr>
      </w:pPr>
      <w:bookmarkStart w:id="110" w:name="_Toc378262171"/>
      <w:bookmarkStart w:id="111" w:name="_Toc425946771"/>
      <w:r>
        <w:rPr>
          <w:rStyle w:val="CharSectno"/>
        </w:rPr>
        <w:t>50B</w:t>
      </w:r>
      <w:r>
        <w:rPr>
          <w:snapToGrid w:val="0"/>
        </w:rPr>
        <w:t>.</w:t>
      </w:r>
      <w:r>
        <w:rPr>
          <w:snapToGrid w:val="0"/>
        </w:rPr>
        <w:tab/>
        <w:t>Payment of dividend to the State</w:t>
      </w:r>
      <w:bookmarkEnd w:id="110"/>
      <w:bookmarkEnd w:id="111"/>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 xml:space="preserve">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50A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50B inserted by No. 98 of 1987 s.37; amended by No. 6 of 1993 s.11.] </w:t>
      </w:r>
    </w:p>
    <w:p>
      <w:pPr>
        <w:pStyle w:val="Heading5"/>
        <w:rPr>
          <w:snapToGrid w:val="0"/>
        </w:rPr>
      </w:pPr>
      <w:bookmarkStart w:id="112" w:name="_Toc378262172"/>
      <w:bookmarkStart w:id="113" w:name="_Toc425946772"/>
      <w:r>
        <w:rPr>
          <w:rStyle w:val="CharSectno"/>
        </w:rPr>
        <w:t>50C</w:t>
      </w:r>
      <w:r>
        <w:rPr>
          <w:snapToGrid w:val="0"/>
        </w:rPr>
        <w:t>.</w:t>
      </w:r>
      <w:r>
        <w:rPr>
          <w:snapToGrid w:val="0"/>
        </w:rPr>
        <w:tab/>
        <w:t>Information to be provided to Minister</w:t>
      </w:r>
      <w:bookmarkEnd w:id="112"/>
      <w:bookmarkEnd w:id="113"/>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50A or 50B.</w:t>
      </w:r>
    </w:p>
    <w:p>
      <w:pPr>
        <w:pStyle w:val="Footnotesection"/>
      </w:pPr>
      <w:r>
        <w:tab/>
        <w:t xml:space="preserve">[Section 50C inserted by No. 98 of 1987 s.37.] </w:t>
      </w:r>
    </w:p>
    <w:p>
      <w:pPr>
        <w:pStyle w:val="Heading5"/>
        <w:rPr>
          <w:snapToGrid w:val="0"/>
        </w:rPr>
      </w:pPr>
      <w:bookmarkStart w:id="114" w:name="_Toc378262173"/>
      <w:bookmarkStart w:id="115" w:name="_Toc425946773"/>
      <w:r>
        <w:rPr>
          <w:rStyle w:val="CharSectno"/>
        </w:rPr>
        <w:t>51</w:t>
      </w:r>
      <w:r>
        <w:rPr>
          <w:snapToGrid w:val="0"/>
        </w:rPr>
        <w:t>.</w:t>
      </w:r>
      <w:r>
        <w:rPr>
          <w:snapToGrid w:val="0"/>
        </w:rPr>
        <w:tab/>
        <w:t>Funds of the Port Authority</w:t>
      </w:r>
      <w:bookmarkEnd w:id="114"/>
      <w:bookmarkEnd w:id="11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“Port Hedland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51 inserted by No. 46 of 1993 s.37; amended by No. 57 of 1997 s.97.] </w:t>
      </w:r>
    </w:p>
    <w:p>
      <w:pPr>
        <w:pStyle w:val="Heading5"/>
        <w:rPr>
          <w:snapToGrid w:val="0"/>
        </w:rPr>
      </w:pPr>
      <w:bookmarkStart w:id="116" w:name="_Toc378262174"/>
      <w:bookmarkStart w:id="117" w:name="_Toc425946774"/>
      <w:r>
        <w:rPr>
          <w:rStyle w:val="CharSectno"/>
        </w:rPr>
        <w:t>52</w:t>
      </w:r>
      <w:r>
        <w:rPr>
          <w:snapToGrid w:val="0"/>
        </w:rPr>
        <w:t>.</w:t>
      </w:r>
      <w:r>
        <w:rPr>
          <w:snapToGrid w:val="0"/>
        </w:rPr>
        <w:tab/>
        <w:t>Power of Port Authority to borrow money from Treasurer</w:t>
      </w:r>
      <w:bookmarkEnd w:id="116"/>
      <w:bookmarkEnd w:id="117"/>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53 and 54 of this Act may borrow from the Treasurer, to enable the Port Authority to defray expenditure incurred by it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determines.</w:t>
      </w:r>
    </w:p>
    <w:p>
      <w:pPr>
        <w:pStyle w:val="Subsection"/>
        <w:rPr>
          <w:snapToGrid w:val="0"/>
        </w:rPr>
      </w:pPr>
      <w:r>
        <w:rPr>
          <w:snapToGrid w:val="0"/>
        </w:rPr>
        <w:tab/>
        <w:t>(3)</w:t>
      </w:r>
      <w:r>
        <w:rPr>
          <w:snapToGrid w:val="0"/>
        </w:rPr>
        <w:tab/>
        <w:t>The moneys so borrowed and the interest payable in respect thereof is a charge upon the moneys standing to the credit of the Account from time to time, and upon any works, undertakings and other assets vested in the Port Authority.</w:t>
      </w:r>
    </w:p>
    <w:p>
      <w:pPr>
        <w:pStyle w:val="Footnotesection"/>
      </w:pPr>
      <w:r>
        <w:tab/>
        <w:t xml:space="preserve">[Section 52 amended by No. 98 of 1985 Schedule 1; No. 49 of 1996 s.64.] </w:t>
      </w:r>
    </w:p>
    <w:p>
      <w:pPr>
        <w:pStyle w:val="Heading5"/>
        <w:rPr>
          <w:snapToGrid w:val="0"/>
        </w:rPr>
      </w:pPr>
      <w:bookmarkStart w:id="118" w:name="_Toc378262175"/>
      <w:bookmarkStart w:id="119" w:name="_Toc425946775"/>
      <w:r>
        <w:rPr>
          <w:rStyle w:val="CharSectno"/>
        </w:rPr>
        <w:t>53</w:t>
      </w:r>
      <w:r>
        <w:rPr>
          <w:snapToGrid w:val="0"/>
        </w:rPr>
        <w:t>.</w:t>
      </w:r>
      <w:r>
        <w:rPr>
          <w:snapToGrid w:val="0"/>
        </w:rPr>
        <w:tab/>
        <w:t>Power of Port Authority to borrow money on issue of debentures or inscribed stock</w:t>
      </w:r>
      <w:bookmarkEnd w:id="118"/>
      <w:bookmarkEnd w:id="119"/>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Port Hedland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120" w:name="_Toc378262176"/>
      <w:bookmarkStart w:id="121" w:name="_Toc425946776"/>
      <w:r>
        <w:rPr>
          <w:rStyle w:val="CharSectno"/>
        </w:rPr>
        <w:t>54</w:t>
      </w:r>
      <w:r>
        <w:rPr>
          <w:snapToGrid w:val="0"/>
        </w:rPr>
        <w:t>.</w:t>
      </w:r>
      <w:r>
        <w:rPr>
          <w:snapToGrid w:val="0"/>
        </w:rPr>
        <w:tab/>
        <w:t>Power of Port Authority to borrow to repay loan</w:t>
      </w:r>
      <w:bookmarkEnd w:id="120"/>
      <w:bookmarkEnd w:id="12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53 of this Act, borrow the moneys necessary for that purpose before the loan or part of it becomes payable.</w:t>
      </w:r>
    </w:p>
    <w:p>
      <w:pPr>
        <w:pStyle w:val="Heading5"/>
        <w:rPr>
          <w:snapToGrid w:val="0"/>
        </w:rPr>
      </w:pPr>
      <w:bookmarkStart w:id="122" w:name="_Toc378262177"/>
      <w:bookmarkStart w:id="123" w:name="_Toc425946777"/>
      <w:r>
        <w:rPr>
          <w:rStyle w:val="CharSectno"/>
        </w:rPr>
        <w:t>55</w:t>
      </w:r>
      <w:r>
        <w:rPr>
          <w:snapToGrid w:val="0"/>
        </w:rPr>
        <w:t>.</w:t>
      </w:r>
      <w:r>
        <w:rPr>
          <w:snapToGrid w:val="0"/>
        </w:rPr>
        <w:tab/>
        <w:t>Moneys borrowed charged on revenues of Port Authority and guaranteed by the State</w:t>
      </w:r>
      <w:bookmarkEnd w:id="122"/>
      <w:bookmarkEnd w:id="123"/>
      <w:r>
        <w:rPr>
          <w:snapToGrid w:val="0"/>
        </w:rPr>
        <w:t xml:space="preserve"> </w:t>
      </w:r>
    </w:p>
    <w:p>
      <w:pPr>
        <w:pStyle w:val="Subsection"/>
        <w:rPr>
          <w:snapToGrid w:val="0"/>
        </w:rPr>
      </w:pPr>
      <w:r>
        <w:rPr>
          <w:snapToGrid w:val="0"/>
        </w:rPr>
        <w:tab/>
        <w:t>(1)</w:t>
      </w:r>
      <w:r>
        <w:rPr>
          <w:snapToGrid w:val="0"/>
        </w:rPr>
        <w:tab/>
        <w:t>Due payment of debentures and inscribed stock respectively issued operated under the provisions of section 53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of this section </w:t>
      </w:r>
      <w:r>
        <w:rPr>
          <w:b/>
          <w:snapToGrid w:val="0"/>
        </w:rPr>
        <w:t>“revenues of the Port Authority”</w:t>
      </w:r>
      <w:r>
        <w:rPr>
          <w:snapToGrid w:val="0"/>
        </w:rPr>
        <w:t xml:space="preserve">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53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55 amended by no. 98 of 1985 Schedule 1; No. 6 of 1993 s.11; No. 49 of 1996 s.64.] </w:t>
      </w:r>
    </w:p>
    <w:p>
      <w:pPr>
        <w:pStyle w:val="Heading5"/>
        <w:rPr>
          <w:snapToGrid w:val="0"/>
        </w:rPr>
      </w:pPr>
      <w:bookmarkStart w:id="124" w:name="_Toc378262178"/>
      <w:bookmarkStart w:id="125" w:name="_Toc425946778"/>
      <w:r>
        <w:rPr>
          <w:rStyle w:val="CharSectno"/>
        </w:rPr>
        <w:t>56</w:t>
      </w:r>
      <w:r>
        <w:rPr>
          <w:snapToGrid w:val="0"/>
        </w:rPr>
        <w:t>.</w:t>
      </w:r>
      <w:r>
        <w:rPr>
          <w:snapToGrid w:val="0"/>
        </w:rPr>
        <w:tab/>
        <w:t>Provisions of second schedule to apply to debentures and inscribed stock</w:t>
      </w:r>
      <w:bookmarkEnd w:id="124"/>
      <w:bookmarkEnd w:id="125"/>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53 of this Act.</w:t>
      </w:r>
    </w:p>
    <w:p>
      <w:pPr>
        <w:pStyle w:val="Subsection"/>
        <w:rPr>
          <w:snapToGrid w:val="0"/>
        </w:rPr>
      </w:pPr>
      <w:r>
        <w:rPr>
          <w:snapToGrid w:val="0"/>
        </w:rPr>
        <w:tab/>
        <w:t>(2)</w:t>
      </w:r>
      <w:r>
        <w:rPr>
          <w:snapToGrid w:val="0"/>
        </w:rPr>
        <w:tab/>
        <w:t>The provisions of Part II of that Schedule apply with respect to debentures issued under the provisions of section 53 of this Act.</w:t>
      </w:r>
    </w:p>
    <w:p>
      <w:pPr>
        <w:pStyle w:val="Subsection"/>
        <w:rPr>
          <w:snapToGrid w:val="0"/>
        </w:rPr>
      </w:pPr>
      <w:r>
        <w:rPr>
          <w:snapToGrid w:val="0"/>
        </w:rPr>
        <w:tab/>
        <w:t>(3)</w:t>
      </w:r>
      <w:r>
        <w:rPr>
          <w:snapToGrid w:val="0"/>
        </w:rPr>
        <w:tab/>
        <w:t>The provisions of Part III of that Schedule apply with respect to inscribed stock issued in Perth in the State under the provisions of section 53 of this Act.</w:t>
      </w:r>
    </w:p>
    <w:p>
      <w:pPr>
        <w:pStyle w:val="Heading5"/>
        <w:rPr>
          <w:snapToGrid w:val="0"/>
        </w:rPr>
      </w:pPr>
      <w:bookmarkStart w:id="126" w:name="_Toc378262179"/>
      <w:bookmarkStart w:id="127" w:name="_Toc425946779"/>
      <w:r>
        <w:rPr>
          <w:rStyle w:val="CharSectno"/>
        </w:rPr>
        <w:t>57</w:t>
      </w:r>
      <w:r>
        <w:rPr>
          <w:snapToGrid w:val="0"/>
        </w:rPr>
        <w:t>.</w:t>
      </w:r>
      <w:r>
        <w:rPr>
          <w:snapToGrid w:val="0"/>
        </w:rPr>
        <w:tab/>
        <w:t>Debentures and inscribed stock authorized trustee investments</w:t>
      </w:r>
      <w:bookmarkEnd w:id="126"/>
      <w:bookmarkEnd w:id="127"/>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53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57 amended by No. 1 of 1997 s.18; No. 26 of 1999 s.97.] </w:t>
      </w:r>
    </w:p>
    <w:p>
      <w:pPr>
        <w:pStyle w:val="Heading5"/>
        <w:rPr>
          <w:snapToGrid w:val="0"/>
        </w:rPr>
      </w:pPr>
      <w:bookmarkStart w:id="128" w:name="_Toc378262180"/>
      <w:bookmarkStart w:id="129" w:name="_Toc425946780"/>
      <w:r>
        <w:rPr>
          <w:rStyle w:val="CharSectno"/>
        </w:rPr>
        <w:t>57B</w:t>
      </w:r>
      <w:r>
        <w:rPr>
          <w:snapToGrid w:val="0"/>
        </w:rPr>
        <w:t>.</w:t>
      </w:r>
      <w:r>
        <w:rPr>
          <w:snapToGrid w:val="0"/>
        </w:rPr>
        <w:tab/>
        <w:t>Validation</w:t>
      </w:r>
      <w:bookmarkEnd w:id="128"/>
      <w:bookmarkEnd w:id="129"/>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57B inserted by No. 78 of 1979 s.23.] </w:t>
      </w:r>
    </w:p>
    <w:p>
      <w:pPr>
        <w:pStyle w:val="Heading5"/>
        <w:rPr>
          <w:snapToGrid w:val="0"/>
        </w:rPr>
      </w:pPr>
      <w:bookmarkStart w:id="130" w:name="_Toc378262181"/>
      <w:bookmarkStart w:id="131" w:name="_Toc425946781"/>
      <w:r>
        <w:rPr>
          <w:rStyle w:val="CharSectno"/>
        </w:rPr>
        <w:t>58</w:t>
      </w:r>
      <w:r>
        <w:rPr>
          <w:snapToGrid w:val="0"/>
        </w:rPr>
        <w:t>.</w:t>
      </w:r>
      <w:r>
        <w:rPr>
          <w:snapToGrid w:val="0"/>
        </w:rPr>
        <w:tab/>
        <w:t>Contribution of interest and sinking fund</w:t>
      </w:r>
      <w:bookmarkEnd w:id="130"/>
      <w:bookmarkEnd w:id="131"/>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 amended by No. 98 of 1985 Schedule 1; No. 6 of 1993 s.15.] </w:t>
      </w:r>
    </w:p>
    <w:p>
      <w:pPr>
        <w:pStyle w:val="Heading5"/>
        <w:rPr>
          <w:snapToGrid w:val="0"/>
        </w:rPr>
      </w:pPr>
      <w:bookmarkStart w:id="132" w:name="_Toc378262182"/>
      <w:bookmarkStart w:id="133" w:name="_Toc425946782"/>
      <w:r>
        <w:rPr>
          <w:rStyle w:val="CharSectno"/>
        </w:rPr>
        <w:t>59</w:t>
      </w:r>
      <w:r>
        <w:rPr>
          <w:snapToGrid w:val="0"/>
        </w:rPr>
        <w:t>.</w:t>
      </w:r>
      <w:r>
        <w:rPr>
          <w:snapToGrid w:val="0"/>
        </w:rPr>
        <w:tab/>
        <w:t>Interest on daily balance</w:t>
      </w:r>
      <w:bookmarkEnd w:id="132"/>
      <w:bookmarkEnd w:id="133"/>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w:t>
      </w:r>
      <w:r>
        <w:rPr>
          <w:snapToGrid w:val="0"/>
        </w:rPr>
        <w:noBreakHyphen/>
        <w:t>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59 amended by No. 98 of 1985 Schedule 1; No. 6 of 1993 s.11; No. 49 of 1996 s.64.] </w:t>
      </w:r>
    </w:p>
    <w:p>
      <w:pPr>
        <w:pStyle w:val="Heading5"/>
        <w:rPr>
          <w:snapToGrid w:val="0"/>
        </w:rPr>
      </w:pPr>
      <w:bookmarkStart w:id="134" w:name="_Toc378262183"/>
      <w:bookmarkStart w:id="135" w:name="_Toc425946783"/>
      <w:r>
        <w:rPr>
          <w:rStyle w:val="CharSectno"/>
        </w:rPr>
        <w:t>60</w:t>
      </w:r>
      <w:r>
        <w:rPr>
          <w:snapToGrid w:val="0"/>
        </w:rPr>
        <w:t>.</w:t>
      </w:r>
      <w:r>
        <w:rPr>
          <w:snapToGrid w:val="0"/>
        </w:rPr>
        <w:tab/>
        <w:t>Financial self sufficiency</w:t>
      </w:r>
      <w:bookmarkEnd w:id="134"/>
      <w:bookmarkEnd w:id="13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50B,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 xml:space="preserve">repealed] </w:t>
      </w:r>
    </w:p>
    <w:p>
      <w:pPr>
        <w:pStyle w:val="Footnotesection"/>
      </w:pPr>
      <w:r>
        <w:tab/>
        <w:t xml:space="preserve">[Section 60 inserted by No. 98 of 1985 s.38; amended by No. 46 of 1993 s.46.] </w:t>
      </w:r>
    </w:p>
    <w:p>
      <w:pPr>
        <w:pStyle w:val="Heading5"/>
        <w:rPr>
          <w:snapToGrid w:val="0"/>
        </w:rPr>
      </w:pPr>
      <w:bookmarkStart w:id="136" w:name="_Toc378262184"/>
      <w:bookmarkStart w:id="137" w:name="_Toc425946784"/>
      <w:r>
        <w:rPr>
          <w:rStyle w:val="CharSectno"/>
        </w:rPr>
        <w:t>61</w:t>
      </w:r>
      <w:r>
        <w:rPr>
          <w:snapToGrid w:val="0"/>
        </w:rPr>
        <w:t>.</w:t>
      </w:r>
      <w:r>
        <w:rPr>
          <w:snapToGrid w:val="0"/>
        </w:rPr>
        <w:tab/>
        <w:t xml:space="preserve">Application of </w:t>
      </w:r>
      <w:r>
        <w:rPr>
          <w:i/>
          <w:snapToGrid w:val="0"/>
        </w:rPr>
        <w:t>Financial Administration and Audit Act 1985</w:t>
      </w:r>
      <w:bookmarkEnd w:id="136"/>
      <w:bookmarkEnd w:id="13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61 inserted by No. 98 of 1985 Schedule 1.] </w:t>
      </w:r>
    </w:p>
    <w:p>
      <w:pPr>
        <w:pStyle w:val="Ednotesection"/>
      </w:pPr>
      <w:r>
        <w:t>[</w:t>
      </w:r>
      <w:r>
        <w:rPr>
          <w:b/>
        </w:rPr>
        <w:t>62, 63, 64</w:t>
      </w:r>
      <w:r>
        <w:t xml:space="preserve"> and </w:t>
      </w:r>
      <w:r>
        <w:rPr>
          <w:b/>
        </w:rPr>
        <w:t>65</w:t>
      </w:r>
      <w:r>
        <w:t xml:space="preserve">  repealed by No. 98 of 1985 Schedule 1.]</w:t>
      </w:r>
    </w:p>
    <w:p>
      <w:pPr>
        <w:pStyle w:val="Heading2"/>
      </w:pPr>
      <w:bookmarkStart w:id="138" w:name="_Toc378262185"/>
      <w:bookmarkStart w:id="139" w:name="_Toc425946785"/>
      <w:r>
        <w:rPr>
          <w:rStyle w:val="CharPartNo"/>
        </w:rPr>
        <w:t>Part VIII</w:t>
      </w:r>
      <w:r>
        <w:rPr>
          <w:rStyle w:val="CharDivNo"/>
        </w:rPr>
        <w:t> </w:t>
      </w:r>
      <w:r>
        <w:t>—</w:t>
      </w:r>
      <w:r>
        <w:rPr>
          <w:rStyle w:val="CharDivText"/>
        </w:rPr>
        <w:t> </w:t>
      </w:r>
      <w:r>
        <w:rPr>
          <w:rStyle w:val="CharPartText"/>
        </w:rPr>
        <w:t>Miscellaneous</w:t>
      </w:r>
      <w:bookmarkEnd w:id="138"/>
      <w:bookmarkEnd w:id="139"/>
      <w:r>
        <w:rPr>
          <w:rStyle w:val="CharPartText"/>
        </w:rPr>
        <w:t xml:space="preserve"> </w:t>
      </w:r>
    </w:p>
    <w:p>
      <w:pPr>
        <w:pStyle w:val="Ednotesection"/>
      </w:pPr>
      <w:r>
        <w:t>[</w:t>
      </w:r>
      <w:r>
        <w:rPr>
          <w:b/>
        </w:rPr>
        <w:t>66., 67., 68.</w:t>
      </w:r>
      <w:r>
        <w:t xml:space="preserve"> and </w:t>
      </w:r>
      <w:r>
        <w:rPr>
          <w:b/>
        </w:rPr>
        <w:t>69</w:t>
      </w:r>
      <w:r>
        <w:t xml:space="preserve">  Repealed by No. 46 of 1993 s.46.]</w:t>
      </w:r>
    </w:p>
    <w:p>
      <w:pPr>
        <w:pStyle w:val="Heading5"/>
        <w:rPr>
          <w:snapToGrid w:val="0"/>
        </w:rPr>
      </w:pPr>
      <w:bookmarkStart w:id="140" w:name="_Toc378262186"/>
      <w:bookmarkStart w:id="141" w:name="_Toc425946786"/>
      <w:r>
        <w:rPr>
          <w:rStyle w:val="CharSectno"/>
        </w:rPr>
        <w:t>70</w:t>
      </w:r>
      <w:r>
        <w:rPr>
          <w:snapToGrid w:val="0"/>
        </w:rPr>
        <w:t>.</w:t>
      </w:r>
      <w:r>
        <w:rPr>
          <w:snapToGrid w:val="0"/>
        </w:rPr>
        <w:tab/>
        <w:t>Offences of depositing ballast or rubbish</w:t>
      </w:r>
      <w:bookmarkEnd w:id="140"/>
      <w:bookmarkEnd w:id="141"/>
      <w:r>
        <w:rPr>
          <w:snapToGrid w:val="0"/>
        </w:rPr>
        <w:t xml:space="preserve"> </w:t>
      </w:r>
    </w:p>
    <w:p>
      <w:pPr>
        <w:pStyle w:val="Subsection"/>
        <w:rPr>
          <w:snapToGrid w:val="0"/>
        </w:rPr>
      </w:pPr>
      <w:r>
        <w:rPr>
          <w:snapToGrid w:val="0"/>
        </w:rPr>
        <w:tab/>
        <w:t>(1)</w:t>
      </w:r>
      <w:r>
        <w:rPr>
          <w:snapToGrid w:val="0"/>
        </w:rPr>
        <w:tab/>
        <w:t>A person who commits any of the following offences,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w:t>
      </w:r>
      <w:r>
        <w:rPr>
          <w:snapToGrid w:val="0"/>
        </w:rPr>
        <w:noBreakHyphen/>
        <w:t>mark; or</w:t>
      </w:r>
    </w:p>
    <w:p>
      <w:pPr>
        <w:pStyle w:val="Indenta"/>
        <w:rPr>
          <w:snapToGrid w:val="0"/>
        </w:rPr>
      </w:pPr>
      <w:r>
        <w:rPr>
          <w:snapToGrid w:val="0"/>
        </w:rPr>
        <w:tab/>
        <w:t>(b)</w:t>
      </w:r>
      <w:r>
        <w:rPr>
          <w:snapToGrid w:val="0"/>
        </w:rPr>
        <w:tab/>
        <w:t>casts, or causes to be cast, or suffers to fall, any such substance or thing on land, in a position where it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(c)</w:t>
      </w:r>
      <w:r>
        <w:rPr>
          <w:snapToGrid w:val="0"/>
        </w:rPr>
        <w:tab/>
        <w:t>casts, or places or leaves, or causes to be cast, placed, or left, any vessel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is guilty of an offence against this Act.</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may be liable for committing an offence under subsection (1) of this section, he is also liable to pay to the Port Authority the expenses incurred by it in removing any substance or thing mentioned in that subsection to a proper position.</w:t>
      </w:r>
    </w:p>
    <w:p>
      <w:pPr>
        <w:pStyle w:val="Heading5"/>
        <w:rPr>
          <w:snapToGrid w:val="0"/>
        </w:rPr>
      </w:pPr>
      <w:bookmarkStart w:id="142" w:name="_Toc378262187"/>
      <w:bookmarkStart w:id="143" w:name="_Toc425946787"/>
      <w:r>
        <w:rPr>
          <w:rStyle w:val="CharSectno"/>
        </w:rPr>
        <w:t>71</w:t>
      </w:r>
      <w:r>
        <w:rPr>
          <w:snapToGrid w:val="0"/>
        </w:rPr>
        <w:t>.</w:t>
      </w:r>
      <w:r>
        <w:rPr>
          <w:snapToGrid w:val="0"/>
        </w:rPr>
        <w:tab/>
        <w:t>Offence of damaging lights, buoys, beacons, etc</w:t>
      </w:r>
      <w:bookmarkEnd w:id="142"/>
      <w:bookmarkEnd w:id="143"/>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injures any harbour light, or the lights exhibited therein, or any buoy or beacon;</w:t>
      </w:r>
    </w:p>
    <w:p>
      <w:pPr>
        <w:pStyle w:val="Indenta"/>
        <w:rPr>
          <w:snapToGrid w:val="0"/>
        </w:rPr>
      </w:pPr>
      <w:r>
        <w:rPr>
          <w:snapToGrid w:val="0"/>
        </w:rPr>
        <w:tab/>
        <w:t>(b)</w:t>
      </w:r>
      <w:r>
        <w:rPr>
          <w:snapToGrid w:val="0"/>
        </w:rPr>
        <w:tab/>
        <w:t>removes, alters, or destroys any harbour light, light</w:t>
      </w:r>
      <w:r>
        <w:rPr>
          <w:snapToGrid w:val="0"/>
        </w:rPr>
        <w:noBreakHyphen/>
        <w:t>ship, buoy, or beacon;</w:t>
      </w:r>
    </w:p>
    <w:p>
      <w:pPr>
        <w:pStyle w:val="Indenta"/>
        <w:rPr>
          <w:snapToGrid w:val="0"/>
        </w:rPr>
      </w:pPr>
      <w:r>
        <w:rPr>
          <w:snapToGrid w:val="0"/>
        </w:rPr>
        <w:tab/>
        <w:t>(c)</w:t>
      </w:r>
      <w:r>
        <w:rPr>
          <w:snapToGrid w:val="0"/>
        </w:rPr>
        <w:tab/>
        <w:t>rides by, makes fast to, or runs foul of any harbour light, light</w:t>
      </w:r>
      <w:r>
        <w:rPr>
          <w:snapToGrid w:val="0"/>
        </w:rPr>
        <w:noBreakHyphen/>
        <w:t>ship, buoy, or beacon; or</w:t>
      </w:r>
    </w:p>
    <w:p>
      <w:pPr>
        <w:pStyle w:val="Indenta"/>
        <w:rPr>
          <w:snapToGrid w:val="0"/>
        </w:rPr>
      </w:pPr>
      <w:r>
        <w:rPr>
          <w:snapToGrid w:val="0"/>
        </w:rPr>
        <w:tab/>
        <w:t>(d)</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pPr>
      <w:r>
        <w:t>[</w:t>
      </w:r>
      <w:r>
        <w:rPr>
          <w:b/>
        </w:rPr>
        <w:t>72.</w:t>
      </w:r>
      <w:r>
        <w:tab/>
      </w:r>
      <w:r>
        <w:tab/>
        <w:t xml:space="preserve">Repealed by No. 46 of 1993 s.46.] </w:t>
      </w:r>
    </w:p>
    <w:p>
      <w:pPr>
        <w:pStyle w:val="Heading5"/>
        <w:rPr>
          <w:snapToGrid w:val="0"/>
        </w:rPr>
      </w:pPr>
      <w:bookmarkStart w:id="144" w:name="_Toc378262188"/>
      <w:bookmarkStart w:id="145" w:name="_Toc425946788"/>
      <w:r>
        <w:rPr>
          <w:rStyle w:val="CharSectno"/>
        </w:rPr>
        <w:t>73</w:t>
      </w:r>
      <w:r>
        <w:rPr>
          <w:snapToGrid w:val="0"/>
        </w:rPr>
        <w:t>.</w:t>
      </w:r>
      <w:r>
        <w:rPr>
          <w:snapToGrid w:val="0"/>
        </w:rPr>
        <w:tab/>
        <w:t>Penalty for wilful damage to lights</w:t>
      </w:r>
      <w:bookmarkEnd w:id="144"/>
      <w:bookmarkEnd w:id="145"/>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146" w:name="_Toc378262189"/>
      <w:bookmarkStart w:id="147" w:name="_Toc425946789"/>
      <w:r>
        <w:rPr>
          <w:rStyle w:val="CharSectno"/>
        </w:rPr>
        <w:t>74</w:t>
      </w:r>
      <w:r>
        <w:rPr>
          <w:snapToGrid w:val="0"/>
        </w:rPr>
        <w:t>.</w:t>
      </w:r>
      <w:r>
        <w:rPr>
          <w:snapToGrid w:val="0"/>
        </w:rPr>
        <w:tab/>
        <w:t>Other offences</w:t>
      </w:r>
      <w:bookmarkEnd w:id="146"/>
      <w:bookmarkEnd w:id="147"/>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or</w:t>
      </w:r>
    </w:p>
    <w:p>
      <w:pPr>
        <w:pStyle w:val="Indenta"/>
        <w:rPr>
          <w:snapToGrid w:val="0"/>
        </w:rPr>
      </w:pPr>
      <w:r>
        <w:rPr>
          <w:snapToGrid w:val="0"/>
        </w:rPr>
        <w:tab/>
        <w:t>(d)</w:t>
      </w:r>
      <w:r>
        <w:rPr>
          <w:snapToGrid w:val="0"/>
        </w:rPr>
        <w:tab/>
        <w:t>in any other respect offends against the provisions of this Act or a regulation.</w:t>
      </w:r>
    </w:p>
    <w:p>
      <w:pPr>
        <w:pStyle w:val="Heading5"/>
        <w:rPr>
          <w:snapToGrid w:val="0"/>
        </w:rPr>
      </w:pPr>
      <w:bookmarkStart w:id="148" w:name="_Toc378262190"/>
      <w:bookmarkStart w:id="149" w:name="_Toc425946790"/>
      <w:r>
        <w:rPr>
          <w:rStyle w:val="CharSectno"/>
        </w:rPr>
        <w:t>75</w:t>
      </w:r>
      <w:r>
        <w:rPr>
          <w:snapToGrid w:val="0"/>
        </w:rPr>
        <w:t>.</w:t>
      </w:r>
      <w:r>
        <w:rPr>
          <w:snapToGrid w:val="0"/>
        </w:rPr>
        <w:tab/>
        <w:t>Offence of offering bribes to officers</w:t>
      </w:r>
      <w:bookmarkEnd w:id="148"/>
      <w:bookmarkEnd w:id="149"/>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150" w:name="_Toc378262191"/>
      <w:bookmarkStart w:id="151" w:name="_Toc425946791"/>
      <w:r>
        <w:rPr>
          <w:rStyle w:val="CharSectno"/>
        </w:rPr>
        <w:t>76</w:t>
      </w:r>
      <w:r>
        <w:rPr>
          <w:snapToGrid w:val="0"/>
        </w:rPr>
        <w:t>.</w:t>
      </w:r>
      <w:r>
        <w:rPr>
          <w:snapToGrid w:val="0"/>
        </w:rPr>
        <w:tab/>
        <w:t>General penalty</w:t>
      </w:r>
      <w:bookmarkEnd w:id="150"/>
      <w:bookmarkEnd w:id="151"/>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152" w:name="_Toc378262192"/>
      <w:bookmarkStart w:id="153" w:name="_Toc425946792"/>
      <w:r>
        <w:rPr>
          <w:rStyle w:val="CharSectno"/>
        </w:rPr>
        <w:t>77</w:t>
      </w:r>
      <w:r>
        <w:rPr>
          <w:snapToGrid w:val="0"/>
        </w:rPr>
        <w:t>.</w:t>
      </w:r>
      <w:r>
        <w:rPr>
          <w:snapToGrid w:val="0"/>
        </w:rPr>
        <w:tab/>
        <w:t>Averment as to Port</w:t>
      </w:r>
      <w:bookmarkEnd w:id="152"/>
      <w:bookmarkEnd w:id="153"/>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within the limits of the Port or the Pilotage Area is sufficient without proof of those limits, unless the contrary is proved.</w:t>
      </w:r>
    </w:p>
    <w:p>
      <w:pPr>
        <w:pStyle w:val="Footnotesection"/>
      </w:pPr>
      <w:r>
        <w:tab/>
        <w:t xml:space="preserve">[Section 77 amended by No. 36 of 1986 s.8.] </w:t>
      </w:r>
    </w:p>
    <w:p>
      <w:pPr>
        <w:pStyle w:val="Heading5"/>
        <w:rPr>
          <w:snapToGrid w:val="0"/>
        </w:rPr>
      </w:pPr>
      <w:bookmarkStart w:id="154" w:name="_Toc378262193"/>
      <w:bookmarkStart w:id="155" w:name="_Toc425946793"/>
      <w:r>
        <w:rPr>
          <w:rStyle w:val="CharSectno"/>
        </w:rPr>
        <w:t>78</w:t>
      </w:r>
      <w:r>
        <w:rPr>
          <w:snapToGrid w:val="0"/>
        </w:rPr>
        <w:t>.</w:t>
      </w:r>
      <w:r>
        <w:rPr>
          <w:snapToGrid w:val="0"/>
        </w:rPr>
        <w:tab/>
        <w:t>Application of penalties</w:t>
      </w:r>
      <w:bookmarkEnd w:id="154"/>
      <w:bookmarkEnd w:id="155"/>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or a regulation shall be paid to the Port Authority and are hereby appropriated for the purposes of this Act.</w:t>
      </w:r>
    </w:p>
    <w:p>
      <w:pPr>
        <w:pStyle w:val="Heading5"/>
        <w:rPr>
          <w:snapToGrid w:val="0"/>
        </w:rPr>
      </w:pPr>
      <w:bookmarkStart w:id="156" w:name="_Toc378262194"/>
      <w:bookmarkStart w:id="157" w:name="_Toc425946794"/>
      <w:r>
        <w:rPr>
          <w:rStyle w:val="CharSectno"/>
        </w:rPr>
        <w:t>79</w:t>
      </w:r>
      <w:r>
        <w:rPr>
          <w:snapToGrid w:val="0"/>
        </w:rPr>
        <w:t>.</w:t>
      </w:r>
      <w:r>
        <w:rPr>
          <w:snapToGrid w:val="0"/>
        </w:rPr>
        <w:tab/>
        <w:t>Police officer to report breaches of the Act</w:t>
      </w:r>
      <w:bookmarkEnd w:id="156"/>
      <w:bookmarkEnd w:id="157"/>
      <w:r>
        <w:rPr>
          <w:snapToGrid w:val="0"/>
        </w:rPr>
        <w:t xml:space="preserve">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Secretary to the Port Authority.</w:t>
      </w:r>
    </w:p>
    <w:p>
      <w:pPr>
        <w:pStyle w:val="Heading5"/>
        <w:rPr>
          <w:snapToGrid w:val="0"/>
        </w:rPr>
      </w:pPr>
      <w:bookmarkStart w:id="158" w:name="_Toc378262195"/>
      <w:bookmarkStart w:id="159" w:name="_Toc425946795"/>
      <w:r>
        <w:rPr>
          <w:rStyle w:val="CharSectno"/>
        </w:rPr>
        <w:t>80</w:t>
      </w:r>
      <w:r>
        <w:rPr>
          <w:snapToGrid w:val="0"/>
        </w:rPr>
        <w:t>.</w:t>
      </w:r>
      <w:r>
        <w:rPr>
          <w:snapToGrid w:val="0"/>
        </w:rPr>
        <w:tab/>
        <w:t>Power of Port Authority to give security</w:t>
      </w:r>
      <w:bookmarkEnd w:id="158"/>
      <w:bookmarkEnd w:id="159"/>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5"/>
        <w:rPr>
          <w:snapToGrid w:val="0"/>
        </w:rPr>
      </w:pPr>
      <w:bookmarkStart w:id="160" w:name="_Toc378262196"/>
      <w:bookmarkStart w:id="161" w:name="_Toc425946796"/>
      <w:r>
        <w:rPr>
          <w:rStyle w:val="CharSectno"/>
        </w:rPr>
        <w:t>81</w:t>
      </w:r>
      <w:r>
        <w:rPr>
          <w:snapToGrid w:val="0"/>
        </w:rPr>
        <w:t>.</w:t>
      </w:r>
      <w:r>
        <w:rPr>
          <w:snapToGrid w:val="0"/>
        </w:rPr>
        <w:tab/>
        <w:t>Power of Governor to ratify irregularities etc.</w:t>
      </w:r>
      <w:bookmarkEnd w:id="160"/>
      <w:bookmarkEnd w:id="161"/>
      <w:r>
        <w:rPr>
          <w:snapToGrid w:val="0"/>
        </w:rPr>
        <w:t xml:space="preserve"> </w:t>
      </w:r>
    </w:p>
    <w:p>
      <w:pPr>
        <w:pStyle w:val="Subsection"/>
        <w:rPr>
          <w:snapToGrid w:val="0"/>
        </w:rPr>
      </w:pPr>
      <w:r>
        <w:rPr>
          <w:snapToGrid w:val="0"/>
        </w:rPr>
        <w:tab/>
      </w:r>
      <w:r>
        <w:rPr>
          <w:snapToGrid w:val="0"/>
        </w:rPr>
        <w:tab/>
        <w:t>Where, by misadventure or accident anything is at any time done after the time required by this Act, or is otherwise irregularly done in matter of form, the Governor may, from time to time, by Order in Council,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Heading2"/>
      </w:pPr>
      <w:bookmarkStart w:id="162" w:name="_Toc378262197"/>
      <w:bookmarkStart w:id="163" w:name="_Toc425946797"/>
      <w:r>
        <w:rPr>
          <w:rStyle w:val="CharPartNo"/>
        </w:rPr>
        <w:t>Part IX</w:t>
      </w:r>
      <w:r>
        <w:rPr>
          <w:rStyle w:val="CharDivNo"/>
        </w:rPr>
        <w:t> </w:t>
      </w:r>
      <w:r>
        <w:t>—</w:t>
      </w:r>
      <w:r>
        <w:rPr>
          <w:rStyle w:val="CharDivText"/>
        </w:rPr>
        <w:t> </w:t>
      </w:r>
      <w:r>
        <w:rPr>
          <w:rStyle w:val="CharPartText"/>
        </w:rPr>
        <w:t>Regulations</w:t>
      </w:r>
      <w:bookmarkEnd w:id="162"/>
      <w:bookmarkEnd w:id="163"/>
      <w:r>
        <w:rPr>
          <w:rStyle w:val="CharPartText"/>
        </w:rPr>
        <w:t xml:space="preserve"> </w:t>
      </w:r>
    </w:p>
    <w:p>
      <w:pPr>
        <w:pStyle w:val="Heading5"/>
        <w:rPr>
          <w:snapToGrid w:val="0"/>
        </w:rPr>
      </w:pPr>
      <w:bookmarkStart w:id="164" w:name="_Toc378262198"/>
      <w:bookmarkStart w:id="165" w:name="_Toc425946798"/>
      <w:r>
        <w:rPr>
          <w:rStyle w:val="CharSectno"/>
        </w:rPr>
        <w:t>82</w:t>
      </w:r>
      <w:r>
        <w:rPr>
          <w:snapToGrid w:val="0"/>
        </w:rPr>
        <w:t>.</w:t>
      </w:r>
      <w:r>
        <w:rPr>
          <w:snapToGrid w:val="0"/>
        </w:rPr>
        <w:tab/>
        <w:t>Power of Port Authority to make regulations</w:t>
      </w:r>
      <w:bookmarkEnd w:id="164"/>
      <w:bookmarkEnd w:id="165"/>
      <w:r>
        <w:rPr>
          <w:snapToGrid w:val="0"/>
        </w:rPr>
        <w:t xml:space="preserve"> </w:t>
      </w:r>
    </w:p>
    <w:p>
      <w:pPr>
        <w:pStyle w:val="Subsection"/>
        <w:rPr>
          <w:snapToGrid w:val="0"/>
        </w:rPr>
      </w:pPr>
      <w:r>
        <w:rPr>
          <w:snapToGrid w:val="0"/>
        </w:rPr>
        <w:tab/>
      </w:r>
      <w:r>
        <w:rPr>
          <w:snapToGrid w:val="0"/>
        </w:rPr>
        <w:tab/>
        <w:t>The Port Authority may with the approval of the Governor make regulations under this Act for all or any of the following purposes, namely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(3)</w:t>
      </w:r>
      <w:r>
        <w:rPr>
          <w:snapToGrid w:val="0"/>
        </w:rPr>
        <w:tab/>
        <w:t>The control, supervision and guidance of its officers and employees.</w:t>
      </w:r>
    </w:p>
    <w:p>
      <w:pPr>
        <w:pStyle w:val="Indenta"/>
        <w:rPr>
          <w:snapToGrid w:val="0"/>
        </w:rPr>
      </w:pPr>
      <w:r>
        <w:rPr>
          <w:snapToGrid w:val="0"/>
        </w:rPr>
        <w:tab/>
        <w:t>(4)</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 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(5)</w:t>
      </w:r>
      <w:r>
        <w:rPr>
          <w:snapToGrid w:val="0"/>
        </w:rPr>
        <w:tab/>
        <w:t>Regulating all matters relating to the protection of life and property, and the safe navigation of the Port.</w:t>
      </w:r>
    </w:p>
    <w:p>
      <w:pPr>
        <w:pStyle w:val="Indenta"/>
        <w:rPr>
          <w:snapToGrid w:val="0"/>
        </w:rPr>
      </w:pPr>
      <w:r>
        <w:rPr>
          <w:snapToGrid w:val="0"/>
        </w:rPr>
        <w:tab/>
        <w:t>(6)</w:t>
      </w:r>
      <w:r>
        <w:rPr>
          <w:snapToGrid w:val="0"/>
        </w:rPr>
        <w:tab/>
        <w:t>The prevention of overloading or overcrowding of vessels.</w:t>
      </w:r>
    </w:p>
    <w:p>
      <w:pPr>
        <w:pStyle w:val="Indenta"/>
        <w:rPr>
          <w:snapToGrid w:val="0"/>
        </w:rPr>
      </w:pPr>
      <w:r>
        <w:rPr>
          <w:snapToGrid w:val="0"/>
        </w:rPr>
        <w:tab/>
        <w:t>(7)</w:t>
      </w:r>
      <w:r>
        <w:rPr>
          <w:snapToGrid w:val="0"/>
        </w:rPr>
        <w:tab/>
        <w:t>Regulating the landing, shipping, transhipping, deposit, removal and keeping of gunpowder and other explosive substances and compounds, or other dangerous goods.</w:t>
      </w:r>
    </w:p>
    <w:p>
      <w:pPr>
        <w:pStyle w:val="Ednotepara"/>
        <w:rPr>
          <w:snapToGrid w:val="0"/>
        </w:rPr>
      </w:pPr>
      <w:r>
        <w:rPr>
          <w:snapToGrid w:val="0"/>
        </w:rPr>
        <w:tab/>
        <w:t xml:space="preserve">               [(8) and (9)</w:t>
      </w:r>
      <w:r>
        <w:rPr>
          <w:snapToGrid w:val="0"/>
        </w:rPr>
        <w:tab/>
        <w:t xml:space="preserve"> deleted] </w:t>
      </w:r>
    </w:p>
    <w:p>
      <w:pPr>
        <w:pStyle w:val="Indenta"/>
        <w:rPr>
          <w:snapToGrid w:val="0"/>
        </w:rPr>
      </w:pPr>
      <w:r>
        <w:rPr>
          <w:snapToGrid w:val="0"/>
        </w:rPr>
        <w:tab/>
        <w:t>(10)</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(11)</w:t>
      </w:r>
      <w:r>
        <w:rPr>
          <w:snapToGrid w:val="0"/>
        </w:rPr>
        <w:tab/>
        <w:t>Imposing, levying, and receiving all port dues, including tonnage dues, light dues, berthing dues, and other tolls, rates or charges.</w:t>
      </w:r>
    </w:p>
    <w:p>
      <w:pPr>
        <w:pStyle w:val="Indenta"/>
        <w:rPr>
          <w:snapToGrid w:val="0"/>
        </w:rPr>
      </w:pPr>
      <w:r>
        <w:rPr>
          <w:snapToGrid w:val="0"/>
        </w:rPr>
        <w:tab/>
        <w:t>(12)</w:t>
      </w:r>
      <w:r>
        <w:rPr>
          <w:snapToGrid w:val="0"/>
        </w:rPr>
        <w:tab/>
        <w:t>The exemption of ships in the serge of Her Majesty or of any country that is a member of the British Commonwealth of Nations or in the naval service of any foreign power and of other vessels from port dues.</w:t>
      </w:r>
    </w:p>
    <w:p>
      <w:pPr>
        <w:pStyle w:val="Indenta"/>
        <w:rPr>
          <w:snapToGrid w:val="0"/>
        </w:rPr>
      </w:pPr>
      <w:r>
        <w:rPr>
          <w:snapToGrid w:val="0"/>
        </w:rPr>
        <w:tab/>
        <w:t>(13)</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(14)</w:t>
      </w:r>
      <w:r>
        <w:rPr>
          <w:snapToGrid w:val="0"/>
        </w:rPr>
        <w:tab/>
        <w:t>Fixing scales of dues, tolls and charges to be paid for the use thereof.</w:t>
      </w:r>
    </w:p>
    <w:p>
      <w:pPr>
        <w:pStyle w:val="Ednotepara"/>
        <w:rPr>
          <w:snapToGrid w:val="0"/>
        </w:rPr>
      </w:pPr>
      <w:r>
        <w:rPr>
          <w:snapToGrid w:val="0"/>
        </w:rPr>
        <w:t xml:space="preserve">              </w:t>
      </w:r>
      <w:r>
        <w:rPr>
          <w:snapToGrid w:val="0"/>
        </w:rPr>
        <w:tab/>
        <w:t xml:space="preserve">[(15) and (16)  deleted] </w:t>
      </w:r>
    </w:p>
    <w:p>
      <w:pPr>
        <w:pStyle w:val="Indenta"/>
        <w:rPr>
          <w:snapToGrid w:val="0"/>
        </w:rPr>
      </w:pPr>
      <w:r>
        <w:rPr>
          <w:snapToGrid w:val="0"/>
        </w:rPr>
        <w:tab/>
        <w:t>(17)</w:t>
      </w:r>
      <w:r>
        <w:rPr>
          <w:snapToGrid w:val="0"/>
        </w:rPr>
        <w:tab/>
        <w:t>Regulating the cleansing, repair and effectual preservation of docks and wharves and providing for the keeping and maintenance of the docks and wharves in a fit state for the convenience of persons walking upon or landing on or embarking from any wharf.</w:t>
      </w:r>
    </w:p>
    <w:p>
      <w:pPr>
        <w:pStyle w:val="Indenta"/>
        <w:rPr>
          <w:snapToGrid w:val="0"/>
        </w:rPr>
      </w:pPr>
      <w:r>
        <w:rPr>
          <w:snapToGrid w:val="0"/>
        </w:rPr>
        <w:tab/>
        <w:t>(18)</w:t>
      </w:r>
      <w:r>
        <w:rPr>
          <w:snapToGrid w:val="0"/>
        </w:rPr>
        <w:tab/>
        <w:t>Regulating the duties and conduct of all persons, including the employees of the Port Authority not being officers of Customs, who are employed in the Port.</w:t>
      </w:r>
    </w:p>
    <w:p>
      <w:pPr>
        <w:pStyle w:val="Indenta"/>
        <w:rPr>
          <w:snapToGrid w:val="0"/>
        </w:rPr>
      </w:pPr>
      <w:r>
        <w:rPr>
          <w:snapToGrid w:val="0"/>
        </w:rPr>
        <w:tab/>
        <w:t>(19)</w:t>
      </w:r>
      <w:r>
        <w:rPr>
          <w:snapToGrid w:val="0"/>
        </w:rPr>
        <w:tab/>
        <w:t>Providing for the control and management of steam or other ferry boats plying for hire at wharves or public thoroughfares.</w:t>
      </w:r>
    </w:p>
    <w:p>
      <w:pPr>
        <w:pStyle w:val="Indenta"/>
        <w:rPr>
          <w:snapToGrid w:val="0"/>
        </w:rPr>
      </w:pPr>
      <w:r>
        <w:rPr>
          <w:snapToGrid w:val="0"/>
        </w:rPr>
        <w:tab/>
        <w:t>(20)</w:t>
      </w:r>
      <w:r>
        <w:rPr>
          <w:snapToGrid w:val="0"/>
        </w:rPr>
        <w:tab/>
        <w:t>The granting of licences for tugs to conduct vessels into or out of port, and the fees to be paid for the licences.</w:t>
      </w:r>
    </w:p>
    <w:p>
      <w:pPr>
        <w:pStyle w:val="Indenta"/>
        <w:rPr>
          <w:snapToGrid w:val="0"/>
        </w:rPr>
      </w:pPr>
      <w:r>
        <w:rPr>
          <w:snapToGrid w:val="0"/>
        </w:rPr>
        <w:tab/>
        <w:t>(21)</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(22)</w:t>
      </w:r>
      <w:r>
        <w:rPr>
          <w:snapToGrid w:val="0"/>
        </w:rPr>
        <w:tab/>
        <w:t>Providing for the inspection of all such boats or vessels as are referred to in paragraph (21) of this section and preventing the use of such of them as are unseaworthy or insufficient.</w:t>
      </w:r>
    </w:p>
    <w:p>
      <w:pPr>
        <w:pStyle w:val="Indenta"/>
        <w:rPr>
          <w:snapToGrid w:val="0"/>
        </w:rPr>
      </w:pPr>
      <w:r>
        <w:rPr>
          <w:snapToGrid w:val="0"/>
        </w:rPr>
        <w:tab/>
        <w:t>(23)</w:t>
      </w:r>
      <w:r>
        <w:rPr>
          <w:snapToGrid w:val="0"/>
        </w:rPr>
        <w:tab/>
        <w:t>Providing for the name of each boat or vessel and the name of its owner being shown thereon.</w:t>
      </w:r>
    </w:p>
    <w:p>
      <w:pPr>
        <w:pStyle w:val="Indenta"/>
        <w:rPr>
          <w:snapToGrid w:val="0"/>
        </w:rPr>
      </w:pPr>
      <w:r>
        <w:rPr>
          <w:snapToGrid w:val="0"/>
        </w:rPr>
        <w:tab/>
        <w:t>(24)</w:t>
      </w:r>
      <w:r>
        <w:rPr>
          <w:snapToGrid w:val="0"/>
        </w:rPr>
        <w:tab/>
        <w:t>Fixing the fees to be paid for licensing any boats or vessels referred to in paragraph (21) of this section, and the fares and charges for the carriage of persons and goods licensed boats of the several kinds hereinbefore mentioned, or any of them, according to either time or distance.</w:t>
      </w:r>
    </w:p>
    <w:p>
      <w:pPr>
        <w:pStyle w:val="Indenta"/>
        <w:rPr>
          <w:snapToGrid w:val="0"/>
        </w:rPr>
      </w:pPr>
      <w:r>
        <w:rPr>
          <w:snapToGrid w:val="0"/>
        </w:rPr>
        <w:tab/>
        <w:t>(25)</w:t>
      </w:r>
      <w:r>
        <w:rPr>
          <w:snapToGrid w:val="0"/>
        </w:rPr>
        <w:tab/>
        <w:t>Regulating the conduct, and for the punishment of misconduct, of licensed boatmen when practising their calling.</w:t>
      </w:r>
    </w:p>
    <w:p>
      <w:pPr>
        <w:pStyle w:val="Indenta"/>
        <w:rPr>
          <w:snapToGrid w:val="0"/>
        </w:rPr>
      </w:pPr>
      <w:r>
        <w:rPr>
          <w:snapToGrid w:val="0"/>
        </w:rPr>
        <w:tab/>
        <w:t>(26)</w:t>
      </w:r>
      <w:r>
        <w:rPr>
          <w:snapToGrid w:val="0"/>
        </w:rPr>
        <w:tab/>
        <w:t>The guidance of porters, carters, truck drivers and others carrying goods or driving horses, carriages, wagons, carts, drays, trucks or other vehicles for conveying passengers or goods, and other commodities on any wharf.</w:t>
      </w:r>
    </w:p>
    <w:p>
      <w:pPr>
        <w:pStyle w:val="Ednotepara"/>
        <w:rPr>
          <w:snapToGrid w:val="0"/>
        </w:rPr>
      </w:pPr>
      <w:r>
        <w:rPr>
          <w:snapToGrid w:val="0"/>
        </w:rPr>
        <w:t xml:space="preserve">              [(27), (28), (29), (30), (31) and (32)  deleted] </w:t>
      </w:r>
    </w:p>
    <w:p>
      <w:pPr>
        <w:pStyle w:val="Indenta"/>
        <w:rPr>
          <w:snapToGrid w:val="0"/>
        </w:rPr>
      </w:pPr>
      <w:r>
        <w:rPr>
          <w:snapToGrid w:val="0"/>
        </w:rPr>
        <w:tab/>
        <w:t>(33)</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(34)</w:t>
      </w:r>
      <w:r>
        <w:rPr>
          <w:snapToGrid w:val="0"/>
        </w:rPr>
        <w:tab/>
        <w:t>Requiring the master of every ship to report his arrival within a specified time after this arrival.</w:t>
      </w:r>
    </w:p>
    <w:p>
      <w:pPr>
        <w:pStyle w:val="Indenta"/>
        <w:rPr>
          <w:snapToGrid w:val="0"/>
        </w:rPr>
      </w:pPr>
      <w:r>
        <w:rPr>
          <w:snapToGrid w:val="0"/>
        </w:rPr>
        <w:tab/>
        <w:t>(35)</w:t>
      </w:r>
      <w:r>
        <w:rPr>
          <w:snapToGrid w:val="0"/>
        </w:rPr>
        <w:tab/>
        <w:t>Requiring the master of every ship to produce the certificate of registry to any officer on demand.</w:t>
      </w:r>
    </w:p>
    <w:p>
      <w:pPr>
        <w:pStyle w:val="Indenta"/>
        <w:rPr>
          <w:snapToGrid w:val="0"/>
        </w:rPr>
      </w:pPr>
      <w:r>
        <w:rPr>
          <w:snapToGrid w:val="0"/>
        </w:rPr>
        <w:tab/>
        <w:t>(36)</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(37)</w:t>
      </w:r>
      <w:r>
        <w:rPr>
          <w:snapToGrid w:val="0"/>
        </w:rPr>
        <w:tab/>
        <w:t>Requiring the master of every ship to give notice of the intended time of unshipment.</w:t>
      </w:r>
    </w:p>
    <w:p>
      <w:pPr>
        <w:pStyle w:val="Indenta"/>
        <w:rPr>
          <w:snapToGrid w:val="0"/>
        </w:rPr>
      </w:pPr>
      <w:r>
        <w:rPr>
          <w:snapToGrid w:val="0"/>
        </w:rPr>
        <w:tab/>
        <w:t>(38)</w:t>
      </w:r>
      <w:r>
        <w:rPr>
          <w:snapToGrid w:val="0"/>
        </w:rPr>
        <w:tab/>
        <w:t>Requiring the shippers of goods to furnish accounts of the goods intended to be shipped.</w:t>
      </w:r>
    </w:p>
    <w:p>
      <w:pPr>
        <w:pStyle w:val="Indenta"/>
        <w:rPr>
          <w:snapToGrid w:val="0"/>
        </w:rPr>
      </w:pPr>
      <w:r>
        <w:rPr>
          <w:snapToGrid w:val="0"/>
        </w:rPr>
        <w:tab/>
        <w:t>(39)</w:t>
      </w:r>
      <w:r>
        <w:rPr>
          <w:snapToGrid w:val="0"/>
        </w:rPr>
        <w:tab/>
        <w:t>Regulating the time when dues on goods shipped or unshipped are to be payable.</w:t>
      </w:r>
    </w:p>
    <w:p>
      <w:pPr>
        <w:pStyle w:val="Ednotepara"/>
        <w:rPr>
          <w:snapToGrid w:val="0"/>
        </w:rPr>
      </w:pPr>
      <w:r>
        <w:rPr>
          <w:snapToGrid w:val="0"/>
        </w:rPr>
        <w:t xml:space="preserve">             [(40), (41), (42), (43), (44), (45), (46), (47), (48) and (49)  deleted] </w:t>
      </w:r>
    </w:p>
    <w:p>
      <w:pPr>
        <w:pStyle w:val="Indenta"/>
        <w:rPr>
          <w:snapToGrid w:val="0"/>
        </w:rPr>
      </w:pPr>
      <w:r>
        <w:rPr>
          <w:snapToGrid w:val="0"/>
        </w:rPr>
        <w:tab/>
        <w:t>(50)</w:t>
      </w:r>
      <w:r>
        <w:rPr>
          <w:snapToGrid w:val="0"/>
        </w:rPr>
        <w:tab/>
        <w:t>Regulating the charges to be made by licensed boatmen, porters and other carriers.</w:t>
      </w:r>
    </w:p>
    <w:p>
      <w:pPr>
        <w:pStyle w:val="Indenta"/>
        <w:rPr>
          <w:snapToGrid w:val="0"/>
        </w:rPr>
      </w:pPr>
      <w:r>
        <w:rPr>
          <w:snapToGrid w:val="0"/>
        </w:rPr>
        <w:tab/>
        <w:t>(51)</w:t>
      </w:r>
      <w:r>
        <w:rPr>
          <w:snapToGrid w:val="0"/>
        </w:rPr>
        <w:tab/>
        <w:t>Prohibiting persons from acting as boatmen, plying for hire, porters, carters, truck drivers or otherwise in the carriage of goods or passengers without previously obtaining and continuing to hold the licence or the Port Authority, and prescribing the duration of and the fees for the licences, and providing that the issue of any such licence and the cancellation thereof shall be at the absolute discretion of the Port Authority.</w:t>
      </w:r>
    </w:p>
    <w:p>
      <w:pPr>
        <w:pStyle w:val="Indenta"/>
        <w:rPr>
          <w:snapToGrid w:val="0"/>
        </w:rPr>
      </w:pPr>
      <w:r>
        <w:rPr>
          <w:snapToGrid w:val="0"/>
        </w:rPr>
        <w:tab/>
        <w:t>(52)</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(53)</w:t>
      </w:r>
      <w:r>
        <w:rPr>
          <w:snapToGrid w:val="0"/>
        </w:rPr>
        <w:tab/>
        <w:t>Regulating and limiting the speed of vessels within the Port.</w:t>
      </w:r>
    </w:p>
    <w:p>
      <w:pPr>
        <w:pStyle w:val="Indenta"/>
        <w:rPr>
          <w:snapToGrid w:val="0"/>
        </w:rPr>
      </w:pPr>
      <w:r>
        <w:rPr>
          <w:snapToGrid w:val="0"/>
        </w:rPr>
        <w:tab/>
        <w:t>(54)</w:t>
      </w:r>
      <w:r>
        <w:rPr>
          <w:snapToGrid w:val="0"/>
        </w:rPr>
        <w:tab/>
        <w:t>Authorizing and empowering the Port Authority to cause the removal from the Port to some other place or places within or outside the limits of the Port of goods that the Port Authority or its wharf manager, in its or his absolute discretion, considers to be injurious to or that may injuriously affect other goods or any shed, store, or other premises or open yard or place within the Port.</w:t>
      </w:r>
    </w:p>
    <w:p>
      <w:pPr>
        <w:pStyle w:val="Indenta"/>
        <w:rPr>
          <w:snapToGrid w:val="0"/>
        </w:rPr>
      </w:pPr>
      <w:r>
        <w:rPr>
          <w:snapToGrid w:val="0"/>
        </w:rPr>
        <w:tab/>
      </w:r>
      <w:r>
        <w:rPr>
          <w:snapToGrid w:val="0"/>
        </w:rPr>
        <w:tab/>
        <w:t>Any regulation made pursuant to this paragraph — </w:t>
      </w:r>
    </w:p>
    <w:p>
      <w:pPr>
        <w:pStyle w:val="Indenti"/>
        <w:rPr>
          <w:snapToGrid w:val="0"/>
        </w:rPr>
      </w:pPr>
      <w:r>
        <w:rPr>
          <w:snapToGrid w:val="0"/>
        </w:rPr>
        <w:tab/>
        <w:t>(a)</w:t>
      </w:r>
      <w:r>
        <w:rPr>
          <w:snapToGrid w:val="0"/>
        </w:rPr>
        <w:tab/>
        <w:t>may provide for and authorize the storage of such goods in any shed or store, or in or on any exposed or open place, and in any and every case at the risk and expense of the owner of the goods; and that shed, store or place may be within or outside the limits of the Port as the Port Authority or its wharf manager thinks fit;</w:t>
      </w:r>
    </w:p>
    <w:p>
      <w:pPr>
        <w:pStyle w:val="Indenti"/>
        <w:rPr>
          <w:snapToGrid w:val="0"/>
        </w:rPr>
      </w:pPr>
      <w:r>
        <w:rPr>
          <w:snapToGrid w:val="0"/>
        </w:rPr>
        <w:tab/>
        <w:t>(b)</w:t>
      </w:r>
      <w:r>
        <w:rPr>
          <w:snapToGrid w:val="0"/>
        </w:rPr>
        <w:tab/>
        <w:t>may provide that the cost of the removal and the keeping and storage of the goods, whether within or outside those limits shall be chargeable against the owner of the goods, and may be recovered from him by the Port Authority in an action in the Local Court held at Port Hedland; and</w:t>
      </w:r>
    </w:p>
    <w:p>
      <w:pPr>
        <w:pStyle w:val="Indenti"/>
        <w:rPr>
          <w:snapToGrid w:val="0"/>
        </w:rPr>
      </w:pPr>
      <w:r>
        <w:rPr>
          <w:snapToGrid w:val="0"/>
        </w:rPr>
        <w:tab/>
        <w:t>(c)</w:t>
      </w:r>
      <w:r>
        <w:rPr>
          <w:snapToGrid w:val="0"/>
        </w:rPr>
        <w:tab/>
        <w:t>shall be read and construed as being in addition to and not in derogation of or in substitution for any of the powers conferred on the Port Authority by section 28 of this Act.</w:t>
      </w:r>
    </w:p>
    <w:p>
      <w:pPr>
        <w:pStyle w:val="Indenta"/>
        <w:rPr>
          <w:snapToGrid w:val="0"/>
        </w:rPr>
      </w:pPr>
      <w:r>
        <w:rPr>
          <w:snapToGrid w:val="0"/>
        </w:rPr>
        <w:tab/>
        <w:t>(55)</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w:t>
      </w:r>
      <w:r>
        <w:rPr>
          <w:snapToGrid w:val="0"/>
        </w:rPr>
        <w:noBreakHyphen/>
        <w:t>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(55a)</w:t>
      </w:r>
      <w:r>
        <w:rPr>
          <w:snapToGrid w:val="0"/>
        </w:rPr>
        <w:tab/>
        <w:t>Prescribing, for the purposes of fixing the boundaries of the Pilotage Area, a radius greater than the radius of 20 nautical miles prescribed by the Third Schedule.</w:t>
      </w:r>
    </w:p>
    <w:p>
      <w:pPr>
        <w:pStyle w:val="Indenta"/>
        <w:rPr>
          <w:snapToGrid w:val="0"/>
        </w:rPr>
      </w:pPr>
      <w:r>
        <w:rPr>
          <w:snapToGrid w:val="0"/>
        </w:rPr>
        <w:tab/>
        <w:t>(56)</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82 amended by No. 36 of 1986 s.9; No. 46 of 1993 s.46.] </w:t>
      </w:r>
    </w:p>
    <w:p>
      <w:pPr>
        <w:pStyle w:val="Heading5"/>
        <w:rPr>
          <w:snapToGrid w:val="0"/>
        </w:rPr>
      </w:pPr>
      <w:bookmarkStart w:id="166" w:name="_Toc378262199"/>
      <w:bookmarkStart w:id="167" w:name="_Toc425946799"/>
      <w:r>
        <w:rPr>
          <w:rStyle w:val="CharSectno"/>
        </w:rPr>
        <w:t>83</w:t>
      </w:r>
      <w:r>
        <w:rPr>
          <w:snapToGrid w:val="0"/>
        </w:rPr>
        <w:t>.</w:t>
      </w:r>
      <w:r>
        <w:rPr>
          <w:snapToGrid w:val="0"/>
        </w:rPr>
        <w:tab/>
        <w:t>Penalties for breach of regulations</w:t>
      </w:r>
      <w:bookmarkEnd w:id="166"/>
      <w:bookmarkEnd w:id="167"/>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(a)</w:t>
      </w:r>
      <w:r>
        <w:rPr>
          <w:snapToGrid w:val="0"/>
        </w:rPr>
        <w:tab/>
        <w:t>may impose a penalty not exceeding two hundred dollars for the breach thereof; and</w:t>
      </w:r>
    </w:p>
    <w:p>
      <w:pPr>
        <w:pStyle w:val="Indenta"/>
        <w:rPr>
          <w:snapToGrid w:val="0"/>
        </w:rPr>
      </w:pPr>
      <w:r>
        <w:rPr>
          <w:snapToGrid w:val="0"/>
        </w:rPr>
        <w:tab/>
        <w:t>(b)</w:t>
      </w:r>
      <w:r>
        <w:rPr>
          <w:snapToGrid w:val="0"/>
        </w:rPr>
        <w:tab/>
        <w:t>may provide that, in addition to the penalty, any expense incurred by the Pore Authority in consequence of the breach of a regulation shall be paid by the person committing the breach.</w:t>
      </w:r>
    </w:p>
    <w:p>
      <w:pPr>
        <w:pStyle w:val="Heading5"/>
        <w:rPr>
          <w:snapToGrid w:val="0"/>
        </w:rPr>
      </w:pPr>
      <w:bookmarkStart w:id="168" w:name="_Toc378262200"/>
      <w:bookmarkStart w:id="169" w:name="_Toc425946800"/>
      <w:r>
        <w:rPr>
          <w:rStyle w:val="CharSectno"/>
        </w:rPr>
        <w:t>84</w:t>
      </w:r>
      <w:r>
        <w:rPr>
          <w:snapToGrid w:val="0"/>
        </w:rPr>
        <w:t>.</w:t>
      </w:r>
      <w:r>
        <w:rPr>
          <w:snapToGrid w:val="0"/>
        </w:rPr>
        <w:tab/>
        <w:t>Adoption of rules, codes, etc.</w:t>
      </w:r>
      <w:bookmarkEnd w:id="168"/>
      <w:bookmarkEnd w:id="169"/>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inserted by No. 12 of 1976 s.17.]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170" w:name="_Toc378262201"/>
      <w:bookmarkStart w:id="171" w:name="_Toc425946801"/>
      <w:r>
        <w:rPr>
          <w:rStyle w:val="CharSchNo"/>
        </w:rPr>
        <w:t>First Schedule</w:t>
      </w:r>
      <w:bookmarkEnd w:id="170"/>
      <w:bookmarkEnd w:id="171"/>
    </w:p>
    <w:p>
      <w:pPr>
        <w:pStyle w:val="yShoulderClause"/>
        <w:rPr>
          <w:snapToGrid w:val="0"/>
        </w:rPr>
      </w:pPr>
      <w:r>
        <w:rPr>
          <w:snapToGrid w:val="0"/>
        </w:rPr>
        <w:t>[Ss.3 and 19.]</w:t>
      </w:r>
    </w:p>
    <w:p>
      <w:pPr>
        <w:pStyle w:val="ySubsection"/>
      </w:pPr>
      <w:r>
        <w:tab/>
      </w:r>
      <w:r>
        <w:tab/>
        <w:t>All that area bounded by lines starting from a point on the High Water Mark of the Indian Ocean, west of the Hunt Point Beacon, being the intersection of that mark with an arc of 10 nautical miles radius from the Hunt Point Beacon and extending generally northerly and generally southerly along that arc to its intersection with the High Water Mark aforesaid, east of the Hunt Point Beacon; thence generally westerly along that mark to its intersection with the northernmost eastern boundary of the Port Hedland Port Area, as shown on Lands and Surveys Miscellaneous Plan 417; thence generally southerly, generally easterly, south</w:t>
      </w:r>
      <w:r>
        <w:noBreakHyphen/>
        <w:t>south</w:t>
      </w:r>
      <w:r>
        <w:noBreakHyphen/>
        <w:t>easterly and generally westerly along boundaries of that Port Area to its intersection with the north</w:t>
      </w:r>
      <w:r>
        <w:noBreakHyphen/>
        <w:t>eastern boundary of Port Hedland Lot 1410; thence north</w:t>
      </w:r>
      <w:r>
        <w:noBreakHyphen/>
        <w:t>westerly, south</w:t>
      </w:r>
      <w:r>
        <w:noBreakHyphen/>
        <w:t>westerly and south</w:t>
      </w:r>
      <w:r>
        <w:noBreakHyphen/>
        <w:t>easterly along boundaries of that lot to its southern corner; thence south</w:t>
      </w:r>
      <w:r>
        <w:noBreakHyphen/>
        <w:t>easterly and easterly along boundaries of Lot 1408 to the north</w:t>
      </w:r>
      <w:r>
        <w:noBreakHyphen/>
        <w:t>western corner of Forrest Location 42; thence southerly and easterly along boundaries of that location to its south</w:t>
      </w:r>
      <w:r>
        <w:noBreakHyphen/>
        <w:t>eastern corner; thence easterly along southern boundaries of Location 41 and Location 40 to a point situate in prolongation northerly of the western boundary of Location 38; thence southerly to and along that boundary to the south</w:t>
      </w:r>
      <w:r>
        <w:noBreakHyphen/>
        <w:t>western corner of Location 38 aforesaid;  thence south</w:t>
      </w:r>
      <w:r>
        <w:noBreakHyphen/>
        <w:t>westerly to the northern corner of Port Hedland Lot 1790; thence south</w:t>
      </w:r>
      <w:r>
        <w:noBreakHyphen/>
        <w:t>westerly and south</w:t>
      </w:r>
      <w:r>
        <w:noBreakHyphen/>
        <w:t>south</w:t>
      </w:r>
      <w:r>
        <w:noBreakHyphen/>
        <w:t>westerly along boundaries of that lot and onwards to the intersection with the prolongation east of the northern boundary of Lot 1647; thence west to and along the northern boundary of that lot and Lots 1808, 1807, 1645, 1644 and 1643 to a point situate 2 chains west of the north</w:t>
      </w:r>
      <w:r>
        <w:noBreakHyphen/>
        <w:t>eastern corner of that last mentioned lot; thence north about 10 chains, west about 11 chains 50 links and south about 10 chains to the prolongation west of the northern boundary of Lot 1641; thence west along that prolongation to the intersection with an eastern boundary of Forrest Location 47; thence generally northerly along that boundary to the south</w:t>
      </w:r>
      <w:r>
        <w:noBreakHyphen/>
        <w:t>western boundary of Location 46; thence south</w:t>
      </w:r>
      <w:r>
        <w:noBreakHyphen/>
        <w:t>easterly, generally north</w:t>
      </w:r>
      <w:r>
        <w:noBreakHyphen/>
        <w:t>easterly and generally north</w:t>
      </w:r>
      <w:r>
        <w:noBreakHyphen/>
        <w:t>westerly along boundaries of that location to its north</w:t>
      </w:r>
      <w:r>
        <w:noBreakHyphen/>
        <w:t>western corner; thence north to a point situate on the High Water Mark aforesaid and thence generally westerly along that mark to the starting point.  Excluding Wharf, Mooring Dolphins, Approach Structures and Conveying System within Forrest Locations 45 and 48.</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yScheduleHeading"/>
      </w:pPr>
      <w:bookmarkStart w:id="173" w:name="_Toc378262202"/>
      <w:bookmarkStart w:id="174" w:name="_Toc425946802"/>
      <w:r>
        <w:rPr>
          <w:rStyle w:val="CharSchNo"/>
        </w:rPr>
        <w:t>Second Schedule</w:t>
      </w:r>
      <w:bookmarkEnd w:id="173"/>
      <w:bookmarkEnd w:id="174"/>
    </w:p>
    <w:p>
      <w:pPr>
        <w:pStyle w:val="yShoulderClause"/>
        <w:rPr>
          <w:snapToGrid w:val="0"/>
        </w:rPr>
      </w:pPr>
      <w:r>
        <w:rPr>
          <w:snapToGrid w:val="0"/>
        </w:rPr>
        <w:t>[s.56.]</w:t>
      </w:r>
    </w:p>
    <w:p>
      <w:pPr>
        <w:pStyle w:val="yHeading2"/>
      </w:pPr>
      <w:bookmarkStart w:id="175" w:name="_Toc378262203"/>
      <w:bookmarkStart w:id="176" w:name="_Toc425946803"/>
      <w:r>
        <w:rPr>
          <w:rStyle w:val="CharSDivNo"/>
        </w:rPr>
        <w:t>Part I</w:t>
      </w:r>
      <w:r>
        <w:t> — </w:t>
      </w:r>
      <w:r>
        <w:rPr>
          <w:rStyle w:val="CharSDivText"/>
        </w:rPr>
        <w:t>Debentures and inscribed stock</w:t>
      </w:r>
      <w:bookmarkEnd w:id="175"/>
      <w:bookmarkEnd w:id="176"/>
    </w:p>
    <w:p>
      <w:pPr>
        <w:pStyle w:val="MiscellaneousBody"/>
        <w:rPr>
          <w:sz w:val="22"/>
        </w:rPr>
      </w:pPr>
      <w:r>
        <w:rPr>
          <w:sz w:val="22"/>
        </w:rPr>
        <w:t>The following provisions apply to debentures and inscribed stock issued by the Port Authority under the provisions of section 53 of this Act: — </w:t>
      </w:r>
    </w:p>
    <w:p>
      <w:pPr>
        <w:pStyle w:val="yHeading5"/>
        <w:ind w:left="890" w:hanging="890"/>
        <w:outlineLvl w:val="9"/>
      </w:pPr>
      <w:bookmarkStart w:id="177" w:name="_Toc378262204"/>
      <w:bookmarkStart w:id="178" w:name="_Toc425946804"/>
      <w:r>
        <w:rPr>
          <w:rStyle w:val="CharSClsNo"/>
        </w:rPr>
        <w:t>1</w:t>
      </w:r>
      <w:r>
        <w:t>.</w:t>
      </w:r>
      <w:r>
        <w:tab/>
        <w:t>All debentures and inscribed stock —</w:t>
      </w:r>
      <w:bookmarkEnd w:id="177"/>
      <w:bookmarkEnd w:id="178"/>
      <w:r>
        <w:t> </w:t>
      </w:r>
    </w:p>
    <w:p>
      <w:pPr>
        <w:pStyle w:val="yIndenta"/>
      </w:pPr>
      <w:r>
        <w:tab/>
        <w:t>(a)</w:t>
      </w:r>
      <w:r>
        <w:tab/>
        <w:t>shall bear interest at such rate and be redeemable on such date and at such place as the Port Authority may, with the approval of the Governor, determine; and</w:t>
      </w:r>
    </w:p>
    <w:p>
      <w:pPr>
        <w:pStyle w:val="yIndenta"/>
      </w:pPr>
      <w:r>
        <w:tab/>
        <w:t>(b)</w:t>
      </w:r>
      <w:r>
        <w:tab/>
        <w:t>may with the consent of the holder or the registered owner thereof, as the case may be, be paid off at any time before the due date for repayment, at not more than the face value thereof.</w:t>
      </w:r>
    </w:p>
    <w:p>
      <w:pPr>
        <w:pStyle w:val="yHeading5"/>
        <w:ind w:left="890" w:hanging="890"/>
        <w:outlineLvl w:val="9"/>
      </w:pPr>
      <w:bookmarkStart w:id="179" w:name="_Toc378262205"/>
      <w:bookmarkStart w:id="180" w:name="_Toc425946805"/>
      <w:r>
        <w:rPr>
          <w:rStyle w:val="CharSClsNo"/>
        </w:rPr>
        <w:t>2</w:t>
      </w:r>
      <w:r>
        <w:t>.</w:t>
      </w:r>
      <w:r>
        <w:tab/>
        <w:t>When interest payable</w:t>
      </w:r>
      <w:bookmarkEnd w:id="179"/>
      <w:bookmarkEnd w:id="180"/>
    </w:p>
    <w:p>
      <w:pPr>
        <w:pStyle w:val="ySubsection"/>
      </w:pPr>
      <w:r>
        <w:tab/>
      </w:r>
      <w:r>
        <w:tab/>
        <w:t>Interest secured by any debentures or inscribed stock issued or created pursuant to this Act is payable half</w:t>
      </w:r>
      <w:r>
        <w:noBreakHyphen/>
        <w:t>yearly on such days at such places as the Port Authority determines.</w:t>
      </w:r>
    </w:p>
    <w:p>
      <w:pPr>
        <w:pStyle w:val="yHeading5"/>
        <w:ind w:left="890" w:hanging="890"/>
        <w:outlineLvl w:val="9"/>
      </w:pPr>
      <w:bookmarkStart w:id="181" w:name="_Toc378262206"/>
      <w:bookmarkStart w:id="182" w:name="_Toc425946806"/>
      <w:r>
        <w:rPr>
          <w:rStyle w:val="CharSClsNo"/>
        </w:rPr>
        <w:t>3</w:t>
      </w:r>
      <w:r>
        <w:t>.</w:t>
      </w:r>
      <w:r>
        <w:tab/>
        <w:t>Debentures and stock interchangeable</w:t>
      </w:r>
      <w:bookmarkEnd w:id="181"/>
      <w:bookmarkEnd w:id="182"/>
    </w:p>
    <w:p>
      <w:pPr>
        <w:pStyle w:val="ySubsection"/>
      </w:pPr>
      <w:r>
        <w:tab/>
      </w:r>
      <w:r>
        <w:tab/>
        <w:t>The Port Authority may, at the request of the holder of a debenture or of the registered owner of inscribed stock issued or created pursuant to this Act, in lieu thereof issued to him inscribed stock or debentures, as the case may be, in respect of the same loan, and of the same amount, and of the same currency, and bearing the same interest.</w:t>
      </w:r>
    </w:p>
    <w:p>
      <w:pPr>
        <w:pStyle w:val="yHeading5"/>
        <w:ind w:left="890" w:hanging="890"/>
        <w:outlineLvl w:val="9"/>
      </w:pPr>
      <w:bookmarkStart w:id="183" w:name="_Toc378262207"/>
      <w:bookmarkStart w:id="184" w:name="_Toc425946807"/>
      <w:r>
        <w:rPr>
          <w:rStyle w:val="CharSClsNo"/>
        </w:rPr>
        <w:t>4</w:t>
      </w:r>
      <w:r>
        <w:t>.</w:t>
      </w:r>
      <w:r>
        <w:tab/>
        <w:t>Brokerage</w:t>
      </w:r>
      <w:bookmarkEnd w:id="183"/>
      <w:bookmarkEnd w:id="184"/>
    </w:p>
    <w:p>
      <w:pPr>
        <w:pStyle w:val="ySubsection"/>
      </w:pPr>
      <w:r>
        <w:tab/>
      </w:r>
      <w:r>
        <w:tab/>
        <w:t>The Port Authority may pay moneys by way of brokerage for the making, procuring, negotiating, or obtaining the loan of any money borrowed under the authority conferred by section 53 of this Act.</w:t>
      </w:r>
    </w:p>
    <w:p>
      <w:pPr>
        <w:pStyle w:val="yHeading5"/>
        <w:ind w:left="890" w:hanging="890"/>
        <w:outlineLvl w:val="9"/>
      </w:pPr>
      <w:bookmarkStart w:id="185" w:name="_Toc378262208"/>
      <w:bookmarkStart w:id="186" w:name="_Toc425946808"/>
      <w:r>
        <w:rPr>
          <w:rStyle w:val="CharSClsNo"/>
        </w:rPr>
        <w:t>5</w:t>
      </w:r>
      <w:r>
        <w:t>.</w:t>
      </w:r>
      <w:r>
        <w:tab/>
        <w:t>Sinking fund</w:t>
      </w:r>
      <w:bookmarkEnd w:id="185"/>
      <w:bookmarkEnd w:id="186"/>
    </w:p>
    <w:p>
      <w:pPr>
        <w:pStyle w:val="ySubsection"/>
      </w:pPr>
      <w:r>
        <w:tab/>
        <w:t>(1)</w:t>
      </w:r>
      <w:r>
        <w:tab/>
        <w:t>The Port Authority shall set aside half</w:t>
      </w:r>
      <w:r>
        <w:noBreakHyphen/>
        <w:t>yearly by way of a sinking fund for the purpose of redeeming any loans raised by them pursuant to section 53 of this Act an amount calculated at a rate approved by the Treasurer and sanctioned by the Governor.</w:t>
      </w:r>
    </w:p>
    <w:p>
      <w:pPr>
        <w:pStyle w:val="ySubsection"/>
      </w:pPr>
      <w:r>
        <w:tab/>
        <w:t>(2)</w:t>
      </w:r>
      <w:r>
        <w:tab/>
        <w:t>When it is necessary to have resort to any sinking fund referred to in subclause (1) of this clause for the purpose of paying off either the whole or any part of any loan in respect of which the funds is provided, the Port Authority may sell any securities in which the fund is invested, or may obtain an advance thereon from any bank or from the Treasurer of the State.</w:t>
      </w:r>
    </w:p>
    <w:p>
      <w:pPr>
        <w:pStyle w:val="yHeading5"/>
        <w:ind w:left="890" w:hanging="890"/>
        <w:outlineLvl w:val="9"/>
      </w:pPr>
      <w:bookmarkStart w:id="187" w:name="_Toc378262209"/>
      <w:bookmarkStart w:id="188" w:name="_Toc425946809"/>
      <w:r>
        <w:rPr>
          <w:rStyle w:val="CharSClsNo"/>
        </w:rPr>
        <w:t>6</w:t>
      </w:r>
      <w:r>
        <w:t>.</w:t>
      </w:r>
      <w:r>
        <w:tab/>
        <w:t>Notice of trust not receivable</w:t>
      </w:r>
      <w:bookmarkEnd w:id="187"/>
      <w:bookmarkEnd w:id="188"/>
    </w:p>
    <w:p>
      <w:pPr>
        <w:pStyle w:val="ySubsection"/>
      </w:pPr>
      <w:r>
        <w:tab/>
      </w:r>
      <w: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made be subject.</w:t>
      </w:r>
    </w:p>
    <w:p>
      <w:pPr>
        <w:pStyle w:val="yHeading5"/>
        <w:ind w:left="890" w:hanging="890"/>
        <w:outlineLvl w:val="9"/>
      </w:pPr>
      <w:bookmarkStart w:id="189" w:name="_Toc378262210"/>
      <w:bookmarkStart w:id="190" w:name="_Toc425946810"/>
      <w:r>
        <w:rPr>
          <w:rStyle w:val="CharSClsNo"/>
        </w:rPr>
        <w:t>7</w:t>
      </w:r>
      <w:r>
        <w:t>.</w:t>
      </w:r>
      <w:r>
        <w:tab/>
        <w:t>Owners of securities not responsible for application of moneys</w:t>
      </w:r>
      <w:bookmarkEnd w:id="189"/>
      <w:bookmarkEnd w:id="190"/>
    </w:p>
    <w:p>
      <w:pPr>
        <w:pStyle w:val="ySubsection"/>
      </w:pPr>
      <w:r>
        <w:tab/>
      </w:r>
      <w:r>
        <w:tab/>
        <w:t>A person advancing money to the Port Authority and receiving in consideration of the advance a debenture or inscribed stock issued under this Act is not bound to inquire into the application of the money advanced or is not in any way responsible for the non</w:t>
      </w:r>
      <w:r>
        <w:noBreakHyphen/>
        <w:t>application or misapplication thereof.</w:t>
      </w:r>
    </w:p>
    <w:p>
      <w:pPr>
        <w:pStyle w:val="yHeading2"/>
      </w:pPr>
      <w:bookmarkStart w:id="191" w:name="_Toc378262211"/>
      <w:bookmarkStart w:id="192" w:name="_Toc425946811"/>
      <w:r>
        <w:rPr>
          <w:rStyle w:val="CharSDivNo"/>
        </w:rPr>
        <w:t>Part II</w:t>
      </w:r>
      <w:r>
        <w:t> — </w:t>
      </w:r>
      <w:r>
        <w:rPr>
          <w:rStyle w:val="CharSDivText"/>
        </w:rPr>
        <w:t>Debentures</w:t>
      </w:r>
      <w:bookmarkEnd w:id="191"/>
      <w:bookmarkEnd w:id="192"/>
    </w:p>
    <w:p>
      <w:pPr>
        <w:pStyle w:val="MiscellaneousBody"/>
        <w:rPr>
          <w:sz w:val="22"/>
        </w:rPr>
      </w:pPr>
      <w:r>
        <w:rPr>
          <w:sz w:val="22"/>
        </w:rPr>
        <w:t>The following provisions apply to debentures issued by the Port Authority under this Act: — </w:t>
      </w:r>
    </w:p>
    <w:p>
      <w:pPr>
        <w:pStyle w:val="yHeading5"/>
        <w:ind w:left="890" w:hanging="890"/>
        <w:outlineLvl w:val="9"/>
      </w:pPr>
      <w:bookmarkStart w:id="193" w:name="_Toc378262212"/>
      <w:bookmarkStart w:id="194" w:name="_Toc425946812"/>
      <w:r>
        <w:rPr>
          <w:rStyle w:val="CharSClsNo"/>
        </w:rPr>
        <w:t>1</w:t>
      </w:r>
      <w:r>
        <w:t>.</w:t>
      </w:r>
      <w:r>
        <w:tab/>
        <w:t>Form of debenture</w:t>
      </w:r>
      <w:bookmarkEnd w:id="193"/>
      <w:bookmarkEnd w:id="194"/>
    </w:p>
    <w:p>
      <w:pPr>
        <w:pStyle w:val="ySubsection"/>
      </w:pPr>
      <w:r>
        <w:tab/>
      </w:r>
      <w:r>
        <w:tab/>
        <w:t>A debenture shall be in the form prescribed by the regulations.</w:t>
      </w:r>
    </w:p>
    <w:p>
      <w:pPr>
        <w:pStyle w:val="yHeading5"/>
        <w:ind w:left="890" w:hanging="890"/>
        <w:outlineLvl w:val="9"/>
      </w:pPr>
      <w:bookmarkStart w:id="195" w:name="_Toc378262213"/>
      <w:bookmarkStart w:id="196" w:name="_Toc425946813"/>
      <w:r>
        <w:rPr>
          <w:rStyle w:val="CharSClsNo"/>
        </w:rPr>
        <w:t>2</w:t>
      </w:r>
      <w:r>
        <w:t>.</w:t>
      </w:r>
      <w:r>
        <w:tab/>
        <w:t>A debenture shall —</w:t>
      </w:r>
      <w:bookmarkEnd w:id="195"/>
      <w:bookmarkEnd w:id="196"/>
      <w:r>
        <w:t> </w:t>
      </w:r>
    </w:p>
    <w:p>
      <w:pPr>
        <w:pStyle w:val="ySubsection"/>
      </w:pPr>
      <w:r>
        <w:tab/>
        <w:t>(a)</w:t>
      </w:r>
      <w:r>
        <w:tab/>
        <w:t>be sealed with the common seal of the Port Authority in the manner prescribed by the regulations; and</w:t>
      </w:r>
    </w:p>
    <w:p>
      <w:pPr>
        <w:pStyle w:val="ySubsection"/>
      </w:pPr>
      <w:r>
        <w:tab/>
        <w:t>(b)</w:t>
      </w:r>
      <w:r>
        <w:tab/>
        <w:t>be numbered consecutively beginning with the number one and proceeding in an arithmetical progression whereof the common difference is one.</w:t>
      </w:r>
    </w:p>
    <w:p>
      <w:pPr>
        <w:pStyle w:val="yHeading5"/>
        <w:ind w:left="890" w:hanging="890"/>
        <w:outlineLvl w:val="9"/>
      </w:pPr>
      <w:bookmarkStart w:id="197" w:name="_Toc378262214"/>
      <w:bookmarkStart w:id="198" w:name="_Toc425946814"/>
      <w:r>
        <w:rPr>
          <w:rStyle w:val="CharSClsNo"/>
        </w:rPr>
        <w:t>3</w:t>
      </w:r>
      <w:r>
        <w:t>.</w:t>
      </w:r>
      <w:r>
        <w:tab/>
        <w:t>Pass by delivery</w:t>
      </w:r>
      <w:bookmarkEnd w:id="197"/>
      <w:bookmarkEnd w:id="198"/>
    </w:p>
    <w:p>
      <w:pPr>
        <w:pStyle w:val="ySubsection"/>
      </w:pPr>
      <w:r>
        <w:tab/>
      </w:r>
      <w:r>
        <w:tab/>
        <w:t>A debenture with the interest coupons annexed thereto and every interest coupon after being detached therefrom shall pass by delivery and without any assignment or endorsement.</w:t>
      </w:r>
    </w:p>
    <w:p>
      <w:pPr>
        <w:pStyle w:val="yHeading5"/>
        <w:ind w:left="890" w:hanging="890"/>
        <w:outlineLvl w:val="9"/>
      </w:pPr>
      <w:bookmarkStart w:id="199" w:name="_Toc378262215"/>
      <w:bookmarkStart w:id="200" w:name="_Toc425946815"/>
      <w:r>
        <w:rPr>
          <w:rStyle w:val="CharSClsNo"/>
        </w:rPr>
        <w:t>4</w:t>
      </w:r>
      <w:r>
        <w:t>.</w:t>
      </w:r>
      <w:r>
        <w:tab/>
        <w:t>Rights of bearer</w:t>
      </w:r>
      <w:bookmarkEnd w:id="199"/>
      <w:bookmarkEnd w:id="200"/>
    </w:p>
    <w:p>
      <w:pPr>
        <w:pStyle w:val="ySubsection"/>
      </w:pPr>
      <w:r>
        <w:tab/>
      </w:r>
      <w:r>
        <w:tab/>
        <w:t>The bearer of a debenture or detached interest coupon shall have the same rights as if he were expressly named as payee therein.</w:t>
      </w:r>
    </w:p>
    <w:p>
      <w:pPr>
        <w:pStyle w:val="yHeading5"/>
        <w:ind w:left="890" w:hanging="890"/>
        <w:outlineLvl w:val="9"/>
      </w:pPr>
      <w:bookmarkStart w:id="201" w:name="_Toc378262216"/>
      <w:bookmarkStart w:id="202" w:name="_Toc425946816"/>
      <w:r>
        <w:rPr>
          <w:rStyle w:val="CharSClsNo"/>
        </w:rPr>
        <w:t>5</w:t>
      </w:r>
      <w:r>
        <w:t>.</w:t>
      </w:r>
      <w:r>
        <w:tab/>
        <w:t>Payment of interest</w:t>
      </w:r>
      <w:bookmarkEnd w:id="201"/>
      <w:bookmarkEnd w:id="202"/>
    </w:p>
    <w:p>
      <w:pPr>
        <w:pStyle w:val="ySubsection"/>
      </w:pPr>
      <w:r>
        <w:tab/>
      </w:r>
      <w:r>
        <w:tab/>
        <w:t>No interest shall be payable in respect of a debenture except to the holder of the coupon representing the interest claimed and upon delivery of the same.</w:t>
      </w:r>
    </w:p>
    <w:p>
      <w:pPr>
        <w:pStyle w:val="yHeading5"/>
        <w:ind w:left="890" w:hanging="890"/>
        <w:outlineLvl w:val="9"/>
      </w:pPr>
      <w:bookmarkStart w:id="203" w:name="_Toc378262217"/>
      <w:bookmarkStart w:id="204" w:name="_Toc425946817"/>
      <w:r>
        <w:rPr>
          <w:rStyle w:val="CharSClsNo"/>
        </w:rPr>
        <w:t>6</w:t>
      </w:r>
      <w:r>
        <w:t>.</w:t>
      </w:r>
      <w:r>
        <w:tab/>
        <w:t>Register of debentures</w:t>
      </w:r>
      <w:bookmarkEnd w:id="203"/>
      <w:bookmarkEnd w:id="204"/>
    </w:p>
    <w:p>
      <w:pPr>
        <w:pStyle w:val="ySubsection"/>
      </w:pPr>
      <w:r>
        <w:tab/>
        <w:t>(1)</w:t>
      </w:r>
      <w: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pPr>
      <w:r>
        <w:tab/>
        <w:t>(2)</w:t>
      </w:r>
      <w:r>
        <w:tab/>
        <w:t>The register of debentures — </w:t>
      </w:r>
    </w:p>
    <w:p>
      <w:pPr>
        <w:pStyle w:val="yIndenta"/>
      </w:pPr>
      <w:r>
        <w:tab/>
        <w:t>(a)</w:t>
      </w:r>
      <w:r>
        <w:tab/>
        <w:t>may be inspected at all reasonable times by a person on payment of ten cents for each inspection; and</w:t>
      </w:r>
    </w:p>
    <w:p>
      <w:pPr>
        <w:pStyle w:val="yIndenta"/>
      </w:pPr>
      <w:r>
        <w:tab/>
        <w:t>(b)</w:t>
      </w:r>
      <w:r>
        <w:tab/>
        <w:t>shall be evidence of any matters required or authorized by or under this Act to be inserted therein.</w:t>
      </w:r>
    </w:p>
    <w:p>
      <w:pPr>
        <w:pStyle w:val="ySubsection"/>
      </w:pPr>
      <w:r>
        <w:tab/>
        <w:t>(3)</w:t>
      </w:r>
      <w:r>
        <w:tab/>
        <w:t>A person is entitled to obtain from the Port Authority copies or extracts certified by the officer in whose custody the register is kept to be true copies of or extracts from the register upon payment for each copy or extract of a fee of twenty</w:t>
      </w:r>
      <w:r>
        <w:noBreakHyphen/>
        <w:t>five cents and two cents for every folio of seventy</w:t>
      </w:r>
      <w:r>
        <w:noBreakHyphen/>
        <w:t>two words; and any copy or extract so certified is admissible in evidence.</w:t>
      </w:r>
    </w:p>
    <w:p>
      <w:pPr>
        <w:pStyle w:val="yHeading5"/>
        <w:ind w:left="890" w:hanging="890"/>
        <w:outlineLvl w:val="9"/>
      </w:pPr>
      <w:bookmarkStart w:id="205" w:name="_Toc378262218"/>
      <w:bookmarkStart w:id="206" w:name="_Toc425946818"/>
      <w:r>
        <w:rPr>
          <w:rStyle w:val="CharSClsNo"/>
        </w:rPr>
        <w:t>7</w:t>
      </w:r>
      <w:r>
        <w:t>.</w:t>
      </w:r>
      <w:r>
        <w:tab/>
        <w:t>Provision for lost debentures</w:t>
      </w:r>
      <w:bookmarkEnd w:id="205"/>
      <w:bookmarkEnd w:id="206"/>
    </w:p>
    <w:p>
      <w:pPr>
        <w:pStyle w:val="ySubsection"/>
      </w:pPr>
      <w:r>
        <w:tab/>
      </w:r>
      <w: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ind w:left="890" w:hanging="890"/>
        <w:outlineLvl w:val="9"/>
      </w:pPr>
      <w:bookmarkStart w:id="207" w:name="_Toc378262219"/>
      <w:bookmarkStart w:id="208" w:name="_Toc425946819"/>
      <w:r>
        <w:rPr>
          <w:rStyle w:val="CharSClsNo"/>
        </w:rPr>
        <w:t>8</w:t>
      </w:r>
      <w:r>
        <w:t>.</w:t>
      </w:r>
      <w:r>
        <w:tab/>
        <w:t>Provision for defaced debentures</w:t>
      </w:r>
      <w:bookmarkEnd w:id="207"/>
      <w:bookmarkEnd w:id="208"/>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shall have the like currency and be in all respects subject to the same provisions and bear the same number, date and principal sum and rate of interest as the cancelled debenture.</w:t>
      </w:r>
    </w:p>
    <w:p>
      <w:pPr>
        <w:pStyle w:val="yHeading5"/>
        <w:ind w:left="890" w:hanging="890"/>
        <w:outlineLvl w:val="9"/>
      </w:pPr>
      <w:bookmarkStart w:id="209" w:name="_Toc378262220"/>
      <w:bookmarkStart w:id="210" w:name="_Toc425946820"/>
      <w:r>
        <w:rPr>
          <w:rStyle w:val="CharSClsNo"/>
        </w:rPr>
        <w:t>9</w:t>
      </w:r>
      <w:r>
        <w:t>.</w:t>
      </w:r>
      <w:r>
        <w:tab/>
        <w:t>Discharged debentures to be destroyed</w:t>
      </w:r>
      <w:bookmarkEnd w:id="209"/>
      <w:bookmarkEnd w:id="210"/>
    </w:p>
    <w:p>
      <w:pPr>
        <w:pStyle w:val="ySubsection"/>
      </w:pPr>
      <w:r>
        <w:tab/>
        <w:t>(1)</w:t>
      </w:r>
      <w:r>
        <w:tab/>
        <w:t>A debenture paid off, discharged, exchanged or converted into stock — </w:t>
      </w:r>
    </w:p>
    <w:p>
      <w:pPr>
        <w:pStyle w:val="yIndenta"/>
      </w:pPr>
      <w:r>
        <w:tab/>
        <w:t>(a)</w:t>
      </w:r>
      <w:r>
        <w:tab/>
        <w:t>shall be cancelled by the secretary to the Port Authority; and</w:t>
      </w:r>
    </w:p>
    <w:p>
      <w:pPr>
        <w:pStyle w:val="yIndenta"/>
      </w:pPr>
      <w:r>
        <w:tab/>
        <w:t>(b)</w:t>
      </w:r>
      <w:r>
        <w:tab/>
        <w:t>shall be burnt in the presence of the secretary and the Auditor General or one of his officers thereto authorized by him in writing.</w:t>
      </w:r>
    </w:p>
    <w:p>
      <w:pPr>
        <w:pStyle w:val="ySubsection"/>
      </w:pPr>
      <w:r>
        <w:tab/>
        <w:t>(2)</w:t>
      </w:r>
      <w:r>
        <w:tab/>
        <w:t>The Auditor General or such officer (as the case may be) before the debenture is burnt shall audit the same and allow the accounts thereof and furnish the Port Authority with a certificate particularising the debenture so burnt; and the secretary shall file that certificate in the office of the Port Authority.</w:t>
      </w:r>
    </w:p>
    <w:p>
      <w:pPr>
        <w:pStyle w:val="yHeading2"/>
      </w:pPr>
      <w:bookmarkStart w:id="211" w:name="_Toc378262221"/>
      <w:bookmarkStart w:id="212" w:name="_Toc425946821"/>
      <w:r>
        <w:rPr>
          <w:rStyle w:val="CharSDivNo"/>
        </w:rPr>
        <w:t>Part III</w:t>
      </w:r>
      <w:r>
        <w:t> — </w:t>
      </w:r>
      <w:r>
        <w:rPr>
          <w:rStyle w:val="CharSDivText"/>
        </w:rPr>
        <w:t>Stock</w:t>
      </w:r>
      <w:bookmarkEnd w:id="211"/>
      <w:bookmarkEnd w:id="212"/>
    </w:p>
    <w:p>
      <w:pPr>
        <w:pStyle w:val="MiscellaneousBody"/>
        <w:rPr>
          <w:sz w:val="22"/>
        </w:rPr>
      </w:pPr>
      <w:r>
        <w:rPr>
          <w:sz w:val="22"/>
        </w:rPr>
        <w:t>The following provisions apply to The Port Hedland Port Authority inscribed Stock issued in Perth, Western Australia (in this Part called “stock”): — </w:t>
      </w:r>
    </w:p>
    <w:p>
      <w:pPr>
        <w:pStyle w:val="yHeading5"/>
        <w:ind w:left="890" w:hanging="890"/>
        <w:outlineLvl w:val="9"/>
      </w:pPr>
      <w:bookmarkStart w:id="213" w:name="_Toc378262222"/>
      <w:bookmarkStart w:id="214" w:name="_Toc425946822"/>
      <w:r>
        <w:rPr>
          <w:rStyle w:val="CharSClsNo"/>
        </w:rPr>
        <w:t>1</w:t>
      </w:r>
      <w:r>
        <w:t>.</w:t>
      </w:r>
      <w:r>
        <w:tab/>
        <w:t>Establishment of registry and appointment of Registrar</w:t>
      </w:r>
      <w:bookmarkEnd w:id="213"/>
      <w:bookmarkEnd w:id="214"/>
    </w:p>
    <w:p>
      <w:pPr>
        <w:pStyle w:val="ySubsection"/>
      </w:pPr>
      <w:r>
        <w:tab/>
      </w:r>
      <w:r>
        <w:tab/>
        <w:t>The Port Authority may establish at the office of the Port Authority a registry for the inscription of stock created and issued under the authority of this Act and appoint an officer of the Port Authority to be registrar of stock.</w:t>
      </w:r>
    </w:p>
    <w:p>
      <w:pPr>
        <w:pStyle w:val="yHeading5"/>
        <w:ind w:left="890" w:hanging="890"/>
        <w:outlineLvl w:val="9"/>
      </w:pPr>
      <w:bookmarkStart w:id="215" w:name="_Toc378262223"/>
      <w:bookmarkStart w:id="216" w:name="_Toc425946823"/>
      <w:r>
        <w:rPr>
          <w:rStyle w:val="CharSClsNo"/>
        </w:rPr>
        <w:t>2</w:t>
      </w:r>
      <w:r>
        <w:t>.</w:t>
      </w:r>
      <w:r>
        <w:tab/>
        <w:t>Parcels of stock</w:t>
      </w:r>
      <w:bookmarkEnd w:id="215"/>
      <w:bookmarkEnd w:id="216"/>
    </w:p>
    <w:p>
      <w:pPr>
        <w:pStyle w:val="ySubsection"/>
      </w:pPr>
      <w:r>
        <w:tab/>
      </w:r>
      <w:r>
        <w:tab/>
        <w:t>Stock may be sold by the Port Authority for ready money in parcels or amounts of twenty dollars or some multiple of twenty dollars.</w:t>
      </w:r>
    </w:p>
    <w:p>
      <w:pPr>
        <w:pStyle w:val="yHeading5"/>
        <w:ind w:left="890" w:hanging="890"/>
        <w:outlineLvl w:val="9"/>
      </w:pPr>
      <w:bookmarkStart w:id="217" w:name="_Toc378262224"/>
      <w:bookmarkStart w:id="218" w:name="_Toc425946824"/>
      <w:r>
        <w:rPr>
          <w:rStyle w:val="CharSClsNo"/>
        </w:rPr>
        <w:t>3</w:t>
      </w:r>
      <w:r>
        <w:t>.</w:t>
      </w:r>
      <w:r>
        <w:tab/>
        <w:t>Stock ledgers</w:t>
      </w:r>
      <w:bookmarkEnd w:id="217"/>
      <w:bookmarkEnd w:id="218"/>
    </w:p>
    <w:p>
      <w:pPr>
        <w:pStyle w:val="ySubsection"/>
      </w:pPr>
      <w:r>
        <w:tab/>
        <w:t>(1)</w:t>
      </w:r>
      <w:r>
        <w:tab/>
        <w:t>The Port Authority shall cause to be provided and kept at the office of the Port Authority books to be called stock ledgers.</w:t>
      </w:r>
    </w:p>
    <w:p>
      <w:pPr>
        <w:pStyle w:val="ySubsection"/>
      </w:pPr>
      <w:r>
        <w:tab/>
        <w:t>(2)</w:t>
      </w:r>
      <w:r>
        <w:tab/>
        <w:t>All stock issued shall be inscribed in the stock ledgers by entering the names of the purchasers of stock and the amount of stock purchased by them respectively.</w:t>
      </w:r>
    </w:p>
    <w:p>
      <w:pPr>
        <w:pStyle w:val="ySubsection"/>
      </w:pPr>
      <w:r>
        <w:tab/>
        <w:t>(3)</w:t>
      </w:r>
      <w:r>
        <w:tab/>
        <w:t>In the case of joint purchasers of stock the names of not more than four of them shall be inscribed as the joint purchasers.</w:t>
      </w:r>
    </w:p>
    <w:p>
      <w:pPr>
        <w:pStyle w:val="ySubsection"/>
      </w:pPr>
      <w:r>
        <w:tab/>
        <w:t>(4)</w:t>
      </w:r>
      <w:r>
        <w:tab/>
        <w:t>The stock ledgers are evidence of any matters appearing therein and required or authorized by or under this Act to be inserted therein.</w:t>
      </w:r>
    </w:p>
    <w:p>
      <w:pPr>
        <w:pStyle w:val="yHeading5"/>
        <w:ind w:left="890" w:hanging="890"/>
        <w:outlineLvl w:val="9"/>
      </w:pPr>
      <w:bookmarkStart w:id="219" w:name="_Toc378262225"/>
      <w:bookmarkStart w:id="220" w:name="_Toc425946825"/>
      <w:r>
        <w:rPr>
          <w:rStyle w:val="CharSClsNo"/>
        </w:rPr>
        <w:t>4</w:t>
      </w:r>
      <w:r>
        <w:t>.</w:t>
      </w:r>
      <w:r>
        <w:tab/>
        <w:t>Stock how transferable</w:t>
      </w:r>
      <w:bookmarkEnd w:id="219"/>
      <w:bookmarkEnd w:id="220"/>
    </w:p>
    <w:p>
      <w:pPr>
        <w:pStyle w:val="ySubsection"/>
      </w:pPr>
      <w:r>
        <w:tab/>
        <w:t>(1)</w:t>
      </w:r>
      <w:r>
        <w:tab/>
        <w:t>Stock or any share therein is transferable in the manner prescribed by the regulations from one person to another by instrument in the form so prescribed and not otherwise.</w:t>
      </w:r>
    </w:p>
    <w:p>
      <w:pPr>
        <w:pStyle w:val="ySubsection"/>
      </w:pPr>
      <w:r>
        <w:tab/>
        <w:t>(2)</w:t>
      </w:r>
      <w:r>
        <w:tab/>
        <w:t>A person is not entitled or allowed to transfer any fraction of a dollar or any smaller sum than twenty dollars unless that smaller sum is the full amount of the balance standing to his credit in the stock ledger.</w:t>
      </w:r>
    </w:p>
    <w:p>
      <w:pPr>
        <w:pStyle w:val="ySubsection"/>
      </w:pPr>
      <w:r>
        <w:tab/>
        <w:t>(3)</w:t>
      </w:r>
      <w:r>
        <w:tab/>
        <w:t>An instrument of transfer of the stock or any share therein shall be executed by all parties and the signatures to the instrument shall be attested in the manner prescribed by the regulations.</w:t>
      </w:r>
    </w:p>
    <w:p>
      <w:pPr>
        <w:pStyle w:val="ySubsection"/>
      </w:pPr>
      <w:r>
        <w:tab/>
        <w:t>(4)</w:t>
      </w:r>
      <w: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ind w:left="890" w:hanging="890"/>
        <w:outlineLvl w:val="9"/>
      </w:pPr>
      <w:bookmarkStart w:id="221" w:name="_Toc378262226"/>
      <w:bookmarkStart w:id="222" w:name="_Toc425946826"/>
      <w:r>
        <w:rPr>
          <w:rStyle w:val="CharSClsNo"/>
        </w:rPr>
        <w:t>5</w:t>
      </w:r>
      <w:r>
        <w:t>.</w:t>
      </w:r>
      <w:r>
        <w:tab/>
        <w:t>Application for transmission (other than transfer) of stock</w:t>
      </w:r>
      <w:bookmarkEnd w:id="221"/>
      <w:bookmarkEnd w:id="222"/>
    </w:p>
    <w:p>
      <w:pPr>
        <w:pStyle w:val="ySubsection"/>
      </w:pPr>
      <w:r>
        <w:tab/>
        <w:t>(1)</w:t>
      </w:r>
      <w: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pPr>
      <w:r>
        <w:tab/>
        <w:t>(2)</w:t>
      </w:r>
      <w:r>
        <w:tab/>
        <w:t>An application for transmission shall be verified by statutory declaration or in such other manner as is so prescribed, and — </w:t>
      </w:r>
    </w:p>
    <w:p>
      <w:pPr>
        <w:pStyle w:val="yIndenta"/>
      </w:pPr>
      <w:r>
        <w:tab/>
        <w:t>(a)</w:t>
      </w:r>
      <w: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pPr>
      <w:r>
        <w:tab/>
        <w:t>(b)</w:t>
      </w:r>
      <w:r>
        <w:tab/>
        <w:t>in the case of a transmission consequent on bankruptcy or insolvency — an office copy of the adjudication or order of sequestration shall be delivered to the registrar.</w:t>
      </w:r>
    </w:p>
    <w:p>
      <w:pPr>
        <w:pStyle w:val="ySubsection"/>
      </w:pPr>
      <w:r>
        <w:tab/>
        <w:t>(3)</w:t>
      </w:r>
      <w: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ind w:left="890" w:hanging="890"/>
        <w:outlineLvl w:val="9"/>
      </w:pPr>
      <w:bookmarkStart w:id="223" w:name="_Toc378262227"/>
      <w:bookmarkStart w:id="224" w:name="_Toc425946827"/>
      <w:r>
        <w:rPr>
          <w:rStyle w:val="CharSClsNo"/>
        </w:rPr>
        <w:t>6</w:t>
      </w:r>
      <w:r>
        <w:t>.</w:t>
      </w:r>
      <w:r>
        <w:tab/>
        <w:t>Power of Attorney</w:t>
      </w:r>
      <w:bookmarkEnd w:id="223"/>
      <w:bookmarkEnd w:id="224"/>
    </w:p>
    <w:p>
      <w:pPr>
        <w:pStyle w:val="ySubsection"/>
      </w:pPr>
      <w:r>
        <w:tab/>
        <w:t>(1)</w:t>
      </w:r>
      <w: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pPr>
      <w:r>
        <w:tab/>
        <w:t>(2)</w:t>
      </w:r>
      <w: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pPr>
      <w:bookmarkStart w:id="225" w:name="_Toc378262228"/>
      <w:bookmarkStart w:id="226" w:name="_Toc425946828"/>
      <w:r>
        <w:rPr>
          <w:rStyle w:val="CharSClsNo"/>
        </w:rPr>
        <w:t>7</w:t>
      </w:r>
      <w:r>
        <w:t>.</w:t>
      </w:r>
      <w:r>
        <w:tab/>
        <w:t>When transfer books to be closed and ledgers balanced</w:t>
      </w:r>
      <w:bookmarkEnd w:id="225"/>
      <w:bookmarkEnd w:id="226"/>
    </w:p>
    <w:p>
      <w:pPr>
        <w:pStyle w:val="ySubsection"/>
      </w:pPr>
      <w:r>
        <w:tab/>
        <w:t>(1)</w:t>
      </w:r>
      <w:r>
        <w:tab/>
        <w:t>An instrument of transfer of stock or of any part thereof shall not be registered on any Saturday or holiday be or within the period of fourteen days or within such period (not exceeding twenty</w:t>
      </w:r>
      <w:r>
        <w:noBreakHyphen/>
        <w:t>one days) as is prescribed, next before any of the days on which the interest thereon is payable.</w:t>
      </w:r>
    </w:p>
    <w:p>
      <w:pPr>
        <w:pStyle w:val="ySubsection"/>
      </w:pPr>
      <w:r>
        <w:tab/>
        <w:t>(2)</w:t>
      </w:r>
      <w:r>
        <w:tab/>
        <w:t>During the periods referred to in subclause (1) of this clause the Port Authority shall cause the amount of the stock respectively standing to the credit of the several registered owners thereof to be ascertained and the balances to be struck and carried forward in the proper stock ledger.</w:t>
      </w:r>
    </w:p>
    <w:p>
      <w:pPr>
        <w:pStyle w:val="ySubsection"/>
      </w:pPr>
      <w:r>
        <w:tab/>
        <w:t>(3)</w:t>
      </w:r>
      <w:r>
        <w:tab/>
        <w:t>An instrument of transfer of stock or of any part thereof shall not be registered during the period of twenty</w:t>
      </w:r>
      <w:r>
        <w:noBreakHyphen/>
        <w:t>one days immediately preceding the date of maturity of stock.</w:t>
      </w:r>
    </w:p>
    <w:p>
      <w:pPr>
        <w:pStyle w:val="yHeading5"/>
        <w:ind w:left="890" w:hanging="890"/>
        <w:outlineLvl w:val="9"/>
      </w:pPr>
      <w:bookmarkStart w:id="227" w:name="_Toc378262229"/>
      <w:bookmarkStart w:id="228" w:name="_Toc425946829"/>
      <w:r>
        <w:rPr>
          <w:rStyle w:val="CharSClsNo"/>
        </w:rPr>
        <w:t>8</w:t>
      </w:r>
      <w:r>
        <w:t>.</w:t>
      </w:r>
      <w:r>
        <w:tab/>
        <w:t>Receipt of registered stockholders to discharge without regard to trust</w:t>
      </w:r>
      <w:bookmarkEnd w:id="227"/>
      <w:bookmarkEnd w:id="228"/>
    </w:p>
    <w:p>
      <w:pPr>
        <w:pStyle w:val="ySubsection"/>
      </w:pPr>
      <w:r>
        <w:tab/>
        <w:t>(1)</w:t>
      </w:r>
      <w:r>
        <w:tab/>
        <w:t>The receipt of the person in whose name stock stands in the stock ledgers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pPr>
      <w:r>
        <w:tab/>
        <w:t>(2)</w:t>
      </w:r>
      <w: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ScheduleHeading"/>
        <w:sectPr>
          <w:headerReference w:type="even" r:id="rId27"/>
          <w:headerReference w:type="default" r:id="rId28"/>
          <w:pgSz w:w="11907" w:h="16840" w:code="9"/>
          <w:pgMar w:top="2376" w:right="2405" w:bottom="3542" w:left="2405" w:header="706" w:footer="3380" w:gutter="0"/>
          <w:cols w:space="720"/>
          <w:noEndnote/>
          <w:docGrid w:linePitch="299"/>
        </w:sectPr>
      </w:pPr>
    </w:p>
    <w:p>
      <w:pPr>
        <w:pStyle w:val="yScheduleHeading"/>
      </w:pPr>
      <w:bookmarkStart w:id="229" w:name="_Toc378262230"/>
      <w:bookmarkStart w:id="230" w:name="_Toc425946830"/>
      <w:r>
        <w:rPr>
          <w:rStyle w:val="CharSchNo"/>
        </w:rPr>
        <w:t>Third Schedule</w:t>
      </w:r>
      <w:bookmarkEnd w:id="229"/>
      <w:bookmarkEnd w:id="230"/>
    </w:p>
    <w:p>
      <w:pPr>
        <w:pStyle w:val="MiscellaneousHeading"/>
      </w:pPr>
      <w:r>
        <w:t>The Pilotage Area</w:t>
      </w:r>
    </w:p>
    <w:p>
      <w:pPr>
        <w:pStyle w:val="ySubsection"/>
      </w:pPr>
      <w:r>
        <w:tab/>
      </w:r>
      <w:r>
        <w:tab/>
        <w:t>All that area of the sea beyond the boundaries of the Port that is within a radius of 20 nautical miles, or such greater distance as may be prescribed by regulations, from the Hunt Point Beacon.</w:t>
      </w:r>
    </w:p>
    <w:p>
      <w:pPr>
        <w:pStyle w:val="yFootnotesection"/>
      </w:pPr>
      <w:r>
        <w:tab/>
        <w:t>[Third Schedule inserted by No. 36 of 1986 s.10.]</w:t>
      </w:r>
    </w:p>
    <w:p>
      <w:pPr>
        <w:sectPr>
          <w:headerReference w:type="even" r:id="rId29"/>
          <w:headerReference w:type="default" r:id="rId30"/>
          <w:pgSz w:w="11907" w:h="16840" w:code="9"/>
          <w:pgMar w:top="2376" w:right="2405" w:bottom="3542" w:left="2405" w:header="706" w:footer="3380" w:gutter="0"/>
          <w:cols w:space="720"/>
          <w:noEndnote/>
          <w:docGrid w:linePitch="299"/>
        </w:sectPr>
      </w:pPr>
    </w:p>
    <w:p>
      <w:pPr>
        <w:pStyle w:val="nHeading2"/>
      </w:pPr>
      <w:bookmarkStart w:id="231" w:name="_Toc378262231"/>
      <w:bookmarkStart w:id="232" w:name="_Toc425946831"/>
      <w:r>
        <w:t>Notes</w:t>
      </w:r>
      <w:bookmarkEnd w:id="231"/>
      <w:bookmarkEnd w:id="232"/>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Port Hedland Port Authority Act 1970</w:t>
      </w:r>
      <w:r>
        <w:rPr>
          <w:snapToGrid w:val="0"/>
        </w:rPr>
        <w:t xml:space="preserve"> and includes all amendments effected by the other Acts referred to in the following Table.</w:t>
      </w:r>
    </w:p>
    <w:p>
      <w:pPr>
        <w:pStyle w:val="nHeading3"/>
        <w:rPr>
          <w:snapToGrid w:val="0"/>
        </w:rPr>
      </w:pPr>
      <w:bookmarkStart w:id="233" w:name="_Toc378262232"/>
      <w:bookmarkStart w:id="234" w:name="_Toc425946832"/>
      <w:r>
        <w:rPr>
          <w:snapToGrid w:val="0"/>
        </w:rPr>
        <w:t>Compilation table</w:t>
      </w:r>
      <w:bookmarkEnd w:id="233"/>
      <w:bookmarkEnd w:id="2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Port Hedland Port Authority Act 1970</w:t>
            </w:r>
          </w:p>
        </w:tc>
        <w:tc>
          <w:tcPr>
            <w:tcW w:w="1134" w:type="dxa"/>
            <w:tcBorders>
              <w:top w:val="single" w:sz="8" w:space="0" w:color="auto"/>
            </w:tcBorders>
          </w:tcPr>
          <w:p>
            <w:pPr>
              <w:pStyle w:val="nTable"/>
              <w:spacing w:after="40"/>
            </w:pPr>
            <w:r>
              <w:t>30 of 1970</w:t>
            </w:r>
          </w:p>
        </w:tc>
        <w:tc>
          <w:tcPr>
            <w:tcW w:w="1134" w:type="dxa"/>
            <w:tcBorders>
              <w:top w:val="single" w:sz="8" w:space="0" w:color="auto"/>
            </w:tcBorders>
          </w:tcPr>
          <w:p>
            <w:pPr>
              <w:pStyle w:val="nTable"/>
              <w:spacing w:after="40"/>
            </w:pPr>
            <w:r>
              <w:t>20 May 1970</w:t>
            </w:r>
          </w:p>
        </w:tc>
        <w:tc>
          <w:tcPr>
            <w:tcW w:w="2551" w:type="dxa"/>
            <w:tcBorders>
              <w:top w:val="single" w:sz="8" w:space="0" w:color="auto"/>
            </w:tcBorders>
          </w:tcPr>
          <w:p>
            <w:pPr>
              <w:pStyle w:val="nTable"/>
              <w:spacing w:after="40"/>
            </w:pPr>
            <w:r>
              <w:t xml:space="preserve">15 Jun 1971 (see </w:t>
            </w:r>
            <w:r>
              <w:rPr>
                <w:i/>
              </w:rPr>
              <w:t>Gazette</w:t>
            </w:r>
            <w:r>
              <w:t xml:space="preserve"> 14 Jun 1971 p.2146)</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83 of 1973)</w:t>
            </w:r>
          </w:p>
        </w:tc>
        <w:tc>
          <w:tcPr>
            <w:tcW w:w="1134" w:type="dxa"/>
          </w:tcPr>
          <w:p>
            <w:pPr>
              <w:pStyle w:val="nTable"/>
              <w:spacing w:after="40"/>
            </w:pPr>
            <w:r>
              <w:t>4 Dec 1972</w:t>
            </w:r>
          </w:p>
        </w:tc>
        <w:tc>
          <w:tcPr>
            <w:tcW w:w="2551" w:type="dxa"/>
          </w:tcPr>
          <w:p>
            <w:pPr>
              <w:pStyle w:val="nTable"/>
              <w:spacing w:after="40"/>
            </w:pPr>
            <w:r>
              <w:t xml:space="preserve">24 May 1974 (see </w:t>
            </w:r>
            <w:r>
              <w:rPr>
                <w:i/>
              </w:rPr>
              <w:t>Gazette</w:t>
            </w:r>
            <w:r>
              <w:t xml:space="preserve"> 24 May 1974 p.1633)</w:t>
            </w:r>
          </w:p>
        </w:tc>
      </w:tr>
      <w:tr>
        <w:tc>
          <w:tcPr>
            <w:tcW w:w="2268" w:type="dxa"/>
          </w:tcPr>
          <w:p>
            <w:pPr>
              <w:pStyle w:val="nTable"/>
              <w:spacing w:after="40"/>
            </w:pP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p.2926)</w:t>
            </w:r>
          </w:p>
        </w:tc>
      </w:tr>
      <w:tr>
        <w:tc>
          <w:tcPr>
            <w:tcW w:w="2268" w:type="dxa"/>
          </w:tcPr>
          <w:p>
            <w:pPr>
              <w:pStyle w:val="nTable"/>
              <w:spacing w:after="40"/>
            </w:pPr>
          </w:p>
        </w:tc>
        <w:tc>
          <w:tcPr>
            <w:tcW w:w="1134" w:type="dxa"/>
          </w:tcPr>
          <w:p>
            <w:pPr>
              <w:pStyle w:val="nTable"/>
              <w:spacing w:after="40"/>
            </w:pPr>
            <w:r>
              <w:t>36 of 1986</w:t>
            </w:r>
          </w:p>
        </w:tc>
        <w:tc>
          <w:tcPr>
            <w:tcW w:w="1134" w:type="dxa"/>
          </w:tcPr>
          <w:p>
            <w:pPr>
              <w:pStyle w:val="nTable"/>
              <w:spacing w:after="40"/>
            </w:pPr>
            <w:r>
              <w:t>1 Aug 1986</w:t>
            </w:r>
          </w:p>
        </w:tc>
        <w:tc>
          <w:tcPr>
            <w:tcW w:w="2551" w:type="dxa"/>
          </w:tcPr>
          <w:p>
            <w:pPr>
              <w:pStyle w:val="nTable"/>
              <w:spacing w:after="40"/>
            </w:pPr>
            <w:r>
              <w:t xml:space="preserve">15 Aug 1986 (see </w:t>
            </w:r>
            <w:r>
              <w:rPr>
                <w:i/>
              </w:rPr>
              <w:t>Gazette</w:t>
            </w:r>
            <w:r>
              <w:t xml:space="preserve"> 15 Aug 1986 p.2926)</w:t>
            </w:r>
          </w:p>
        </w:tc>
      </w:tr>
      <w:tr>
        <w:tc>
          <w:tcPr>
            <w:tcW w:w="2268" w:type="dxa"/>
          </w:tcPr>
          <w:p>
            <w:pPr>
              <w:pStyle w:val="nTable"/>
              <w:spacing w:after="40"/>
            </w:pP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Sections 8, 14, 20, 26, 32 and 38 operative 1 Jul 1987 (see section 2):</w:t>
            </w:r>
            <w:r>
              <w:br/>
              <w:t>balance on assent</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keepNext/>
              <w:keepLines/>
              <w:spacing w:after="40"/>
              <w:rPr>
                <w:vertAlign w:val="superscript"/>
              </w:rPr>
            </w:pPr>
            <w:r>
              <w:rPr>
                <w:i/>
              </w:rPr>
              <w:t>Ports (Functions) Act 1993</w:t>
            </w:r>
            <w:r>
              <w:t>,</w:t>
            </w:r>
            <w:r>
              <w:br/>
              <w:t>sections 37 and 46</w:t>
            </w:r>
            <w:r>
              <w:rPr>
                <w:vertAlign w:val="superscript"/>
              </w:rPr>
              <w:t> 3, 4, 5</w:t>
            </w:r>
          </w:p>
        </w:tc>
        <w:tc>
          <w:tcPr>
            <w:tcW w:w="1134" w:type="dxa"/>
          </w:tcPr>
          <w:p>
            <w:pPr>
              <w:pStyle w:val="nTable"/>
              <w:keepNext/>
              <w:keepLines/>
              <w:spacing w:after="40"/>
            </w:pPr>
            <w:r>
              <w:t>46 of 1993</w:t>
            </w:r>
          </w:p>
        </w:tc>
        <w:tc>
          <w:tcPr>
            <w:tcW w:w="1134" w:type="dxa"/>
          </w:tcPr>
          <w:p>
            <w:pPr>
              <w:pStyle w:val="nTable"/>
              <w:keepNext/>
              <w:keepLines/>
              <w:spacing w:after="40"/>
            </w:pPr>
            <w:r>
              <w:t>20 Dec 1993</w:t>
            </w:r>
          </w:p>
        </w:tc>
        <w:tc>
          <w:tcPr>
            <w:tcW w:w="2551" w:type="dxa"/>
          </w:tcPr>
          <w:p>
            <w:pPr>
              <w:pStyle w:val="nTable"/>
              <w:keepNext/>
              <w:keepLines/>
              <w:spacing w:after="40"/>
            </w:pPr>
            <w:r>
              <w:t xml:space="preserve">15 Jun 1994 (see </w:t>
            </w:r>
            <w:r>
              <w:rPr>
                <w:i/>
              </w:rPr>
              <w:t>Gazette</w:t>
            </w:r>
            <w:r>
              <w:t xml:space="preserve"> 10 Jun 1994 p.2373)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sections 141 and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97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Port Authorities (Consequential Provisions) Act 1999</w:t>
            </w:r>
            <w:r>
              <w:t>,</w:t>
            </w:r>
          </w:p>
          <w:p>
            <w:pPr>
              <w:pStyle w:val="nTable"/>
              <w:spacing w:after="40"/>
              <w:rPr>
                <w:vertAlign w:val="superscript"/>
              </w:rPr>
            </w:pPr>
            <w:r>
              <w:t>Part 2 and Part 3 (other than section 16(2))</w:t>
            </w:r>
            <w:r>
              <w:rPr>
                <w:vertAlign w:val="superscript"/>
              </w:rPr>
              <w:t> 6</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97</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10 (No. 5 of 1999) as at 14 Aug 1999 (see s. 2 and 3)</w:t>
            </w:r>
          </w:p>
        </w:tc>
      </w:tr>
    </w:tbl>
    <w:p>
      <w:pPr>
        <w:pStyle w:val="nSubsection"/>
        <w:rPr>
          <w:snapToGrid w:val="0"/>
        </w:rPr>
      </w:pPr>
      <w:r>
        <w:rPr>
          <w:snapToGrid w:val="0"/>
          <w:vertAlign w:val="superscript"/>
        </w:rPr>
        <w:t>2</w:t>
      </w:r>
      <w:r>
        <w:rPr>
          <w:snapToGrid w:val="0"/>
        </w:rPr>
        <w:t xml:space="preserve"> </w:t>
      </w:r>
      <w:r>
        <w:rPr>
          <w:snapToGrid w:val="0"/>
        </w:rPr>
        <w:tab/>
        <w:t>Section 25 of No. 79 of 1986 reads as follows — </w:t>
      </w:r>
    </w:p>
    <w:p>
      <w:pPr>
        <w:pStyle w:val="MiscOpen"/>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keepNext/>
        <w:keepLines/>
        <w:ind w:left="459" w:hanging="459"/>
        <w:rPr>
          <w:snapToGrid w:val="0"/>
        </w:rPr>
      </w:pPr>
      <w:r>
        <w:rPr>
          <w:snapToGrid w:val="0"/>
          <w:vertAlign w:val="superscript"/>
        </w:rPr>
        <w:t>3</w:t>
      </w:r>
      <w:r>
        <w:rPr>
          <w:snapToGrid w:val="0"/>
        </w:rPr>
        <w:t xml:space="preserve"> </w:t>
      </w:r>
      <w:r>
        <w:rPr>
          <w:snapToGrid w:val="0"/>
        </w:rPr>
        <w:tab/>
        <w:t xml:space="preserve">Section 47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47.</w:t>
      </w:r>
      <w:r>
        <w:rPr>
          <w:snapToGrid w:val="0"/>
        </w:rPr>
        <w:tab/>
        <w:t>Validation (</w:t>
      </w:r>
      <w:r>
        <w:t>Port</w:t>
      </w:r>
      <w:r>
        <w:rPr>
          <w:snapToGrid w:val="0"/>
        </w:rPr>
        <w:t xml:space="preserve"> Hedland) </w:t>
      </w:r>
    </w:p>
    <w:p>
      <w:pPr>
        <w:pStyle w:val="nz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MiscClose"/>
        <w:rPr>
          <w:snapToGrid w:val="0"/>
        </w:rPr>
      </w:pPr>
      <w:r>
        <w:rPr>
          <w:snapToGrid w:val="0"/>
        </w:rPr>
        <w:t>”.</w:t>
      </w:r>
    </w:p>
    <w:p>
      <w:pPr>
        <w:pStyle w:val="nSubsection"/>
        <w:ind w:left="459" w:hanging="459"/>
        <w:rPr>
          <w:snapToGrid w:val="0"/>
          <w:vertAlign w:val="superscript"/>
        </w:rPr>
      </w:pPr>
      <w:r>
        <w:rPr>
          <w:snapToGrid w:val="0"/>
          <w:vertAlign w:val="superscript"/>
        </w:rPr>
        <w:t xml:space="preserve">4 </w:t>
      </w:r>
      <w:r>
        <w:rPr>
          <w:snapToGrid w:val="0"/>
          <w:vertAlign w:val="superscript"/>
        </w:rPr>
        <w:tab/>
        <w:t>Section 48 of the Ports (Functions) Act 1993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r>
      <w:r>
        <w:t>Harbour</w:t>
      </w:r>
      <w:r>
        <w:rPr>
          <w:snapToGrid w:val="0"/>
        </w:rPr>
        <w:t xml:space="preserve">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keepNext/>
      </w:pPr>
      <w:r>
        <w:rPr>
          <w:snapToGrid w:val="0"/>
          <w:vertAlign w:val="superscript"/>
        </w:rPr>
        <w:t>6</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299"/>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styleref CharSchno</w:instrTex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431" w:type="dxa"/>
        </w:tcPr>
        <w:p>
          <w:pPr>
            <w:pStyle w:val="Header"/>
            <w:spacing w:before="40"/>
          </w:pPr>
        </w:p>
      </w:tc>
    </w:tr>
    <w:tr>
      <w:tc>
        <w:tcPr>
          <w:tcW w:w="1832" w:type="dxa"/>
        </w:tcPr>
        <w:p>
          <w:pPr>
            <w:pStyle w:val="Header"/>
            <w:spacing w:before="40"/>
          </w:pPr>
          <w:r>
            <w:rPr>
              <w:b/>
            </w:rPr>
            <w:fldChar w:fldCharType="begin"/>
          </w:r>
          <w:r>
            <w:rPr>
              <w:b/>
            </w:rPr>
            <w:instrText xml:space="preserve"> STYLEREF CharSDivNo \* charformat</w:instrText>
          </w:r>
          <w:r>
            <w:rPr>
              <w:b/>
            </w:rPr>
            <w:fldChar w:fldCharType="end"/>
          </w:r>
        </w:p>
      </w:tc>
      <w:tc>
        <w:tcPr>
          <w:tcW w:w="5431" w:type="dxa"/>
        </w:tcPr>
        <w:p>
          <w:pPr>
            <w:pStyle w:val="Header"/>
            <w:spacing w:before="40"/>
          </w:pPr>
          <w:r>
            <w:fldChar w:fldCharType="begin"/>
          </w:r>
          <w:r>
            <w:instrText xml:space="preserve"> styleref CharSDivText </w:instrText>
          </w:r>
          <w:r>
            <w:fldChar w:fldCharType="end"/>
          </w:r>
        </w:p>
      </w:tc>
    </w:tr>
    <w:tr>
      <w:tc>
        <w:tcPr>
          <w:tcW w:w="18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4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 xml:space="preserve"> styleref CharSchno </w:instrText>
          </w:r>
          <w:r>
            <w:rPr>
              <w:b/>
            </w:rPr>
            <w:fldChar w:fldCharType="separate"/>
          </w:r>
          <w:r>
            <w:rPr>
              <w:b/>
            </w:rPr>
            <w:t>Second Schedule</w: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Second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E81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2E4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907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301E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E80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60D5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0C6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467E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D22C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DE5C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A6C1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38"/>
    <w:docVar w:name="WAFER_20140123163504" w:val="RemoveTocBookmarks,RemoveUnusedBookmarks,RemoveLanguageTags,UsedStyles,ResetPageSize,UpdateArrangement"/>
    <w:docVar w:name="WAFER_20140123163504_GUID" w:val="2a97e2bf-339f-4e83-81d4-3678b1140f04"/>
    <w:docVar w:name="WAFER_20140123163535" w:val="RemoveTocBookmarks,RemoveUnusedBookmarks,RemoveLanguageTags,UsedStyles,ResetPageSize,UpdateArrangement"/>
    <w:docVar w:name="WAFER_20140123163535_GUID" w:val="cf987772-38a9-47aa-a042-5cd33b1fefeb"/>
    <w:docVar w:name="WAFER_20140123173131" w:val="RemoveTocBookmarks,RunningHeaders"/>
    <w:docVar w:name="WAFER_20140123173131_GUID" w:val="33f220a3-6722-4dfe-af61-bfa77df5db4d"/>
    <w:docVar w:name="WAFER_20150729120712" w:val="ResetPageSize,UpdateArrangement,UpdateNTable"/>
    <w:docVar w:name="WAFER_20150729120712_GUID" w:val="a2d43b11-ba1e-4a88-a4ac-7ff62b8e3ade"/>
    <w:docVar w:name="WAFER_20151116132511" w:val="UpdateStyles,UsedStyles"/>
    <w:docVar w:name="WAFER_20151116132511_GUID" w:val="de70f696-47eb-4f20-84de-a731e7c29dc6"/>
    <w:docVar w:name="WAFER_20151201103638" w:val="RemoveTrackChanges"/>
    <w:docVar w:name="WAFER_20151201103638_GUID" w:val="6e380053-1789-47f8-9127-b09818bcc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4183">
      <w:bodyDiv w:val="1"/>
      <w:marLeft w:val="0"/>
      <w:marRight w:val="0"/>
      <w:marTop w:val="0"/>
      <w:marBottom w:val="0"/>
      <w:divBdr>
        <w:top w:val="none" w:sz="0" w:space="0" w:color="auto"/>
        <w:left w:val="none" w:sz="0" w:space="0" w:color="auto"/>
        <w:bottom w:val="none" w:sz="0" w:space="0" w:color="auto"/>
        <w:right w:val="none" w:sz="0" w:space="0" w:color="auto"/>
      </w:divBdr>
    </w:div>
    <w:div w:id="17067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16736</Words>
  <Characters>78664</Characters>
  <Application>Microsoft Office Word</Application>
  <DocSecurity>0</DocSecurity>
  <Lines>2070</Lines>
  <Paragraphs>1014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Act 1970 - 00-s0-06</dc:title>
  <dc:subject/>
  <dc:creator/>
  <cp:keywords/>
  <dc:description/>
  <cp:lastModifiedBy>svcMRProcess</cp:lastModifiedBy>
  <cp:revision>4</cp:revision>
  <cp:lastPrinted>2006-04-18T03:55:00Z</cp:lastPrinted>
  <dcterms:created xsi:type="dcterms:W3CDTF">2018-09-06T18:40:00Z</dcterms:created>
  <dcterms:modified xsi:type="dcterms:W3CDTF">2018-09-06T18:40:00Z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1970</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00-s0-06</vt:lpwstr>
  </property>
  <property fmtid="{D5CDD505-2E9C-101B-9397-08002B2CF9AE}" pid="7" name="Status">
    <vt:lpwstr>NIF</vt:lpwstr>
  </property>
</Properties>
</file>