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Ports (Functions) Act 1993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Ports (Functions) Act 1993</w:t>
      </w:r>
      <w:r>
        <w:fldChar w:fldCharType="end"/>
      </w:r>
    </w:p>
    <w:p>
      <w:pPr>
        <w:pStyle w:val="Arrangement"/>
      </w:pPr>
      <w:r>
        <w:t>CONTENTS</w:t>
      </w:r>
    </w:p>
    <w:p>
      <w:pPr>
        <w:pStyle w:val="TOC2"/>
        <w:tabs>
          <w:tab w:val="right" w:leader="dot" w:pos="7086"/>
        </w:tabs>
        <w:rPr>
          <w:noProof/>
        </w:rPr>
      </w:pPr>
      <w:r>
        <w:fldChar w:fldCharType="begin"/>
      </w:r>
      <w:r>
        <w:instrText xml:space="preserve"> TOC \o "1-3" \t "Heading 5,4" \n 2-3 </w:instrText>
      </w:r>
      <w:r>
        <w:fldChar w:fldCharType="separate"/>
      </w:r>
      <w:r>
        <w:rPr>
          <w:noProof/>
        </w:rPr>
        <w:t>Part 1 — Preliminary</w:t>
      </w:r>
    </w:p>
    <w:p>
      <w:pPr>
        <w:pStyle w:val="TOC4"/>
        <w:tabs>
          <w:tab w:val="clear" w:pos="1134"/>
          <w:tab w:val="left" w:pos="1135"/>
        </w:tabs>
        <w:rPr>
          <w:noProof/>
        </w:rPr>
      </w:pP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_Toc459693943 \h </w:instrText>
      </w:r>
      <w:r>
        <w:rPr>
          <w:noProof/>
        </w:rPr>
      </w:r>
      <w:r>
        <w:rPr>
          <w:noProof/>
        </w:rPr>
        <w:fldChar w:fldCharType="separate"/>
      </w:r>
      <w:r>
        <w:rPr>
          <w:noProof/>
        </w:rPr>
        <w:t>2</w:t>
      </w:r>
      <w:r>
        <w:rPr>
          <w:noProof/>
        </w:rPr>
        <w:fldChar w:fldCharType="end"/>
      </w:r>
    </w:p>
    <w:p>
      <w:pPr>
        <w:pStyle w:val="TOC4"/>
        <w:tabs>
          <w:tab w:val="clear" w:pos="1134"/>
          <w:tab w:val="left" w:pos="1135"/>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_Toc459693944 \h </w:instrText>
      </w:r>
      <w:r>
        <w:rPr>
          <w:noProof/>
        </w:rPr>
      </w:r>
      <w:r>
        <w:rPr>
          <w:noProof/>
        </w:rPr>
        <w:fldChar w:fldCharType="separate"/>
      </w:r>
      <w:r>
        <w:rPr>
          <w:noProof/>
        </w:rPr>
        <w:t>2</w:t>
      </w:r>
      <w:r>
        <w:rPr>
          <w:noProof/>
        </w:rPr>
        <w:fldChar w:fldCharType="end"/>
      </w:r>
    </w:p>
    <w:p>
      <w:pPr>
        <w:pStyle w:val="TOC2"/>
        <w:tabs>
          <w:tab w:val="right" w:leader="dot" w:pos="7086"/>
        </w:tabs>
        <w:rPr>
          <w:noProof/>
        </w:rPr>
      </w:pPr>
      <w:r>
        <w:rPr>
          <w:noProof/>
        </w:rPr>
        <w:t>Part 2 — Port authorities</w:t>
      </w:r>
    </w:p>
    <w:p>
      <w:pPr>
        <w:pStyle w:val="TOC3"/>
        <w:tabs>
          <w:tab w:val="right" w:leader="dot" w:pos="7086"/>
        </w:tabs>
        <w:rPr>
          <w:noProof/>
        </w:rPr>
      </w:pPr>
      <w:r>
        <w:rPr>
          <w:noProof/>
        </w:rPr>
        <w:t>Division 1</w:t>
      </w:r>
      <w:r>
        <w:rPr>
          <w:noProof/>
          <w:snapToGrid w:val="0"/>
        </w:rPr>
        <w:t> — </w:t>
      </w:r>
      <w:r>
        <w:rPr>
          <w:noProof/>
        </w:rPr>
        <w:t>Preliminary</w:t>
      </w:r>
    </w:p>
    <w:p>
      <w:pPr>
        <w:pStyle w:val="TOC4"/>
        <w:tabs>
          <w:tab w:val="clear" w:pos="1134"/>
          <w:tab w:val="left" w:pos="1135"/>
        </w:tabs>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_Toc459693945 \h </w:instrText>
      </w:r>
      <w:r>
        <w:rPr>
          <w:noProof/>
        </w:rPr>
      </w:r>
      <w:r>
        <w:rPr>
          <w:noProof/>
        </w:rPr>
        <w:fldChar w:fldCharType="separate"/>
      </w:r>
      <w:r>
        <w:rPr>
          <w:noProof/>
        </w:rPr>
        <w:t>3</w:t>
      </w:r>
      <w:r>
        <w:rPr>
          <w:noProof/>
        </w:rPr>
        <w:fldChar w:fldCharType="end"/>
      </w:r>
    </w:p>
    <w:p>
      <w:pPr>
        <w:pStyle w:val="TOC4"/>
        <w:tabs>
          <w:tab w:val="clear" w:pos="1134"/>
          <w:tab w:val="left" w:pos="1135"/>
        </w:tabs>
        <w:rPr>
          <w:noProof/>
        </w:rPr>
      </w:pPr>
      <w:r>
        <w:rPr>
          <w:noProof/>
        </w:rPr>
        <w:t>4</w:t>
      </w:r>
      <w:r>
        <w:rPr>
          <w:noProof/>
          <w:snapToGrid w:val="0"/>
        </w:rPr>
        <w:t>.</w:t>
      </w:r>
      <w:r>
        <w:rPr>
          <w:noProof/>
        </w:rPr>
        <w:tab/>
      </w:r>
      <w:r>
        <w:rPr>
          <w:noProof/>
          <w:snapToGrid w:val="0"/>
        </w:rPr>
        <w:t>Relationship with port authority Acts</w:t>
      </w:r>
      <w:r>
        <w:rPr>
          <w:noProof/>
        </w:rPr>
        <w:tab/>
      </w:r>
      <w:r>
        <w:rPr>
          <w:noProof/>
        </w:rPr>
        <w:fldChar w:fldCharType="begin"/>
      </w:r>
      <w:r>
        <w:rPr>
          <w:noProof/>
        </w:rPr>
        <w:instrText xml:space="preserve"> PAGEREF _Toc459693946 \h </w:instrText>
      </w:r>
      <w:r>
        <w:rPr>
          <w:noProof/>
        </w:rPr>
      </w:r>
      <w:r>
        <w:rPr>
          <w:noProof/>
        </w:rPr>
        <w:fldChar w:fldCharType="separate"/>
      </w:r>
      <w:r>
        <w:rPr>
          <w:noProof/>
        </w:rPr>
        <w:t>3</w:t>
      </w:r>
      <w:r>
        <w:rPr>
          <w:noProof/>
        </w:rPr>
        <w:fldChar w:fldCharType="end"/>
      </w:r>
    </w:p>
    <w:p>
      <w:pPr>
        <w:pStyle w:val="TOC3"/>
        <w:tabs>
          <w:tab w:val="right" w:leader="dot" w:pos="7086"/>
        </w:tabs>
        <w:rPr>
          <w:noProof/>
        </w:rPr>
      </w:pPr>
      <w:r>
        <w:rPr>
          <w:noProof/>
        </w:rPr>
        <w:t>Division 2</w:t>
      </w:r>
      <w:r>
        <w:rPr>
          <w:noProof/>
          <w:snapToGrid w:val="0"/>
        </w:rPr>
        <w:t> — </w:t>
      </w:r>
      <w:r>
        <w:rPr>
          <w:noProof/>
        </w:rPr>
        <w:t>Relationship with the Crown</w:t>
      </w:r>
    </w:p>
    <w:p>
      <w:pPr>
        <w:pStyle w:val="TOC4"/>
        <w:tabs>
          <w:tab w:val="clear" w:pos="1134"/>
          <w:tab w:val="left" w:pos="1135"/>
        </w:tabs>
        <w:rPr>
          <w:noProof/>
        </w:rPr>
      </w:pPr>
      <w:r>
        <w:rPr>
          <w:noProof/>
        </w:rPr>
        <w:t>5</w:t>
      </w:r>
      <w:r>
        <w:rPr>
          <w:noProof/>
          <w:snapToGrid w:val="0"/>
        </w:rPr>
        <w:t>.</w:t>
      </w:r>
      <w:r>
        <w:rPr>
          <w:noProof/>
        </w:rPr>
        <w:tab/>
      </w:r>
      <w:r>
        <w:rPr>
          <w:noProof/>
          <w:snapToGrid w:val="0"/>
        </w:rPr>
        <w:t>Port authorities are agents of the Crown</w:t>
      </w:r>
      <w:r>
        <w:rPr>
          <w:noProof/>
        </w:rPr>
        <w:tab/>
      </w:r>
      <w:r>
        <w:rPr>
          <w:noProof/>
        </w:rPr>
        <w:fldChar w:fldCharType="begin"/>
      </w:r>
      <w:r>
        <w:rPr>
          <w:noProof/>
        </w:rPr>
        <w:instrText xml:space="preserve"> PAGEREF _Toc459693947 \h </w:instrText>
      </w:r>
      <w:r>
        <w:rPr>
          <w:noProof/>
        </w:rPr>
      </w:r>
      <w:r>
        <w:rPr>
          <w:noProof/>
        </w:rPr>
        <w:fldChar w:fldCharType="separate"/>
      </w:r>
      <w:r>
        <w:rPr>
          <w:noProof/>
        </w:rPr>
        <w:t>4</w:t>
      </w:r>
      <w:r>
        <w:rPr>
          <w:noProof/>
        </w:rPr>
        <w:fldChar w:fldCharType="end"/>
      </w:r>
    </w:p>
    <w:p>
      <w:pPr>
        <w:pStyle w:val="TOC4"/>
        <w:tabs>
          <w:tab w:val="clear" w:pos="1134"/>
          <w:tab w:val="left" w:pos="1135"/>
        </w:tabs>
        <w:rPr>
          <w:noProof/>
        </w:rPr>
      </w:pPr>
      <w:r>
        <w:rPr>
          <w:noProof/>
        </w:rPr>
        <w:t>6</w:t>
      </w:r>
      <w:r>
        <w:rPr>
          <w:noProof/>
          <w:snapToGrid w:val="0"/>
        </w:rPr>
        <w:t>.</w:t>
      </w:r>
      <w:r>
        <w:rPr>
          <w:noProof/>
        </w:rPr>
        <w:tab/>
      </w:r>
      <w:r>
        <w:rPr>
          <w:noProof/>
          <w:snapToGrid w:val="0"/>
        </w:rPr>
        <w:t>Minister may give directions</w:t>
      </w:r>
      <w:r>
        <w:rPr>
          <w:noProof/>
        </w:rPr>
        <w:tab/>
      </w:r>
      <w:r>
        <w:rPr>
          <w:noProof/>
        </w:rPr>
        <w:fldChar w:fldCharType="begin"/>
      </w:r>
      <w:r>
        <w:rPr>
          <w:noProof/>
        </w:rPr>
        <w:instrText xml:space="preserve"> PAGEREF _Toc459693948 \h </w:instrText>
      </w:r>
      <w:r>
        <w:rPr>
          <w:noProof/>
        </w:rPr>
      </w:r>
      <w:r>
        <w:rPr>
          <w:noProof/>
        </w:rPr>
        <w:fldChar w:fldCharType="separate"/>
      </w:r>
      <w:r>
        <w:rPr>
          <w:noProof/>
        </w:rPr>
        <w:t>4</w:t>
      </w:r>
      <w:r>
        <w:rPr>
          <w:noProof/>
        </w:rPr>
        <w:fldChar w:fldCharType="end"/>
      </w:r>
    </w:p>
    <w:p>
      <w:pPr>
        <w:pStyle w:val="TOC4"/>
        <w:tabs>
          <w:tab w:val="clear" w:pos="1134"/>
          <w:tab w:val="left" w:pos="1135"/>
        </w:tabs>
        <w:rPr>
          <w:noProof/>
        </w:rPr>
      </w:pPr>
      <w:r>
        <w:rPr>
          <w:noProof/>
        </w:rPr>
        <w:t>7</w:t>
      </w:r>
      <w:r>
        <w:rPr>
          <w:noProof/>
          <w:snapToGrid w:val="0"/>
        </w:rPr>
        <w:t>.</w:t>
      </w:r>
      <w:r>
        <w:rPr>
          <w:noProof/>
        </w:rPr>
        <w:tab/>
      </w:r>
      <w:r>
        <w:rPr>
          <w:noProof/>
          <w:snapToGrid w:val="0"/>
        </w:rPr>
        <w:t>Minister to have access to information</w:t>
      </w:r>
      <w:r>
        <w:rPr>
          <w:noProof/>
        </w:rPr>
        <w:tab/>
      </w:r>
      <w:r>
        <w:rPr>
          <w:noProof/>
        </w:rPr>
        <w:fldChar w:fldCharType="begin"/>
      </w:r>
      <w:r>
        <w:rPr>
          <w:noProof/>
        </w:rPr>
        <w:instrText xml:space="preserve"> PAGEREF _Toc459693949 \h </w:instrText>
      </w:r>
      <w:r>
        <w:rPr>
          <w:noProof/>
        </w:rPr>
      </w:r>
      <w:r>
        <w:rPr>
          <w:noProof/>
        </w:rPr>
        <w:fldChar w:fldCharType="separate"/>
      </w:r>
      <w:r>
        <w:rPr>
          <w:noProof/>
        </w:rPr>
        <w:t>4</w:t>
      </w:r>
      <w:r>
        <w:rPr>
          <w:noProof/>
        </w:rPr>
        <w:fldChar w:fldCharType="end"/>
      </w:r>
    </w:p>
    <w:p>
      <w:pPr>
        <w:pStyle w:val="TOC3"/>
        <w:tabs>
          <w:tab w:val="right" w:leader="dot" w:pos="7086"/>
        </w:tabs>
        <w:rPr>
          <w:noProof/>
        </w:rPr>
      </w:pPr>
      <w:r>
        <w:rPr>
          <w:noProof/>
        </w:rPr>
        <w:t>Division 3</w:t>
      </w:r>
      <w:r>
        <w:rPr>
          <w:noProof/>
          <w:snapToGrid w:val="0"/>
        </w:rPr>
        <w:t> — </w:t>
      </w:r>
      <w:r>
        <w:rPr>
          <w:noProof/>
        </w:rPr>
        <w:t>Additional provisions about members</w:t>
      </w:r>
    </w:p>
    <w:p>
      <w:pPr>
        <w:pStyle w:val="TOC4"/>
        <w:tabs>
          <w:tab w:val="clear" w:pos="1134"/>
          <w:tab w:val="left" w:pos="1135"/>
        </w:tabs>
        <w:rPr>
          <w:noProof/>
        </w:rPr>
      </w:pPr>
      <w:r>
        <w:rPr>
          <w:noProof/>
        </w:rPr>
        <w:t>8</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_Toc459693950 \h </w:instrText>
      </w:r>
      <w:r>
        <w:rPr>
          <w:noProof/>
        </w:rPr>
      </w:r>
      <w:r>
        <w:rPr>
          <w:noProof/>
        </w:rPr>
        <w:fldChar w:fldCharType="separate"/>
      </w:r>
      <w:r>
        <w:rPr>
          <w:noProof/>
        </w:rPr>
        <w:t>5</w:t>
      </w:r>
      <w:r>
        <w:rPr>
          <w:noProof/>
        </w:rPr>
        <w:fldChar w:fldCharType="end"/>
      </w:r>
    </w:p>
    <w:p>
      <w:pPr>
        <w:pStyle w:val="TOC4"/>
        <w:tabs>
          <w:tab w:val="clear" w:pos="1134"/>
          <w:tab w:val="left" w:pos="1135"/>
        </w:tabs>
        <w:rPr>
          <w:noProof/>
        </w:rPr>
      </w:pPr>
      <w:r>
        <w:rPr>
          <w:noProof/>
        </w:rPr>
        <w:t>10</w:t>
      </w:r>
      <w:r>
        <w:rPr>
          <w:noProof/>
          <w:snapToGrid w:val="0"/>
        </w:rPr>
        <w:t>.</w:t>
      </w:r>
      <w:r>
        <w:rPr>
          <w:noProof/>
        </w:rPr>
        <w:tab/>
      </w:r>
      <w:r>
        <w:rPr>
          <w:noProof/>
          <w:snapToGrid w:val="0"/>
        </w:rPr>
        <w:t>Disclosure of interests</w:t>
      </w:r>
      <w:r>
        <w:rPr>
          <w:noProof/>
        </w:rPr>
        <w:tab/>
      </w:r>
      <w:r>
        <w:rPr>
          <w:noProof/>
        </w:rPr>
        <w:fldChar w:fldCharType="begin"/>
      </w:r>
      <w:r>
        <w:rPr>
          <w:noProof/>
        </w:rPr>
        <w:instrText xml:space="preserve"> PAGEREF _Toc459693951 \h </w:instrText>
      </w:r>
      <w:r>
        <w:rPr>
          <w:noProof/>
        </w:rPr>
      </w:r>
      <w:r>
        <w:rPr>
          <w:noProof/>
        </w:rPr>
        <w:fldChar w:fldCharType="separate"/>
      </w:r>
      <w:r>
        <w:rPr>
          <w:noProof/>
        </w:rPr>
        <w:t>5</w:t>
      </w:r>
      <w:r>
        <w:rPr>
          <w:noProof/>
        </w:rPr>
        <w:fldChar w:fldCharType="end"/>
      </w:r>
    </w:p>
    <w:p>
      <w:pPr>
        <w:pStyle w:val="TOC4"/>
        <w:tabs>
          <w:tab w:val="clear" w:pos="1134"/>
          <w:tab w:val="left" w:pos="1135"/>
        </w:tabs>
        <w:rPr>
          <w:noProof/>
        </w:rPr>
      </w:pPr>
      <w:r>
        <w:rPr>
          <w:noProof/>
        </w:rPr>
        <w:t>11</w:t>
      </w:r>
      <w:r>
        <w:rPr>
          <w:noProof/>
          <w:snapToGrid w:val="0"/>
        </w:rPr>
        <w:t>.</w:t>
      </w:r>
      <w:r>
        <w:rPr>
          <w:noProof/>
        </w:rPr>
        <w:tab/>
      </w:r>
      <w:r>
        <w:rPr>
          <w:noProof/>
          <w:snapToGrid w:val="0"/>
        </w:rPr>
        <w:t>Continuation in office</w:t>
      </w:r>
      <w:r>
        <w:rPr>
          <w:noProof/>
        </w:rPr>
        <w:tab/>
      </w:r>
      <w:r>
        <w:rPr>
          <w:noProof/>
        </w:rPr>
        <w:fldChar w:fldCharType="begin"/>
      </w:r>
      <w:r>
        <w:rPr>
          <w:noProof/>
        </w:rPr>
        <w:instrText xml:space="preserve"> PAGEREF _Toc459693952 \h </w:instrText>
      </w:r>
      <w:r>
        <w:rPr>
          <w:noProof/>
        </w:rPr>
      </w:r>
      <w:r>
        <w:rPr>
          <w:noProof/>
        </w:rPr>
        <w:fldChar w:fldCharType="separate"/>
      </w:r>
      <w:r>
        <w:rPr>
          <w:noProof/>
        </w:rPr>
        <w:t>6</w:t>
      </w:r>
      <w:r>
        <w:rPr>
          <w:noProof/>
        </w:rPr>
        <w:fldChar w:fldCharType="end"/>
      </w:r>
    </w:p>
    <w:p>
      <w:pPr>
        <w:pStyle w:val="TOC3"/>
        <w:tabs>
          <w:tab w:val="right" w:leader="dot" w:pos="7086"/>
        </w:tabs>
        <w:rPr>
          <w:noProof/>
        </w:rPr>
      </w:pPr>
      <w:r>
        <w:rPr>
          <w:noProof/>
        </w:rPr>
        <w:t>Division 4</w:t>
      </w:r>
      <w:r>
        <w:rPr>
          <w:noProof/>
          <w:snapToGrid w:val="0"/>
        </w:rPr>
        <w:t> — </w:t>
      </w:r>
      <w:r>
        <w:rPr>
          <w:noProof/>
        </w:rPr>
        <w:t>Additional functions</w:t>
      </w:r>
    </w:p>
    <w:p>
      <w:pPr>
        <w:pStyle w:val="TOC4"/>
        <w:tabs>
          <w:tab w:val="clear" w:pos="1134"/>
          <w:tab w:val="left" w:pos="1135"/>
        </w:tabs>
        <w:rPr>
          <w:noProof/>
        </w:rPr>
      </w:pPr>
      <w:r>
        <w:rPr>
          <w:noProof/>
        </w:rPr>
        <w:t>12</w:t>
      </w:r>
      <w:r>
        <w:rPr>
          <w:noProof/>
          <w:snapToGrid w:val="0"/>
        </w:rPr>
        <w:t>.</w:t>
      </w:r>
      <w:r>
        <w:rPr>
          <w:noProof/>
        </w:rPr>
        <w:tab/>
      </w:r>
      <w:r>
        <w:rPr>
          <w:noProof/>
          <w:snapToGrid w:val="0"/>
        </w:rPr>
        <w:t>Provision of facilities and services</w:t>
      </w:r>
      <w:r>
        <w:rPr>
          <w:noProof/>
        </w:rPr>
        <w:tab/>
      </w:r>
      <w:r>
        <w:rPr>
          <w:noProof/>
        </w:rPr>
        <w:fldChar w:fldCharType="begin"/>
      </w:r>
      <w:r>
        <w:rPr>
          <w:noProof/>
        </w:rPr>
        <w:instrText xml:space="preserve"> PAGEREF _Toc459693953 \h </w:instrText>
      </w:r>
      <w:r>
        <w:rPr>
          <w:noProof/>
        </w:rPr>
      </w:r>
      <w:r>
        <w:rPr>
          <w:noProof/>
        </w:rPr>
        <w:fldChar w:fldCharType="separate"/>
      </w:r>
      <w:r>
        <w:rPr>
          <w:noProof/>
        </w:rPr>
        <w:t>6</w:t>
      </w:r>
      <w:r>
        <w:rPr>
          <w:noProof/>
        </w:rPr>
        <w:fldChar w:fldCharType="end"/>
      </w:r>
    </w:p>
    <w:p>
      <w:pPr>
        <w:pStyle w:val="TOC4"/>
        <w:tabs>
          <w:tab w:val="clear" w:pos="1134"/>
          <w:tab w:val="left" w:pos="1135"/>
        </w:tabs>
        <w:rPr>
          <w:noProof/>
        </w:rPr>
      </w:pPr>
      <w:r>
        <w:rPr>
          <w:noProof/>
        </w:rPr>
        <w:t>13</w:t>
      </w:r>
      <w:r>
        <w:rPr>
          <w:noProof/>
          <w:snapToGrid w:val="0"/>
        </w:rPr>
        <w:t>.</w:t>
      </w:r>
      <w:r>
        <w:rPr>
          <w:noProof/>
        </w:rPr>
        <w:tab/>
      </w:r>
      <w:r>
        <w:rPr>
          <w:noProof/>
          <w:snapToGrid w:val="0"/>
        </w:rPr>
        <w:t>Agreements and business arrangements</w:t>
      </w:r>
      <w:r>
        <w:rPr>
          <w:noProof/>
        </w:rPr>
        <w:tab/>
      </w:r>
      <w:r>
        <w:rPr>
          <w:noProof/>
        </w:rPr>
        <w:fldChar w:fldCharType="begin"/>
      </w:r>
      <w:r>
        <w:rPr>
          <w:noProof/>
        </w:rPr>
        <w:instrText xml:space="preserve"> PAGEREF _Toc459693954 \h </w:instrText>
      </w:r>
      <w:r>
        <w:rPr>
          <w:noProof/>
        </w:rPr>
      </w:r>
      <w:r>
        <w:rPr>
          <w:noProof/>
        </w:rPr>
        <w:fldChar w:fldCharType="separate"/>
      </w:r>
      <w:r>
        <w:rPr>
          <w:noProof/>
        </w:rPr>
        <w:t>8</w:t>
      </w:r>
      <w:r>
        <w:rPr>
          <w:noProof/>
        </w:rPr>
        <w:fldChar w:fldCharType="end"/>
      </w:r>
    </w:p>
    <w:p>
      <w:pPr>
        <w:pStyle w:val="TOC4"/>
        <w:tabs>
          <w:tab w:val="clear" w:pos="1134"/>
          <w:tab w:val="left" w:pos="1135"/>
        </w:tabs>
        <w:rPr>
          <w:noProof/>
        </w:rPr>
      </w:pPr>
      <w:r>
        <w:rPr>
          <w:noProof/>
        </w:rPr>
        <w:t>14</w:t>
      </w:r>
      <w:r>
        <w:rPr>
          <w:noProof/>
          <w:snapToGrid w:val="0"/>
        </w:rPr>
        <w:t>.</w:t>
      </w:r>
      <w:r>
        <w:rPr>
          <w:noProof/>
        </w:rPr>
        <w:tab/>
      </w:r>
      <w:r>
        <w:rPr>
          <w:noProof/>
          <w:snapToGrid w:val="0"/>
        </w:rPr>
        <w:t>Granting easements, leases or licences</w:t>
      </w:r>
      <w:r>
        <w:rPr>
          <w:noProof/>
        </w:rPr>
        <w:tab/>
      </w:r>
      <w:r>
        <w:rPr>
          <w:noProof/>
        </w:rPr>
        <w:fldChar w:fldCharType="begin"/>
      </w:r>
      <w:r>
        <w:rPr>
          <w:noProof/>
        </w:rPr>
        <w:instrText xml:space="preserve"> PAGEREF _Toc459693955 \h </w:instrText>
      </w:r>
      <w:r>
        <w:rPr>
          <w:noProof/>
        </w:rPr>
      </w:r>
      <w:r>
        <w:rPr>
          <w:noProof/>
        </w:rPr>
        <w:fldChar w:fldCharType="separate"/>
      </w:r>
      <w:r>
        <w:rPr>
          <w:noProof/>
        </w:rPr>
        <w:t>9</w:t>
      </w:r>
      <w:r>
        <w:rPr>
          <w:noProof/>
        </w:rPr>
        <w:fldChar w:fldCharType="end"/>
      </w:r>
    </w:p>
    <w:p>
      <w:pPr>
        <w:pStyle w:val="TOC3"/>
        <w:tabs>
          <w:tab w:val="right" w:leader="dot" w:pos="7086"/>
        </w:tabs>
        <w:rPr>
          <w:noProof/>
        </w:rPr>
      </w:pPr>
      <w:r>
        <w:rPr>
          <w:noProof/>
        </w:rPr>
        <w:t>Division 5</w:t>
      </w:r>
      <w:r>
        <w:rPr>
          <w:noProof/>
          <w:snapToGrid w:val="0"/>
        </w:rPr>
        <w:t> — </w:t>
      </w:r>
      <w:r>
        <w:rPr>
          <w:noProof/>
        </w:rPr>
        <w:t>Pilotage</w:t>
      </w:r>
    </w:p>
    <w:p>
      <w:pPr>
        <w:pStyle w:val="TOC4"/>
        <w:tabs>
          <w:tab w:val="clear" w:pos="1134"/>
          <w:tab w:val="left" w:pos="1135"/>
        </w:tabs>
        <w:rPr>
          <w:noProof/>
        </w:rPr>
      </w:pPr>
      <w:r>
        <w:rPr>
          <w:noProof/>
        </w:rPr>
        <w:t>15</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_Toc459693956 \h </w:instrText>
      </w:r>
      <w:r>
        <w:rPr>
          <w:noProof/>
        </w:rPr>
      </w:r>
      <w:r>
        <w:rPr>
          <w:noProof/>
        </w:rPr>
        <w:fldChar w:fldCharType="separate"/>
      </w:r>
      <w:r>
        <w:rPr>
          <w:noProof/>
        </w:rPr>
        <w:t>9</w:t>
      </w:r>
      <w:r>
        <w:rPr>
          <w:noProof/>
        </w:rPr>
        <w:fldChar w:fldCharType="end"/>
      </w:r>
    </w:p>
    <w:p>
      <w:pPr>
        <w:pStyle w:val="TOC4"/>
        <w:tabs>
          <w:tab w:val="clear" w:pos="1134"/>
          <w:tab w:val="left" w:pos="1135"/>
        </w:tabs>
        <w:rPr>
          <w:noProof/>
        </w:rPr>
      </w:pPr>
      <w:r>
        <w:rPr>
          <w:noProof/>
        </w:rPr>
        <w:t>16</w:t>
      </w:r>
      <w:r>
        <w:rPr>
          <w:noProof/>
          <w:snapToGrid w:val="0"/>
        </w:rPr>
        <w:t>.</w:t>
      </w:r>
      <w:r>
        <w:rPr>
          <w:noProof/>
        </w:rPr>
        <w:tab/>
      </w:r>
      <w:r>
        <w:rPr>
          <w:noProof/>
          <w:snapToGrid w:val="0"/>
        </w:rPr>
        <w:t>Port authority to approve pilots etc.</w:t>
      </w:r>
      <w:r>
        <w:rPr>
          <w:noProof/>
        </w:rPr>
        <w:tab/>
      </w:r>
      <w:r>
        <w:rPr>
          <w:noProof/>
        </w:rPr>
        <w:fldChar w:fldCharType="begin"/>
      </w:r>
      <w:r>
        <w:rPr>
          <w:noProof/>
        </w:rPr>
        <w:instrText xml:space="preserve"> PAGEREF _Toc459693957 \h </w:instrText>
      </w:r>
      <w:r>
        <w:rPr>
          <w:noProof/>
        </w:rPr>
      </w:r>
      <w:r>
        <w:rPr>
          <w:noProof/>
        </w:rPr>
        <w:fldChar w:fldCharType="separate"/>
      </w:r>
      <w:r>
        <w:rPr>
          <w:noProof/>
        </w:rPr>
        <w:t>9</w:t>
      </w:r>
      <w:r>
        <w:rPr>
          <w:noProof/>
        </w:rPr>
        <w:fldChar w:fldCharType="end"/>
      </w:r>
    </w:p>
    <w:p>
      <w:pPr>
        <w:pStyle w:val="TOC4"/>
        <w:tabs>
          <w:tab w:val="clear" w:pos="1134"/>
          <w:tab w:val="left" w:pos="1135"/>
        </w:tabs>
        <w:rPr>
          <w:noProof/>
        </w:rPr>
      </w:pPr>
      <w:r>
        <w:rPr>
          <w:noProof/>
        </w:rPr>
        <w:t>17</w:t>
      </w:r>
      <w:r>
        <w:rPr>
          <w:noProof/>
          <w:snapToGrid w:val="0"/>
        </w:rPr>
        <w:t>.</w:t>
      </w:r>
      <w:r>
        <w:rPr>
          <w:noProof/>
        </w:rPr>
        <w:tab/>
      </w:r>
      <w:r>
        <w:rPr>
          <w:noProof/>
          <w:snapToGrid w:val="0"/>
        </w:rPr>
        <w:t>Pilotage compulsory in ports</w:t>
      </w:r>
      <w:r>
        <w:rPr>
          <w:noProof/>
        </w:rPr>
        <w:tab/>
      </w:r>
      <w:r>
        <w:rPr>
          <w:noProof/>
        </w:rPr>
        <w:fldChar w:fldCharType="begin"/>
      </w:r>
      <w:r>
        <w:rPr>
          <w:noProof/>
        </w:rPr>
        <w:instrText xml:space="preserve"> PAGEREF _Toc459693958 \h </w:instrText>
      </w:r>
      <w:r>
        <w:rPr>
          <w:noProof/>
        </w:rPr>
      </w:r>
      <w:r>
        <w:rPr>
          <w:noProof/>
        </w:rPr>
        <w:fldChar w:fldCharType="separate"/>
      </w:r>
      <w:r>
        <w:rPr>
          <w:noProof/>
        </w:rPr>
        <w:t>10</w:t>
      </w:r>
      <w:r>
        <w:rPr>
          <w:noProof/>
        </w:rPr>
        <w:fldChar w:fldCharType="end"/>
      </w:r>
    </w:p>
    <w:p>
      <w:pPr>
        <w:pStyle w:val="TOC4"/>
        <w:tabs>
          <w:tab w:val="clear" w:pos="1134"/>
          <w:tab w:val="left" w:pos="1135"/>
        </w:tabs>
        <w:rPr>
          <w:noProof/>
        </w:rPr>
      </w:pPr>
      <w:r>
        <w:rPr>
          <w:noProof/>
        </w:rPr>
        <w:t>18</w:t>
      </w:r>
      <w:r>
        <w:rPr>
          <w:noProof/>
          <w:snapToGrid w:val="0"/>
        </w:rPr>
        <w:t>.</w:t>
      </w:r>
      <w:r>
        <w:rPr>
          <w:noProof/>
        </w:rPr>
        <w:tab/>
      </w:r>
      <w:r>
        <w:rPr>
          <w:noProof/>
          <w:snapToGrid w:val="0"/>
        </w:rPr>
        <w:t>Pilot under authority of master</w:t>
      </w:r>
      <w:r>
        <w:rPr>
          <w:noProof/>
        </w:rPr>
        <w:tab/>
      </w:r>
      <w:r>
        <w:rPr>
          <w:noProof/>
        </w:rPr>
        <w:fldChar w:fldCharType="begin"/>
      </w:r>
      <w:r>
        <w:rPr>
          <w:noProof/>
        </w:rPr>
        <w:instrText xml:space="preserve"> PAGEREF _Toc459693959 \h </w:instrText>
      </w:r>
      <w:r>
        <w:rPr>
          <w:noProof/>
        </w:rPr>
      </w:r>
      <w:r>
        <w:rPr>
          <w:noProof/>
        </w:rPr>
        <w:fldChar w:fldCharType="separate"/>
      </w:r>
      <w:r>
        <w:rPr>
          <w:noProof/>
        </w:rPr>
        <w:t>11</w:t>
      </w:r>
      <w:r>
        <w:rPr>
          <w:noProof/>
        </w:rPr>
        <w:fldChar w:fldCharType="end"/>
      </w:r>
    </w:p>
    <w:p>
      <w:pPr>
        <w:pStyle w:val="TOC4"/>
        <w:tabs>
          <w:tab w:val="clear" w:pos="1134"/>
          <w:tab w:val="left" w:pos="1135"/>
        </w:tabs>
        <w:rPr>
          <w:noProof/>
        </w:rPr>
      </w:pPr>
      <w:r>
        <w:rPr>
          <w:noProof/>
        </w:rPr>
        <w:t>19</w:t>
      </w:r>
      <w:r>
        <w:rPr>
          <w:noProof/>
          <w:snapToGrid w:val="0"/>
        </w:rPr>
        <w:t>.</w:t>
      </w:r>
      <w:r>
        <w:rPr>
          <w:noProof/>
        </w:rPr>
        <w:tab/>
      </w:r>
      <w:r>
        <w:rPr>
          <w:noProof/>
          <w:snapToGrid w:val="0"/>
        </w:rPr>
        <w:t>Liability of owner or master of a vessel</w:t>
      </w:r>
      <w:r>
        <w:rPr>
          <w:noProof/>
        </w:rPr>
        <w:tab/>
      </w:r>
      <w:r>
        <w:rPr>
          <w:noProof/>
        </w:rPr>
        <w:fldChar w:fldCharType="begin"/>
      </w:r>
      <w:r>
        <w:rPr>
          <w:noProof/>
        </w:rPr>
        <w:instrText xml:space="preserve"> PAGEREF _Toc459693960 \h </w:instrText>
      </w:r>
      <w:r>
        <w:rPr>
          <w:noProof/>
        </w:rPr>
      </w:r>
      <w:r>
        <w:rPr>
          <w:noProof/>
        </w:rPr>
        <w:fldChar w:fldCharType="separate"/>
      </w:r>
      <w:r>
        <w:rPr>
          <w:noProof/>
        </w:rPr>
        <w:t>11</w:t>
      </w:r>
      <w:r>
        <w:rPr>
          <w:noProof/>
        </w:rPr>
        <w:fldChar w:fldCharType="end"/>
      </w:r>
    </w:p>
    <w:p>
      <w:pPr>
        <w:pStyle w:val="TOC4"/>
        <w:tabs>
          <w:tab w:val="clear" w:pos="1134"/>
          <w:tab w:val="left" w:pos="1135"/>
        </w:tabs>
        <w:rPr>
          <w:noProof/>
        </w:rPr>
      </w:pPr>
      <w:r>
        <w:rPr>
          <w:noProof/>
        </w:rPr>
        <w:t>20</w:t>
      </w:r>
      <w:r>
        <w:rPr>
          <w:noProof/>
          <w:snapToGrid w:val="0"/>
        </w:rPr>
        <w:t>.</w:t>
      </w:r>
      <w:r>
        <w:rPr>
          <w:noProof/>
        </w:rPr>
        <w:tab/>
      </w:r>
      <w:r>
        <w:rPr>
          <w:noProof/>
          <w:snapToGrid w:val="0"/>
        </w:rPr>
        <w:t>Crown etc., pilot and employer not liable for pilot’s negligence</w:t>
      </w:r>
      <w:r>
        <w:rPr>
          <w:noProof/>
        </w:rPr>
        <w:tab/>
      </w:r>
      <w:r>
        <w:rPr>
          <w:noProof/>
        </w:rPr>
        <w:fldChar w:fldCharType="begin"/>
      </w:r>
      <w:r>
        <w:rPr>
          <w:noProof/>
        </w:rPr>
        <w:instrText xml:space="preserve"> PAGEREF _Toc459693961 \h </w:instrText>
      </w:r>
      <w:r>
        <w:rPr>
          <w:noProof/>
        </w:rPr>
      </w:r>
      <w:r>
        <w:rPr>
          <w:noProof/>
        </w:rPr>
        <w:fldChar w:fldCharType="separate"/>
      </w:r>
      <w:r>
        <w:rPr>
          <w:noProof/>
        </w:rPr>
        <w:t>11</w:t>
      </w:r>
      <w:r>
        <w:rPr>
          <w:noProof/>
        </w:rPr>
        <w:fldChar w:fldCharType="end"/>
      </w:r>
    </w:p>
    <w:p>
      <w:pPr>
        <w:pStyle w:val="TOC3"/>
        <w:tabs>
          <w:tab w:val="right" w:leader="dot" w:pos="7086"/>
        </w:tabs>
        <w:rPr>
          <w:noProof/>
        </w:rPr>
      </w:pPr>
      <w:r>
        <w:rPr>
          <w:noProof/>
        </w:rPr>
        <w:t>Division 6</w:t>
      </w:r>
      <w:r>
        <w:rPr>
          <w:noProof/>
          <w:snapToGrid w:val="0"/>
        </w:rPr>
        <w:t> — </w:t>
      </w:r>
      <w:r>
        <w:rPr>
          <w:noProof/>
        </w:rPr>
        <w:t>Harbour masters</w:t>
      </w:r>
    </w:p>
    <w:p>
      <w:pPr>
        <w:pStyle w:val="TOC4"/>
        <w:tabs>
          <w:tab w:val="clear" w:pos="1134"/>
          <w:tab w:val="left" w:pos="1135"/>
        </w:tabs>
        <w:rPr>
          <w:noProof/>
        </w:rPr>
      </w:pPr>
      <w:r>
        <w:rPr>
          <w:noProof/>
        </w:rPr>
        <w:t>21</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_Toc459693962 \h </w:instrText>
      </w:r>
      <w:r>
        <w:rPr>
          <w:noProof/>
        </w:rPr>
      </w:r>
      <w:r>
        <w:rPr>
          <w:noProof/>
        </w:rPr>
        <w:fldChar w:fldCharType="separate"/>
      </w:r>
      <w:r>
        <w:rPr>
          <w:noProof/>
        </w:rPr>
        <w:t>11</w:t>
      </w:r>
      <w:r>
        <w:rPr>
          <w:noProof/>
        </w:rPr>
        <w:fldChar w:fldCharType="end"/>
      </w:r>
    </w:p>
    <w:p>
      <w:pPr>
        <w:pStyle w:val="TOC4"/>
        <w:tabs>
          <w:tab w:val="clear" w:pos="1134"/>
          <w:tab w:val="left" w:pos="1135"/>
        </w:tabs>
        <w:rPr>
          <w:noProof/>
        </w:rPr>
      </w:pPr>
      <w:r>
        <w:rPr>
          <w:noProof/>
        </w:rPr>
        <w:t>22</w:t>
      </w:r>
      <w:r>
        <w:rPr>
          <w:noProof/>
          <w:snapToGrid w:val="0"/>
        </w:rPr>
        <w:t>.</w:t>
      </w:r>
      <w:r>
        <w:rPr>
          <w:noProof/>
        </w:rPr>
        <w:tab/>
      </w:r>
      <w:r>
        <w:rPr>
          <w:noProof/>
          <w:snapToGrid w:val="0"/>
        </w:rPr>
        <w:t>Appointment</w:t>
      </w:r>
      <w:r>
        <w:rPr>
          <w:noProof/>
        </w:rPr>
        <w:tab/>
      </w:r>
      <w:r>
        <w:rPr>
          <w:noProof/>
        </w:rPr>
        <w:fldChar w:fldCharType="begin"/>
      </w:r>
      <w:r>
        <w:rPr>
          <w:noProof/>
        </w:rPr>
        <w:instrText xml:space="preserve"> PAGEREF _Toc459693963 \h </w:instrText>
      </w:r>
      <w:r>
        <w:rPr>
          <w:noProof/>
        </w:rPr>
      </w:r>
      <w:r>
        <w:rPr>
          <w:noProof/>
        </w:rPr>
        <w:fldChar w:fldCharType="separate"/>
      </w:r>
      <w:r>
        <w:rPr>
          <w:noProof/>
        </w:rPr>
        <w:t>12</w:t>
      </w:r>
      <w:r>
        <w:rPr>
          <w:noProof/>
        </w:rPr>
        <w:fldChar w:fldCharType="end"/>
      </w:r>
    </w:p>
    <w:p>
      <w:pPr>
        <w:pStyle w:val="TOC4"/>
        <w:tabs>
          <w:tab w:val="clear" w:pos="1134"/>
          <w:tab w:val="left" w:pos="1135"/>
        </w:tabs>
        <w:rPr>
          <w:noProof/>
        </w:rPr>
      </w:pPr>
      <w:r>
        <w:rPr>
          <w:noProof/>
        </w:rPr>
        <w:t>23</w:t>
      </w:r>
      <w:r>
        <w:rPr>
          <w:noProof/>
          <w:snapToGrid w:val="0"/>
        </w:rPr>
        <w:t>.</w:t>
      </w:r>
      <w:r>
        <w:rPr>
          <w:noProof/>
        </w:rPr>
        <w:tab/>
      </w:r>
      <w:r>
        <w:rPr>
          <w:noProof/>
          <w:snapToGrid w:val="0"/>
        </w:rPr>
        <w:t>Principal and other functions</w:t>
      </w:r>
      <w:r>
        <w:rPr>
          <w:noProof/>
        </w:rPr>
        <w:tab/>
      </w:r>
      <w:r>
        <w:rPr>
          <w:noProof/>
        </w:rPr>
        <w:fldChar w:fldCharType="begin"/>
      </w:r>
      <w:r>
        <w:rPr>
          <w:noProof/>
        </w:rPr>
        <w:instrText xml:space="preserve"> PAGEREF _Toc459693964 \h </w:instrText>
      </w:r>
      <w:r>
        <w:rPr>
          <w:noProof/>
        </w:rPr>
      </w:r>
      <w:r>
        <w:rPr>
          <w:noProof/>
        </w:rPr>
        <w:fldChar w:fldCharType="separate"/>
      </w:r>
      <w:r>
        <w:rPr>
          <w:noProof/>
        </w:rPr>
        <w:t>12</w:t>
      </w:r>
      <w:r>
        <w:rPr>
          <w:noProof/>
        </w:rPr>
        <w:fldChar w:fldCharType="end"/>
      </w:r>
    </w:p>
    <w:p>
      <w:pPr>
        <w:pStyle w:val="TOC4"/>
        <w:tabs>
          <w:tab w:val="clear" w:pos="1134"/>
          <w:tab w:val="left" w:pos="1135"/>
        </w:tabs>
        <w:rPr>
          <w:noProof/>
        </w:rPr>
      </w:pPr>
      <w:r>
        <w:rPr>
          <w:noProof/>
        </w:rPr>
        <w:t>24</w:t>
      </w:r>
      <w:r>
        <w:rPr>
          <w:noProof/>
          <w:snapToGrid w:val="0"/>
        </w:rPr>
        <w:t>.</w:t>
      </w:r>
      <w:r>
        <w:rPr>
          <w:noProof/>
        </w:rPr>
        <w:tab/>
      </w:r>
      <w:r>
        <w:rPr>
          <w:noProof/>
          <w:snapToGrid w:val="0"/>
        </w:rPr>
        <w:t>Directions to masters etc.</w:t>
      </w:r>
      <w:r>
        <w:rPr>
          <w:noProof/>
        </w:rPr>
        <w:tab/>
      </w:r>
      <w:r>
        <w:rPr>
          <w:noProof/>
        </w:rPr>
        <w:fldChar w:fldCharType="begin"/>
      </w:r>
      <w:r>
        <w:rPr>
          <w:noProof/>
        </w:rPr>
        <w:instrText xml:space="preserve"> PAGEREF _Toc459693965 \h </w:instrText>
      </w:r>
      <w:r>
        <w:rPr>
          <w:noProof/>
        </w:rPr>
      </w:r>
      <w:r>
        <w:rPr>
          <w:noProof/>
        </w:rPr>
        <w:fldChar w:fldCharType="separate"/>
      </w:r>
      <w:r>
        <w:rPr>
          <w:noProof/>
        </w:rPr>
        <w:t>12</w:t>
      </w:r>
      <w:r>
        <w:rPr>
          <w:noProof/>
        </w:rPr>
        <w:fldChar w:fldCharType="end"/>
      </w:r>
    </w:p>
    <w:p>
      <w:pPr>
        <w:pStyle w:val="TOC4"/>
        <w:tabs>
          <w:tab w:val="clear" w:pos="1134"/>
          <w:tab w:val="left" w:pos="1135"/>
        </w:tabs>
        <w:rPr>
          <w:noProof/>
        </w:rPr>
      </w:pPr>
      <w:r>
        <w:rPr>
          <w:noProof/>
        </w:rPr>
        <w:t>25</w:t>
      </w:r>
      <w:r>
        <w:rPr>
          <w:noProof/>
          <w:snapToGrid w:val="0"/>
        </w:rPr>
        <w:t>.</w:t>
      </w:r>
      <w:r>
        <w:rPr>
          <w:noProof/>
        </w:rPr>
        <w:tab/>
      </w:r>
      <w:r>
        <w:rPr>
          <w:noProof/>
          <w:snapToGrid w:val="0"/>
        </w:rPr>
        <w:t>Directions as to wreckage</w:t>
      </w:r>
      <w:r>
        <w:rPr>
          <w:noProof/>
        </w:rPr>
        <w:tab/>
      </w:r>
      <w:r>
        <w:rPr>
          <w:noProof/>
        </w:rPr>
        <w:fldChar w:fldCharType="begin"/>
      </w:r>
      <w:r>
        <w:rPr>
          <w:noProof/>
        </w:rPr>
        <w:instrText xml:space="preserve"> PAGEREF _Toc459693966 \h </w:instrText>
      </w:r>
      <w:r>
        <w:rPr>
          <w:noProof/>
        </w:rPr>
      </w:r>
      <w:r>
        <w:rPr>
          <w:noProof/>
        </w:rPr>
        <w:fldChar w:fldCharType="separate"/>
      </w:r>
      <w:r>
        <w:rPr>
          <w:noProof/>
        </w:rPr>
        <w:t>13</w:t>
      </w:r>
      <w:r>
        <w:rPr>
          <w:noProof/>
        </w:rPr>
        <w:fldChar w:fldCharType="end"/>
      </w:r>
    </w:p>
    <w:p>
      <w:pPr>
        <w:pStyle w:val="TOC4"/>
        <w:tabs>
          <w:tab w:val="clear" w:pos="1134"/>
          <w:tab w:val="left" w:pos="1135"/>
        </w:tabs>
        <w:rPr>
          <w:noProof/>
        </w:rPr>
      </w:pPr>
      <w:r>
        <w:rPr>
          <w:noProof/>
        </w:rPr>
        <w:t>26</w:t>
      </w:r>
      <w:r>
        <w:rPr>
          <w:noProof/>
          <w:snapToGrid w:val="0"/>
        </w:rPr>
        <w:t>.</w:t>
      </w:r>
      <w:r>
        <w:rPr>
          <w:noProof/>
        </w:rPr>
        <w:tab/>
      </w:r>
      <w:r>
        <w:rPr>
          <w:noProof/>
          <w:snapToGrid w:val="0"/>
        </w:rPr>
        <w:t>Limit on power to order removal of vessel or wreckage</w:t>
      </w:r>
      <w:r>
        <w:rPr>
          <w:noProof/>
        </w:rPr>
        <w:tab/>
      </w:r>
      <w:r>
        <w:rPr>
          <w:noProof/>
        </w:rPr>
        <w:fldChar w:fldCharType="begin"/>
      </w:r>
      <w:r>
        <w:rPr>
          <w:noProof/>
        </w:rPr>
        <w:instrText xml:space="preserve"> PAGEREF _Toc459693967 \h </w:instrText>
      </w:r>
      <w:r>
        <w:rPr>
          <w:noProof/>
        </w:rPr>
      </w:r>
      <w:r>
        <w:rPr>
          <w:noProof/>
        </w:rPr>
        <w:fldChar w:fldCharType="separate"/>
      </w:r>
      <w:r>
        <w:rPr>
          <w:noProof/>
        </w:rPr>
        <w:t>14</w:t>
      </w:r>
      <w:r>
        <w:rPr>
          <w:noProof/>
        </w:rPr>
        <w:fldChar w:fldCharType="end"/>
      </w:r>
    </w:p>
    <w:p>
      <w:pPr>
        <w:pStyle w:val="TOC4"/>
        <w:tabs>
          <w:tab w:val="clear" w:pos="1134"/>
          <w:tab w:val="left" w:pos="1135"/>
        </w:tabs>
        <w:rPr>
          <w:noProof/>
        </w:rPr>
      </w:pPr>
      <w:r>
        <w:rPr>
          <w:noProof/>
        </w:rPr>
        <w:t>27</w:t>
      </w:r>
      <w:r>
        <w:rPr>
          <w:noProof/>
          <w:snapToGrid w:val="0"/>
        </w:rPr>
        <w:t>.</w:t>
      </w:r>
      <w:r>
        <w:rPr>
          <w:noProof/>
        </w:rPr>
        <w:tab/>
      </w:r>
      <w:r>
        <w:rPr>
          <w:noProof/>
          <w:snapToGrid w:val="0"/>
        </w:rPr>
        <w:t>Removal of unowned vessels etc.</w:t>
      </w:r>
      <w:r>
        <w:rPr>
          <w:noProof/>
        </w:rPr>
        <w:tab/>
      </w:r>
      <w:r>
        <w:rPr>
          <w:noProof/>
        </w:rPr>
        <w:fldChar w:fldCharType="begin"/>
      </w:r>
      <w:r>
        <w:rPr>
          <w:noProof/>
        </w:rPr>
        <w:instrText xml:space="preserve"> PAGEREF _Toc459693968 \h </w:instrText>
      </w:r>
      <w:r>
        <w:rPr>
          <w:noProof/>
        </w:rPr>
      </w:r>
      <w:r>
        <w:rPr>
          <w:noProof/>
        </w:rPr>
        <w:fldChar w:fldCharType="separate"/>
      </w:r>
      <w:r>
        <w:rPr>
          <w:noProof/>
        </w:rPr>
        <w:t>14</w:t>
      </w:r>
      <w:r>
        <w:rPr>
          <w:noProof/>
        </w:rPr>
        <w:fldChar w:fldCharType="end"/>
      </w:r>
    </w:p>
    <w:p>
      <w:pPr>
        <w:pStyle w:val="TOC4"/>
        <w:tabs>
          <w:tab w:val="clear" w:pos="1134"/>
          <w:tab w:val="left" w:pos="1135"/>
        </w:tabs>
        <w:rPr>
          <w:noProof/>
        </w:rPr>
      </w:pPr>
      <w:r>
        <w:rPr>
          <w:noProof/>
        </w:rPr>
        <w:t>28</w:t>
      </w:r>
      <w:r>
        <w:rPr>
          <w:noProof/>
          <w:snapToGrid w:val="0"/>
        </w:rPr>
        <w:t>.</w:t>
      </w:r>
      <w:r>
        <w:rPr>
          <w:noProof/>
        </w:rPr>
        <w:tab/>
      </w:r>
      <w:r>
        <w:rPr>
          <w:noProof/>
          <w:snapToGrid w:val="0"/>
        </w:rPr>
        <w:t>Offence of not obeying direction</w:t>
      </w:r>
      <w:r>
        <w:rPr>
          <w:noProof/>
        </w:rPr>
        <w:tab/>
      </w:r>
      <w:r>
        <w:rPr>
          <w:noProof/>
        </w:rPr>
        <w:fldChar w:fldCharType="begin"/>
      </w:r>
      <w:r>
        <w:rPr>
          <w:noProof/>
        </w:rPr>
        <w:instrText xml:space="preserve"> PAGEREF _Toc459693969 \h </w:instrText>
      </w:r>
      <w:r>
        <w:rPr>
          <w:noProof/>
        </w:rPr>
      </w:r>
      <w:r>
        <w:rPr>
          <w:noProof/>
        </w:rPr>
        <w:fldChar w:fldCharType="separate"/>
      </w:r>
      <w:r>
        <w:rPr>
          <w:noProof/>
        </w:rPr>
        <w:t>14</w:t>
      </w:r>
      <w:r>
        <w:rPr>
          <w:noProof/>
        </w:rPr>
        <w:fldChar w:fldCharType="end"/>
      </w:r>
    </w:p>
    <w:p>
      <w:pPr>
        <w:pStyle w:val="TOC4"/>
        <w:tabs>
          <w:tab w:val="clear" w:pos="1134"/>
          <w:tab w:val="left" w:pos="1135"/>
        </w:tabs>
        <w:rPr>
          <w:noProof/>
        </w:rPr>
      </w:pPr>
      <w:r>
        <w:rPr>
          <w:noProof/>
        </w:rPr>
        <w:t>29</w:t>
      </w:r>
      <w:r>
        <w:rPr>
          <w:noProof/>
          <w:snapToGrid w:val="0"/>
        </w:rPr>
        <w:t>.</w:t>
      </w:r>
      <w:r>
        <w:rPr>
          <w:noProof/>
        </w:rPr>
        <w:tab/>
      </w:r>
      <w:r>
        <w:rPr>
          <w:noProof/>
          <w:snapToGrid w:val="0"/>
        </w:rPr>
        <w:t>Powers if direction not obeyed</w:t>
      </w:r>
      <w:r>
        <w:rPr>
          <w:noProof/>
        </w:rPr>
        <w:tab/>
      </w:r>
      <w:r>
        <w:rPr>
          <w:noProof/>
        </w:rPr>
        <w:fldChar w:fldCharType="begin"/>
      </w:r>
      <w:r>
        <w:rPr>
          <w:noProof/>
        </w:rPr>
        <w:instrText xml:space="preserve"> PAGEREF _Toc459693970 \h </w:instrText>
      </w:r>
      <w:r>
        <w:rPr>
          <w:noProof/>
        </w:rPr>
      </w:r>
      <w:r>
        <w:rPr>
          <w:noProof/>
        </w:rPr>
        <w:fldChar w:fldCharType="separate"/>
      </w:r>
      <w:r>
        <w:rPr>
          <w:noProof/>
        </w:rPr>
        <w:t>14</w:t>
      </w:r>
      <w:r>
        <w:rPr>
          <w:noProof/>
        </w:rPr>
        <w:fldChar w:fldCharType="end"/>
      </w:r>
    </w:p>
    <w:p>
      <w:pPr>
        <w:pStyle w:val="TOC4"/>
        <w:tabs>
          <w:tab w:val="clear" w:pos="1134"/>
          <w:tab w:val="left" w:pos="1135"/>
        </w:tabs>
        <w:rPr>
          <w:noProof/>
        </w:rPr>
      </w:pPr>
      <w:r>
        <w:rPr>
          <w:noProof/>
        </w:rPr>
        <w:t>30</w:t>
      </w:r>
      <w:r>
        <w:rPr>
          <w:noProof/>
          <w:snapToGrid w:val="0"/>
        </w:rPr>
        <w:t>.</w:t>
      </w:r>
      <w:r>
        <w:rPr>
          <w:noProof/>
        </w:rPr>
        <w:tab/>
      </w:r>
      <w:r>
        <w:rPr>
          <w:noProof/>
          <w:snapToGrid w:val="0"/>
        </w:rPr>
        <w:t>Recovery of costs</w:t>
      </w:r>
      <w:r>
        <w:rPr>
          <w:noProof/>
        </w:rPr>
        <w:tab/>
      </w:r>
      <w:r>
        <w:rPr>
          <w:noProof/>
        </w:rPr>
        <w:fldChar w:fldCharType="begin"/>
      </w:r>
      <w:r>
        <w:rPr>
          <w:noProof/>
        </w:rPr>
        <w:instrText xml:space="preserve"> PAGEREF _Toc459693971 \h </w:instrText>
      </w:r>
      <w:r>
        <w:rPr>
          <w:noProof/>
        </w:rPr>
      </w:r>
      <w:r>
        <w:rPr>
          <w:noProof/>
        </w:rPr>
        <w:fldChar w:fldCharType="separate"/>
      </w:r>
      <w:r>
        <w:rPr>
          <w:noProof/>
        </w:rPr>
        <w:t>15</w:t>
      </w:r>
      <w:r>
        <w:rPr>
          <w:noProof/>
        </w:rPr>
        <w:fldChar w:fldCharType="end"/>
      </w:r>
    </w:p>
    <w:p>
      <w:pPr>
        <w:pStyle w:val="TOC4"/>
        <w:tabs>
          <w:tab w:val="clear" w:pos="1134"/>
          <w:tab w:val="left" w:pos="1135"/>
        </w:tabs>
        <w:rPr>
          <w:noProof/>
        </w:rPr>
      </w:pPr>
      <w:r>
        <w:rPr>
          <w:noProof/>
        </w:rPr>
        <w:t>31</w:t>
      </w:r>
      <w:r>
        <w:rPr>
          <w:noProof/>
          <w:snapToGrid w:val="0"/>
        </w:rPr>
        <w:t>.</w:t>
      </w:r>
      <w:r>
        <w:rPr>
          <w:noProof/>
        </w:rPr>
        <w:tab/>
      </w:r>
      <w:r>
        <w:rPr>
          <w:noProof/>
          <w:snapToGrid w:val="0"/>
        </w:rPr>
        <w:t>Immunity from liability</w:t>
      </w:r>
      <w:r>
        <w:rPr>
          <w:noProof/>
        </w:rPr>
        <w:tab/>
      </w:r>
      <w:r>
        <w:rPr>
          <w:noProof/>
        </w:rPr>
        <w:fldChar w:fldCharType="begin"/>
      </w:r>
      <w:r>
        <w:rPr>
          <w:noProof/>
        </w:rPr>
        <w:instrText xml:space="preserve"> PAGEREF _Toc459693972 \h </w:instrText>
      </w:r>
      <w:r>
        <w:rPr>
          <w:noProof/>
        </w:rPr>
      </w:r>
      <w:r>
        <w:rPr>
          <w:noProof/>
        </w:rPr>
        <w:fldChar w:fldCharType="separate"/>
      </w:r>
      <w:r>
        <w:rPr>
          <w:noProof/>
        </w:rPr>
        <w:t>15</w:t>
      </w:r>
      <w:r>
        <w:rPr>
          <w:noProof/>
        </w:rPr>
        <w:fldChar w:fldCharType="end"/>
      </w:r>
    </w:p>
    <w:p>
      <w:pPr>
        <w:pStyle w:val="TOC4"/>
        <w:tabs>
          <w:tab w:val="clear" w:pos="1134"/>
          <w:tab w:val="left" w:pos="1135"/>
        </w:tabs>
        <w:rPr>
          <w:noProof/>
        </w:rPr>
      </w:pPr>
      <w:r>
        <w:rPr>
          <w:noProof/>
        </w:rPr>
        <w:t>32</w:t>
      </w:r>
      <w:r>
        <w:rPr>
          <w:noProof/>
          <w:snapToGrid w:val="0"/>
        </w:rPr>
        <w:t>.</w:t>
      </w:r>
      <w:r>
        <w:rPr>
          <w:noProof/>
        </w:rPr>
        <w:tab/>
      </w:r>
      <w:r>
        <w:rPr>
          <w:noProof/>
          <w:snapToGrid w:val="0"/>
        </w:rPr>
        <w:t>Offence of hindering</w:t>
      </w:r>
      <w:r>
        <w:rPr>
          <w:noProof/>
        </w:rPr>
        <w:tab/>
      </w:r>
      <w:r>
        <w:rPr>
          <w:noProof/>
        </w:rPr>
        <w:fldChar w:fldCharType="begin"/>
      </w:r>
      <w:r>
        <w:rPr>
          <w:noProof/>
        </w:rPr>
        <w:instrText xml:space="preserve"> PAGEREF _Toc459693973 \h </w:instrText>
      </w:r>
      <w:r>
        <w:rPr>
          <w:noProof/>
        </w:rPr>
      </w:r>
      <w:r>
        <w:rPr>
          <w:noProof/>
        </w:rPr>
        <w:fldChar w:fldCharType="separate"/>
      </w:r>
      <w:r>
        <w:rPr>
          <w:noProof/>
        </w:rPr>
        <w:t>15</w:t>
      </w:r>
      <w:r>
        <w:rPr>
          <w:noProof/>
        </w:rPr>
        <w:fldChar w:fldCharType="end"/>
      </w:r>
    </w:p>
    <w:p>
      <w:pPr>
        <w:pStyle w:val="TOC3"/>
        <w:tabs>
          <w:tab w:val="right" w:leader="dot" w:pos="7086"/>
        </w:tabs>
        <w:rPr>
          <w:noProof/>
        </w:rPr>
      </w:pPr>
      <w:r>
        <w:rPr>
          <w:noProof/>
        </w:rPr>
        <w:t>Division 7</w:t>
      </w:r>
      <w:r>
        <w:rPr>
          <w:noProof/>
          <w:snapToGrid w:val="0"/>
        </w:rPr>
        <w:t> — </w:t>
      </w:r>
      <w:r>
        <w:rPr>
          <w:noProof/>
        </w:rPr>
        <w:t>Additional financial provision</w:t>
      </w:r>
    </w:p>
    <w:p>
      <w:pPr>
        <w:pStyle w:val="TOC4"/>
        <w:tabs>
          <w:tab w:val="clear" w:pos="1134"/>
          <w:tab w:val="left" w:pos="1135"/>
        </w:tabs>
        <w:rPr>
          <w:noProof/>
        </w:rPr>
      </w:pPr>
      <w:r>
        <w:rPr>
          <w:noProof/>
        </w:rPr>
        <w:t>33</w:t>
      </w:r>
      <w:r>
        <w:rPr>
          <w:noProof/>
          <w:snapToGrid w:val="0"/>
        </w:rPr>
        <w:t>.</w:t>
      </w:r>
      <w:r>
        <w:rPr>
          <w:noProof/>
        </w:rPr>
        <w:tab/>
      </w:r>
      <w:r>
        <w:rPr>
          <w:noProof/>
          <w:snapToGrid w:val="0"/>
        </w:rPr>
        <w:t>Interest on overdue amounts</w:t>
      </w:r>
      <w:r>
        <w:rPr>
          <w:noProof/>
        </w:rPr>
        <w:tab/>
      </w:r>
      <w:r>
        <w:rPr>
          <w:noProof/>
        </w:rPr>
        <w:fldChar w:fldCharType="begin"/>
      </w:r>
      <w:r>
        <w:rPr>
          <w:noProof/>
        </w:rPr>
        <w:instrText xml:space="preserve"> PAGEREF _Toc459693974 \h </w:instrText>
      </w:r>
      <w:r>
        <w:rPr>
          <w:noProof/>
        </w:rPr>
      </w:r>
      <w:r>
        <w:rPr>
          <w:noProof/>
        </w:rPr>
        <w:fldChar w:fldCharType="separate"/>
      </w:r>
      <w:r>
        <w:rPr>
          <w:noProof/>
        </w:rPr>
        <w:t>16</w:t>
      </w:r>
      <w:r>
        <w:rPr>
          <w:noProof/>
        </w:rPr>
        <w:fldChar w:fldCharType="end"/>
      </w:r>
    </w:p>
    <w:p>
      <w:pPr>
        <w:pStyle w:val="TOC3"/>
        <w:tabs>
          <w:tab w:val="right" w:leader="dot" w:pos="7086"/>
        </w:tabs>
        <w:rPr>
          <w:noProof/>
        </w:rPr>
      </w:pPr>
      <w:r>
        <w:rPr>
          <w:noProof/>
        </w:rPr>
        <w:t>Division 8</w:t>
      </w:r>
      <w:r>
        <w:rPr>
          <w:noProof/>
          <w:snapToGrid w:val="0"/>
        </w:rPr>
        <w:t> — </w:t>
      </w:r>
      <w:r>
        <w:rPr>
          <w:noProof/>
        </w:rPr>
        <w:t>Additional powers to make regulations</w:t>
      </w:r>
    </w:p>
    <w:p>
      <w:pPr>
        <w:pStyle w:val="TOC4"/>
        <w:tabs>
          <w:tab w:val="clear" w:pos="1134"/>
          <w:tab w:val="left" w:pos="1135"/>
        </w:tabs>
        <w:rPr>
          <w:noProof/>
        </w:rPr>
      </w:pPr>
      <w:r>
        <w:rPr>
          <w:noProof/>
        </w:rPr>
        <w:t>34</w:t>
      </w:r>
      <w:r>
        <w:rPr>
          <w:noProof/>
          <w:snapToGrid w:val="0"/>
        </w:rPr>
        <w:t>.</w:t>
      </w:r>
      <w:r>
        <w:rPr>
          <w:noProof/>
        </w:rPr>
        <w:tab/>
      </w:r>
      <w:r>
        <w:rPr>
          <w:noProof/>
          <w:snapToGrid w:val="0"/>
        </w:rPr>
        <w:t>Regulations about liability of port authorities</w:t>
      </w:r>
      <w:r>
        <w:rPr>
          <w:noProof/>
        </w:rPr>
        <w:tab/>
      </w:r>
      <w:r>
        <w:rPr>
          <w:noProof/>
        </w:rPr>
        <w:fldChar w:fldCharType="begin"/>
      </w:r>
      <w:r>
        <w:rPr>
          <w:noProof/>
        </w:rPr>
        <w:instrText xml:space="preserve"> PAGEREF _Toc459693975 \h </w:instrText>
      </w:r>
      <w:r>
        <w:rPr>
          <w:noProof/>
        </w:rPr>
      </w:r>
      <w:r>
        <w:rPr>
          <w:noProof/>
        </w:rPr>
        <w:fldChar w:fldCharType="separate"/>
      </w:r>
      <w:r>
        <w:rPr>
          <w:noProof/>
        </w:rPr>
        <w:t>16</w:t>
      </w:r>
      <w:r>
        <w:rPr>
          <w:noProof/>
        </w:rPr>
        <w:fldChar w:fldCharType="end"/>
      </w:r>
    </w:p>
    <w:p>
      <w:pPr>
        <w:pStyle w:val="TOC3"/>
        <w:tabs>
          <w:tab w:val="right" w:leader="dot" w:pos="7086"/>
        </w:tabs>
        <w:rPr>
          <w:noProof/>
        </w:rPr>
      </w:pPr>
      <w:r>
        <w:rPr>
          <w:noProof/>
        </w:rPr>
        <w:t>Division 9</w:t>
      </w:r>
      <w:r>
        <w:rPr>
          <w:noProof/>
          <w:snapToGrid w:val="0"/>
        </w:rPr>
        <w:t> — </w:t>
      </w:r>
      <w:r>
        <w:rPr>
          <w:noProof/>
        </w:rPr>
        <w:t>Regulations for Divisions 4 to 7</w:t>
      </w:r>
    </w:p>
    <w:p>
      <w:pPr>
        <w:pStyle w:val="TOC4"/>
        <w:tabs>
          <w:tab w:val="clear" w:pos="1134"/>
          <w:tab w:val="left" w:pos="1135"/>
        </w:tabs>
        <w:rPr>
          <w:noProof/>
        </w:rPr>
      </w:pPr>
      <w:r>
        <w:rPr>
          <w:noProof/>
        </w:rPr>
        <w:t>35</w:t>
      </w:r>
      <w:r>
        <w:rPr>
          <w:noProof/>
          <w:snapToGrid w:val="0"/>
        </w:rPr>
        <w:t>.</w:t>
      </w:r>
      <w:r>
        <w:rPr>
          <w:noProof/>
        </w:rPr>
        <w:tab/>
      </w:r>
      <w:r>
        <w:rPr>
          <w:noProof/>
          <w:snapToGrid w:val="0"/>
        </w:rPr>
        <w:t>Power to make regulations</w:t>
      </w:r>
      <w:r>
        <w:rPr>
          <w:noProof/>
        </w:rPr>
        <w:tab/>
      </w:r>
      <w:r>
        <w:rPr>
          <w:noProof/>
        </w:rPr>
        <w:fldChar w:fldCharType="begin"/>
      </w:r>
      <w:r>
        <w:rPr>
          <w:noProof/>
        </w:rPr>
        <w:instrText xml:space="preserve"> PAGEREF _Toc459693976 \h </w:instrText>
      </w:r>
      <w:r>
        <w:rPr>
          <w:noProof/>
        </w:rPr>
      </w:r>
      <w:r>
        <w:rPr>
          <w:noProof/>
        </w:rPr>
        <w:fldChar w:fldCharType="separate"/>
      </w:r>
      <w:r>
        <w:rPr>
          <w:noProof/>
        </w:rPr>
        <w:t>17</w:t>
      </w:r>
      <w:r>
        <w:rPr>
          <w:noProof/>
        </w:rPr>
        <w:fldChar w:fldCharType="end"/>
      </w:r>
    </w:p>
    <w:p>
      <w:pPr>
        <w:pStyle w:val="TOC4"/>
        <w:tabs>
          <w:tab w:val="clear" w:pos="1134"/>
          <w:tab w:val="left" w:pos="1135"/>
        </w:tabs>
        <w:rPr>
          <w:noProof/>
        </w:rPr>
      </w:pPr>
      <w:r>
        <w:rPr>
          <w:noProof/>
        </w:rPr>
        <w:t>36</w:t>
      </w:r>
      <w:r>
        <w:rPr>
          <w:noProof/>
          <w:snapToGrid w:val="0"/>
        </w:rPr>
        <w:t>.</w:t>
      </w:r>
      <w:r>
        <w:rPr>
          <w:noProof/>
        </w:rPr>
        <w:tab/>
      </w:r>
      <w:r>
        <w:rPr>
          <w:noProof/>
          <w:snapToGrid w:val="0"/>
        </w:rPr>
        <w:t>Governor may make model regulations</w:t>
      </w:r>
      <w:r>
        <w:rPr>
          <w:noProof/>
        </w:rPr>
        <w:tab/>
      </w:r>
      <w:r>
        <w:rPr>
          <w:noProof/>
        </w:rPr>
        <w:fldChar w:fldCharType="begin"/>
      </w:r>
      <w:r>
        <w:rPr>
          <w:noProof/>
        </w:rPr>
        <w:instrText xml:space="preserve"> PAGEREF _Toc459693977 \h </w:instrText>
      </w:r>
      <w:r>
        <w:rPr>
          <w:noProof/>
        </w:rPr>
      </w:r>
      <w:r>
        <w:rPr>
          <w:noProof/>
        </w:rPr>
        <w:fldChar w:fldCharType="separate"/>
      </w:r>
      <w:r>
        <w:rPr>
          <w:noProof/>
        </w:rPr>
        <w:t>18</w:t>
      </w:r>
      <w:r>
        <w:rPr>
          <w:noProof/>
        </w:rPr>
        <w:fldChar w:fldCharType="end"/>
      </w:r>
    </w:p>
    <w:p>
      <w:pPr>
        <w:pStyle w:val="TOC3"/>
        <w:tabs>
          <w:tab w:val="right" w:leader="dot" w:pos="7086"/>
        </w:tabs>
        <w:rPr>
          <w:noProof/>
        </w:rPr>
      </w:pPr>
      <w:r>
        <w:rPr>
          <w:noProof/>
        </w:rPr>
        <w:t>Division 10</w:t>
      </w:r>
      <w:r>
        <w:rPr>
          <w:noProof/>
          <w:snapToGrid w:val="0"/>
        </w:rPr>
        <w:t> — </w:t>
      </w:r>
      <w:r>
        <w:rPr>
          <w:noProof/>
        </w:rPr>
        <w:t>General amendment to all port authority Acts</w:t>
      </w:r>
    </w:p>
    <w:p>
      <w:pPr>
        <w:pStyle w:val="TOC4"/>
        <w:tabs>
          <w:tab w:val="clear" w:pos="1134"/>
          <w:tab w:val="left" w:pos="1135"/>
        </w:tabs>
        <w:rPr>
          <w:noProof/>
        </w:rPr>
      </w:pPr>
      <w:r>
        <w:rPr>
          <w:noProof/>
        </w:rPr>
        <w:t>37</w:t>
      </w:r>
      <w:r>
        <w:rPr>
          <w:noProof/>
          <w:snapToGrid w:val="0"/>
        </w:rPr>
        <w:t>.</w:t>
      </w:r>
      <w:r>
        <w:rPr>
          <w:noProof/>
        </w:rPr>
        <w:tab/>
      </w:r>
      <w:r>
        <w:rPr>
          <w:noProof/>
          <w:snapToGrid w:val="0"/>
        </w:rPr>
        <w:t>New section about funds</w:t>
      </w:r>
      <w:r>
        <w:rPr>
          <w:noProof/>
        </w:rPr>
        <w:tab/>
      </w:r>
      <w:r>
        <w:rPr>
          <w:noProof/>
        </w:rPr>
        <w:fldChar w:fldCharType="begin"/>
      </w:r>
      <w:r>
        <w:rPr>
          <w:noProof/>
        </w:rPr>
        <w:instrText xml:space="preserve"> PAGEREF _Toc459693978 \h </w:instrText>
      </w:r>
      <w:r>
        <w:rPr>
          <w:noProof/>
        </w:rPr>
      </w:r>
      <w:r>
        <w:rPr>
          <w:noProof/>
        </w:rPr>
        <w:fldChar w:fldCharType="separate"/>
      </w:r>
      <w:r>
        <w:rPr>
          <w:noProof/>
        </w:rPr>
        <w:t>18</w:t>
      </w:r>
      <w:r>
        <w:rPr>
          <w:noProof/>
        </w:rPr>
        <w:fldChar w:fldCharType="end"/>
      </w:r>
    </w:p>
    <w:p>
      <w:pPr>
        <w:pStyle w:val="TOC2"/>
        <w:tabs>
          <w:tab w:val="right" w:leader="dot" w:pos="7086"/>
        </w:tabs>
        <w:rPr>
          <w:noProof/>
        </w:rPr>
      </w:pPr>
      <w:r>
        <w:rPr>
          <w:noProof/>
        </w:rPr>
        <w:t>Part 3 — </w:t>
      </w:r>
      <w:r>
        <w:rPr>
          <w:i/>
          <w:noProof/>
        </w:rPr>
        <w:t>Marine and Harbours Act 1981</w:t>
      </w:r>
    </w:p>
    <w:p>
      <w:pPr>
        <w:pStyle w:val="TOC4"/>
        <w:tabs>
          <w:tab w:val="clear" w:pos="1134"/>
          <w:tab w:val="left" w:pos="1135"/>
        </w:tabs>
        <w:rPr>
          <w:noProof/>
        </w:rPr>
      </w:pPr>
      <w:r>
        <w:rPr>
          <w:noProof/>
        </w:rPr>
        <w:t>38</w:t>
      </w:r>
      <w:r>
        <w:rPr>
          <w:noProof/>
          <w:snapToGrid w:val="0"/>
        </w:rPr>
        <w:t>.</w:t>
      </w:r>
      <w:r>
        <w:rPr>
          <w:noProof/>
        </w:rPr>
        <w:tab/>
      </w:r>
      <w:r>
        <w:rPr>
          <w:noProof/>
          <w:snapToGrid w:val="0"/>
        </w:rPr>
        <w:t>Principal Act</w:t>
      </w:r>
      <w:r>
        <w:rPr>
          <w:noProof/>
        </w:rPr>
        <w:tab/>
      </w:r>
      <w:r>
        <w:rPr>
          <w:noProof/>
        </w:rPr>
        <w:fldChar w:fldCharType="begin"/>
      </w:r>
      <w:r>
        <w:rPr>
          <w:noProof/>
        </w:rPr>
        <w:instrText xml:space="preserve"> PAGEREF _Toc459693979 \h </w:instrText>
      </w:r>
      <w:r>
        <w:rPr>
          <w:noProof/>
        </w:rPr>
      </w:r>
      <w:r>
        <w:rPr>
          <w:noProof/>
        </w:rPr>
        <w:fldChar w:fldCharType="separate"/>
      </w:r>
      <w:r>
        <w:rPr>
          <w:noProof/>
        </w:rPr>
        <w:t>21</w:t>
      </w:r>
      <w:r>
        <w:rPr>
          <w:noProof/>
        </w:rPr>
        <w:fldChar w:fldCharType="end"/>
      </w:r>
    </w:p>
    <w:p>
      <w:pPr>
        <w:pStyle w:val="TOC4"/>
        <w:tabs>
          <w:tab w:val="clear" w:pos="1134"/>
          <w:tab w:val="left" w:pos="1135"/>
        </w:tabs>
        <w:rPr>
          <w:noProof/>
        </w:rPr>
      </w:pPr>
      <w:r>
        <w:rPr>
          <w:noProof/>
        </w:rPr>
        <w:t>39</w:t>
      </w:r>
      <w:r>
        <w:rPr>
          <w:noProof/>
          <w:snapToGrid w:val="0"/>
        </w:rPr>
        <w:t>.</w:t>
      </w:r>
      <w:r>
        <w:rPr>
          <w:noProof/>
        </w:rPr>
        <w:tab/>
      </w:r>
      <w:r>
        <w:rPr>
          <w:noProof/>
          <w:snapToGrid w:val="0"/>
        </w:rPr>
        <w:t>Section 5A inserted</w:t>
      </w:r>
      <w:r>
        <w:rPr>
          <w:noProof/>
        </w:rPr>
        <w:tab/>
      </w:r>
      <w:r>
        <w:rPr>
          <w:noProof/>
        </w:rPr>
        <w:fldChar w:fldCharType="begin"/>
      </w:r>
      <w:r>
        <w:rPr>
          <w:noProof/>
        </w:rPr>
        <w:instrText xml:space="preserve"> PAGEREF _Toc459693980 \h </w:instrText>
      </w:r>
      <w:r>
        <w:rPr>
          <w:noProof/>
        </w:rPr>
      </w:r>
      <w:r>
        <w:rPr>
          <w:noProof/>
        </w:rPr>
        <w:fldChar w:fldCharType="separate"/>
      </w:r>
      <w:r>
        <w:rPr>
          <w:noProof/>
        </w:rPr>
        <w:t>21</w:t>
      </w:r>
      <w:r>
        <w:rPr>
          <w:noProof/>
        </w:rPr>
        <w:fldChar w:fldCharType="end"/>
      </w:r>
    </w:p>
    <w:p>
      <w:pPr>
        <w:pStyle w:val="TOC4"/>
        <w:tabs>
          <w:tab w:val="clear" w:pos="1134"/>
          <w:tab w:val="left" w:pos="1135"/>
        </w:tabs>
        <w:rPr>
          <w:noProof/>
        </w:rPr>
      </w:pPr>
      <w:r>
        <w:rPr>
          <w:noProof/>
        </w:rPr>
        <w:t>40</w:t>
      </w:r>
      <w:r>
        <w:rPr>
          <w:noProof/>
          <w:snapToGrid w:val="0"/>
        </w:rPr>
        <w:t>.</w:t>
      </w:r>
      <w:r>
        <w:rPr>
          <w:noProof/>
        </w:rPr>
        <w:tab/>
      </w:r>
      <w:r>
        <w:rPr>
          <w:noProof/>
          <w:snapToGrid w:val="0"/>
        </w:rPr>
        <w:t>Section 14A inserted</w:t>
      </w:r>
      <w:r>
        <w:rPr>
          <w:noProof/>
        </w:rPr>
        <w:tab/>
      </w:r>
      <w:r>
        <w:rPr>
          <w:noProof/>
        </w:rPr>
        <w:fldChar w:fldCharType="begin"/>
      </w:r>
      <w:r>
        <w:rPr>
          <w:noProof/>
        </w:rPr>
        <w:instrText xml:space="preserve"> PAGEREF _Toc459693981 \h </w:instrText>
      </w:r>
      <w:r>
        <w:rPr>
          <w:noProof/>
        </w:rPr>
      </w:r>
      <w:r>
        <w:rPr>
          <w:noProof/>
        </w:rPr>
        <w:fldChar w:fldCharType="separate"/>
      </w:r>
      <w:r>
        <w:rPr>
          <w:noProof/>
        </w:rPr>
        <w:t>22</w:t>
      </w:r>
      <w:r>
        <w:rPr>
          <w:noProof/>
        </w:rPr>
        <w:fldChar w:fldCharType="end"/>
      </w:r>
    </w:p>
    <w:p>
      <w:pPr>
        <w:pStyle w:val="TOC2"/>
        <w:tabs>
          <w:tab w:val="right" w:leader="dot" w:pos="7086"/>
        </w:tabs>
        <w:rPr>
          <w:noProof/>
        </w:rPr>
      </w:pPr>
      <w:r>
        <w:rPr>
          <w:noProof/>
        </w:rPr>
        <w:t>Part 4 — </w:t>
      </w:r>
      <w:r>
        <w:rPr>
          <w:i/>
          <w:noProof/>
        </w:rPr>
        <w:t>Shipping and Pilotage Act 1967</w:t>
      </w:r>
    </w:p>
    <w:p>
      <w:pPr>
        <w:pStyle w:val="TOC4"/>
        <w:tabs>
          <w:tab w:val="clear" w:pos="1134"/>
          <w:tab w:val="left" w:pos="1135"/>
        </w:tabs>
        <w:rPr>
          <w:noProof/>
        </w:rPr>
      </w:pPr>
      <w:r>
        <w:rPr>
          <w:noProof/>
        </w:rPr>
        <w:t>41</w:t>
      </w:r>
      <w:r>
        <w:rPr>
          <w:noProof/>
          <w:snapToGrid w:val="0"/>
        </w:rPr>
        <w:t>.</w:t>
      </w:r>
      <w:r>
        <w:rPr>
          <w:noProof/>
        </w:rPr>
        <w:tab/>
      </w:r>
      <w:r>
        <w:rPr>
          <w:noProof/>
          <w:snapToGrid w:val="0"/>
        </w:rPr>
        <w:t>Principal Act</w:t>
      </w:r>
      <w:r>
        <w:rPr>
          <w:noProof/>
        </w:rPr>
        <w:tab/>
      </w:r>
      <w:r>
        <w:rPr>
          <w:noProof/>
        </w:rPr>
        <w:fldChar w:fldCharType="begin"/>
      </w:r>
      <w:r>
        <w:rPr>
          <w:noProof/>
        </w:rPr>
        <w:instrText xml:space="preserve"> PAGEREF _Toc459693982 \h </w:instrText>
      </w:r>
      <w:r>
        <w:rPr>
          <w:noProof/>
        </w:rPr>
      </w:r>
      <w:r>
        <w:rPr>
          <w:noProof/>
        </w:rPr>
        <w:fldChar w:fldCharType="separate"/>
      </w:r>
      <w:r>
        <w:rPr>
          <w:noProof/>
        </w:rPr>
        <w:t>23</w:t>
      </w:r>
      <w:r>
        <w:rPr>
          <w:noProof/>
        </w:rPr>
        <w:fldChar w:fldCharType="end"/>
      </w:r>
    </w:p>
    <w:p>
      <w:pPr>
        <w:pStyle w:val="TOC4"/>
        <w:tabs>
          <w:tab w:val="clear" w:pos="1134"/>
          <w:tab w:val="left" w:pos="1135"/>
        </w:tabs>
        <w:rPr>
          <w:noProof/>
        </w:rPr>
      </w:pPr>
      <w:r>
        <w:rPr>
          <w:noProof/>
        </w:rPr>
        <w:t>42</w:t>
      </w:r>
      <w:r>
        <w:rPr>
          <w:noProof/>
          <w:snapToGrid w:val="0"/>
        </w:rPr>
        <w:t>.</w:t>
      </w:r>
      <w:r>
        <w:rPr>
          <w:noProof/>
        </w:rPr>
        <w:tab/>
      </w:r>
      <w:r>
        <w:rPr>
          <w:noProof/>
          <w:snapToGrid w:val="0"/>
        </w:rPr>
        <w:t>Section 3 amended</w:t>
      </w:r>
      <w:r>
        <w:rPr>
          <w:noProof/>
        </w:rPr>
        <w:tab/>
      </w:r>
      <w:r>
        <w:rPr>
          <w:noProof/>
        </w:rPr>
        <w:fldChar w:fldCharType="begin"/>
      </w:r>
      <w:r>
        <w:rPr>
          <w:noProof/>
        </w:rPr>
        <w:instrText xml:space="preserve"> PAGEREF _Toc459693983 \h </w:instrText>
      </w:r>
      <w:r>
        <w:rPr>
          <w:noProof/>
        </w:rPr>
      </w:r>
      <w:r>
        <w:rPr>
          <w:noProof/>
        </w:rPr>
        <w:fldChar w:fldCharType="separate"/>
      </w:r>
      <w:r>
        <w:rPr>
          <w:noProof/>
        </w:rPr>
        <w:t>23</w:t>
      </w:r>
      <w:r>
        <w:rPr>
          <w:noProof/>
        </w:rPr>
        <w:fldChar w:fldCharType="end"/>
      </w:r>
    </w:p>
    <w:p>
      <w:pPr>
        <w:pStyle w:val="TOC4"/>
        <w:tabs>
          <w:tab w:val="clear" w:pos="1134"/>
          <w:tab w:val="left" w:pos="1135"/>
        </w:tabs>
        <w:rPr>
          <w:noProof/>
        </w:rPr>
      </w:pPr>
      <w:r>
        <w:rPr>
          <w:noProof/>
        </w:rPr>
        <w:t>43</w:t>
      </w:r>
      <w:r>
        <w:rPr>
          <w:noProof/>
          <w:snapToGrid w:val="0"/>
        </w:rPr>
        <w:t>.</w:t>
      </w:r>
      <w:r>
        <w:rPr>
          <w:noProof/>
        </w:rPr>
        <w:tab/>
      </w:r>
      <w:r>
        <w:rPr>
          <w:noProof/>
          <w:snapToGrid w:val="0"/>
        </w:rPr>
        <w:t>Section 8 amended</w:t>
      </w:r>
      <w:r>
        <w:rPr>
          <w:noProof/>
        </w:rPr>
        <w:tab/>
      </w:r>
      <w:r>
        <w:rPr>
          <w:noProof/>
        </w:rPr>
        <w:fldChar w:fldCharType="begin"/>
      </w:r>
      <w:r>
        <w:rPr>
          <w:noProof/>
        </w:rPr>
        <w:instrText xml:space="preserve"> PAGEREF _Toc459693984 \h </w:instrText>
      </w:r>
      <w:r>
        <w:rPr>
          <w:noProof/>
        </w:rPr>
      </w:r>
      <w:r>
        <w:rPr>
          <w:noProof/>
        </w:rPr>
        <w:fldChar w:fldCharType="separate"/>
      </w:r>
      <w:r>
        <w:rPr>
          <w:noProof/>
        </w:rPr>
        <w:t>23</w:t>
      </w:r>
      <w:r>
        <w:rPr>
          <w:noProof/>
        </w:rPr>
        <w:fldChar w:fldCharType="end"/>
      </w:r>
    </w:p>
    <w:p>
      <w:pPr>
        <w:pStyle w:val="TOC4"/>
        <w:tabs>
          <w:tab w:val="clear" w:pos="1134"/>
          <w:tab w:val="left" w:pos="1135"/>
        </w:tabs>
        <w:rPr>
          <w:noProof/>
        </w:rPr>
      </w:pPr>
      <w:r>
        <w:rPr>
          <w:noProof/>
        </w:rPr>
        <w:t>44</w:t>
      </w:r>
      <w:r>
        <w:rPr>
          <w:noProof/>
          <w:snapToGrid w:val="0"/>
        </w:rPr>
        <w:t>.</w:t>
      </w:r>
      <w:r>
        <w:rPr>
          <w:noProof/>
        </w:rPr>
        <w:tab/>
      </w:r>
      <w:r>
        <w:rPr>
          <w:noProof/>
          <w:snapToGrid w:val="0"/>
        </w:rPr>
        <w:t>Section 10 amended</w:t>
      </w:r>
      <w:r>
        <w:rPr>
          <w:noProof/>
        </w:rPr>
        <w:tab/>
      </w:r>
      <w:r>
        <w:rPr>
          <w:noProof/>
        </w:rPr>
        <w:fldChar w:fldCharType="begin"/>
      </w:r>
      <w:r>
        <w:rPr>
          <w:noProof/>
        </w:rPr>
        <w:instrText xml:space="preserve"> PAGEREF _Toc459693985 \h </w:instrText>
      </w:r>
      <w:r>
        <w:rPr>
          <w:noProof/>
        </w:rPr>
      </w:r>
      <w:r>
        <w:rPr>
          <w:noProof/>
        </w:rPr>
        <w:fldChar w:fldCharType="separate"/>
      </w:r>
      <w:r>
        <w:rPr>
          <w:noProof/>
        </w:rPr>
        <w:t>24</w:t>
      </w:r>
      <w:r>
        <w:rPr>
          <w:noProof/>
        </w:rPr>
        <w:fldChar w:fldCharType="end"/>
      </w:r>
    </w:p>
    <w:p>
      <w:pPr>
        <w:pStyle w:val="TOC4"/>
        <w:tabs>
          <w:tab w:val="clear" w:pos="1134"/>
          <w:tab w:val="left" w:pos="1135"/>
        </w:tabs>
        <w:rPr>
          <w:noProof/>
        </w:rPr>
      </w:pPr>
      <w:r>
        <w:rPr>
          <w:noProof/>
        </w:rPr>
        <w:t>45</w:t>
      </w:r>
      <w:r>
        <w:rPr>
          <w:noProof/>
          <w:snapToGrid w:val="0"/>
        </w:rPr>
        <w:t>.</w:t>
      </w:r>
      <w:r>
        <w:rPr>
          <w:noProof/>
        </w:rPr>
        <w:tab/>
      </w:r>
      <w:r>
        <w:rPr>
          <w:noProof/>
          <w:snapToGrid w:val="0"/>
        </w:rPr>
        <w:t>Schedule amended</w:t>
      </w:r>
      <w:r>
        <w:rPr>
          <w:noProof/>
        </w:rPr>
        <w:tab/>
      </w:r>
      <w:r>
        <w:rPr>
          <w:noProof/>
        </w:rPr>
        <w:fldChar w:fldCharType="begin"/>
      </w:r>
      <w:r>
        <w:rPr>
          <w:noProof/>
        </w:rPr>
        <w:instrText xml:space="preserve"> PAGEREF _Toc459693986 \h </w:instrText>
      </w:r>
      <w:r>
        <w:rPr>
          <w:noProof/>
        </w:rPr>
      </w:r>
      <w:r>
        <w:rPr>
          <w:noProof/>
        </w:rPr>
        <w:fldChar w:fldCharType="separate"/>
      </w:r>
      <w:r>
        <w:rPr>
          <w:noProof/>
        </w:rPr>
        <w:t>24</w:t>
      </w:r>
      <w:r>
        <w:rPr>
          <w:noProof/>
        </w:rPr>
        <w:fldChar w:fldCharType="end"/>
      </w:r>
    </w:p>
    <w:p>
      <w:pPr>
        <w:pStyle w:val="TOC2"/>
        <w:tabs>
          <w:tab w:val="right" w:leader="dot" w:pos="7086"/>
        </w:tabs>
        <w:rPr>
          <w:noProof/>
        </w:rPr>
      </w:pPr>
      <w:r>
        <w:rPr>
          <w:noProof/>
        </w:rPr>
        <w:t>Part 5 — Miscellaneous</w:t>
      </w:r>
    </w:p>
    <w:p>
      <w:pPr>
        <w:pStyle w:val="TOC4"/>
        <w:tabs>
          <w:tab w:val="clear" w:pos="1134"/>
          <w:tab w:val="left" w:pos="1135"/>
        </w:tabs>
        <w:rPr>
          <w:noProof/>
        </w:rPr>
      </w:pPr>
      <w:r>
        <w:rPr>
          <w:noProof/>
        </w:rPr>
        <w:t>46</w:t>
      </w:r>
      <w:r>
        <w:rPr>
          <w:noProof/>
          <w:snapToGrid w:val="0"/>
        </w:rPr>
        <w:t>.</w:t>
      </w:r>
      <w:r>
        <w:rPr>
          <w:noProof/>
        </w:rPr>
        <w:tab/>
      </w:r>
      <w:r>
        <w:rPr>
          <w:noProof/>
          <w:snapToGrid w:val="0"/>
        </w:rPr>
        <w:t>Consequential and minor amendments</w:t>
      </w:r>
      <w:r>
        <w:rPr>
          <w:noProof/>
        </w:rPr>
        <w:tab/>
      </w:r>
      <w:r>
        <w:rPr>
          <w:noProof/>
        </w:rPr>
        <w:fldChar w:fldCharType="begin"/>
      </w:r>
      <w:r>
        <w:rPr>
          <w:noProof/>
        </w:rPr>
        <w:instrText xml:space="preserve"> PAGEREF _Toc459693987 \h </w:instrText>
      </w:r>
      <w:r>
        <w:rPr>
          <w:noProof/>
        </w:rPr>
      </w:r>
      <w:r>
        <w:rPr>
          <w:noProof/>
        </w:rPr>
        <w:fldChar w:fldCharType="separate"/>
      </w:r>
      <w:r>
        <w:rPr>
          <w:noProof/>
        </w:rPr>
        <w:t>26</w:t>
      </w:r>
      <w:r>
        <w:rPr>
          <w:noProof/>
        </w:rPr>
        <w:fldChar w:fldCharType="end"/>
      </w:r>
    </w:p>
    <w:p>
      <w:pPr>
        <w:pStyle w:val="TOC4"/>
        <w:tabs>
          <w:tab w:val="clear" w:pos="1134"/>
          <w:tab w:val="left" w:pos="1135"/>
        </w:tabs>
        <w:rPr>
          <w:noProof/>
        </w:rPr>
      </w:pPr>
      <w:r>
        <w:rPr>
          <w:noProof/>
        </w:rPr>
        <w:t>47</w:t>
      </w:r>
      <w:r>
        <w:rPr>
          <w:noProof/>
          <w:snapToGrid w:val="0"/>
        </w:rPr>
        <w:t>.</w:t>
      </w:r>
      <w:r>
        <w:rPr>
          <w:noProof/>
        </w:rPr>
        <w:tab/>
      </w:r>
      <w:r>
        <w:rPr>
          <w:noProof/>
          <w:snapToGrid w:val="0"/>
        </w:rPr>
        <w:t>Validation (Port Hedland)</w:t>
      </w:r>
      <w:r>
        <w:rPr>
          <w:noProof/>
        </w:rPr>
        <w:tab/>
      </w:r>
      <w:r>
        <w:rPr>
          <w:noProof/>
        </w:rPr>
        <w:fldChar w:fldCharType="begin"/>
      </w:r>
      <w:r>
        <w:rPr>
          <w:noProof/>
        </w:rPr>
        <w:instrText xml:space="preserve"> PAGEREF _Toc459693988 \h </w:instrText>
      </w:r>
      <w:r>
        <w:rPr>
          <w:noProof/>
        </w:rPr>
      </w:r>
      <w:r>
        <w:rPr>
          <w:noProof/>
        </w:rPr>
        <w:fldChar w:fldCharType="separate"/>
      </w:r>
      <w:r>
        <w:rPr>
          <w:noProof/>
        </w:rPr>
        <w:t>26</w:t>
      </w:r>
      <w:r>
        <w:rPr>
          <w:noProof/>
        </w:rPr>
        <w:fldChar w:fldCharType="end"/>
      </w:r>
    </w:p>
    <w:p>
      <w:pPr>
        <w:pStyle w:val="TOC4"/>
        <w:tabs>
          <w:tab w:val="clear" w:pos="1134"/>
          <w:tab w:val="left" w:pos="1135"/>
        </w:tabs>
        <w:rPr>
          <w:noProof/>
        </w:rPr>
      </w:pPr>
      <w:r>
        <w:rPr>
          <w:noProof/>
        </w:rPr>
        <w:t>48</w:t>
      </w:r>
      <w:r>
        <w:rPr>
          <w:noProof/>
          <w:snapToGrid w:val="0"/>
        </w:rPr>
        <w:t>.</w:t>
      </w:r>
      <w:r>
        <w:rPr>
          <w:noProof/>
        </w:rPr>
        <w:tab/>
      </w:r>
      <w:r>
        <w:rPr>
          <w:noProof/>
          <w:snapToGrid w:val="0"/>
        </w:rPr>
        <w:t>Harbour masters (transitional)</w:t>
      </w:r>
      <w:r>
        <w:rPr>
          <w:noProof/>
        </w:rPr>
        <w:tab/>
      </w:r>
      <w:r>
        <w:rPr>
          <w:noProof/>
        </w:rPr>
        <w:fldChar w:fldCharType="begin"/>
      </w:r>
      <w:r>
        <w:rPr>
          <w:noProof/>
        </w:rPr>
        <w:instrText xml:space="preserve"> PAGEREF _Toc459693989 \h </w:instrText>
      </w:r>
      <w:r>
        <w:rPr>
          <w:noProof/>
        </w:rPr>
      </w:r>
      <w:r>
        <w:rPr>
          <w:noProof/>
        </w:rPr>
        <w:fldChar w:fldCharType="separate"/>
      </w:r>
      <w:r>
        <w:rPr>
          <w:noProof/>
        </w:rPr>
        <w:t>26</w:t>
      </w:r>
      <w:r>
        <w:rPr>
          <w:noProof/>
        </w:rPr>
        <w:fldChar w:fldCharType="end"/>
      </w:r>
    </w:p>
    <w:p>
      <w:pPr>
        <w:pStyle w:val="TOC4"/>
        <w:tabs>
          <w:tab w:val="clear" w:pos="1134"/>
          <w:tab w:val="left" w:pos="1135"/>
        </w:tabs>
        <w:rPr>
          <w:noProof/>
        </w:rPr>
      </w:pPr>
      <w:r>
        <w:rPr>
          <w:noProof/>
        </w:rPr>
        <w:t>49</w:t>
      </w:r>
      <w:r>
        <w:rPr>
          <w:noProof/>
          <w:snapToGrid w:val="0"/>
        </w:rPr>
        <w:t>.</w:t>
      </w:r>
      <w:r>
        <w:rPr>
          <w:noProof/>
        </w:rPr>
        <w:tab/>
      </w:r>
      <w:r>
        <w:rPr>
          <w:noProof/>
          <w:snapToGrid w:val="0"/>
        </w:rPr>
        <w:t>Dampier pilotage services agreements (transitional)</w:t>
      </w:r>
      <w:r>
        <w:rPr>
          <w:noProof/>
        </w:rPr>
        <w:tab/>
      </w:r>
      <w:r>
        <w:rPr>
          <w:noProof/>
        </w:rPr>
        <w:fldChar w:fldCharType="begin"/>
      </w:r>
      <w:r>
        <w:rPr>
          <w:noProof/>
        </w:rPr>
        <w:instrText xml:space="preserve"> PAGEREF _Toc459693990 \h </w:instrText>
      </w:r>
      <w:r>
        <w:rPr>
          <w:noProof/>
        </w:rPr>
      </w:r>
      <w:r>
        <w:rPr>
          <w:noProof/>
        </w:rPr>
        <w:fldChar w:fldCharType="separate"/>
      </w:r>
      <w:r>
        <w:rPr>
          <w:noProof/>
        </w:rPr>
        <w:t>26</w:t>
      </w:r>
      <w:r>
        <w:rPr>
          <w:noProof/>
        </w:rPr>
        <w:fldChar w:fldCharType="end"/>
      </w:r>
    </w:p>
    <w:p>
      <w:pPr>
        <w:pStyle w:val="TOC4"/>
        <w:tabs>
          <w:tab w:val="clear" w:pos="1134"/>
          <w:tab w:val="left" w:pos="1135"/>
        </w:tabs>
        <w:rPr>
          <w:noProof/>
        </w:rPr>
      </w:pPr>
      <w:r>
        <w:rPr>
          <w:noProof/>
        </w:rPr>
        <w:t>50</w:t>
      </w:r>
      <w:r>
        <w:rPr>
          <w:noProof/>
          <w:snapToGrid w:val="0"/>
        </w:rPr>
        <w:t>.</w:t>
      </w:r>
      <w:r>
        <w:rPr>
          <w:noProof/>
        </w:rPr>
        <w:tab/>
      </w:r>
      <w:r>
        <w:rPr>
          <w:noProof/>
          <w:snapToGrid w:val="0"/>
        </w:rPr>
        <w:t>Existing port authority regulations (saving)</w:t>
      </w:r>
      <w:r>
        <w:rPr>
          <w:noProof/>
        </w:rPr>
        <w:tab/>
      </w:r>
      <w:r>
        <w:rPr>
          <w:noProof/>
        </w:rPr>
        <w:fldChar w:fldCharType="begin"/>
      </w:r>
      <w:r>
        <w:rPr>
          <w:noProof/>
        </w:rPr>
        <w:instrText xml:space="preserve"> PAGEREF _Toc459693991 \h </w:instrText>
      </w:r>
      <w:r>
        <w:rPr>
          <w:noProof/>
        </w:rPr>
      </w:r>
      <w:r>
        <w:rPr>
          <w:noProof/>
        </w:rPr>
        <w:fldChar w:fldCharType="separate"/>
      </w:r>
      <w:r>
        <w:rPr>
          <w:noProof/>
        </w:rPr>
        <w:t>26</w:t>
      </w:r>
      <w:r>
        <w:rPr>
          <w:noProof/>
        </w:rPr>
        <w:fldChar w:fldCharType="end"/>
      </w:r>
    </w:p>
    <w:p>
      <w:pPr>
        <w:pStyle w:val="TOC2"/>
        <w:tabs>
          <w:tab w:val="right" w:leader="dot" w:pos="7086"/>
        </w:tabs>
        <w:rPr>
          <w:noProof/>
        </w:rPr>
      </w:pPr>
      <w:r>
        <w:rPr>
          <w:noProof/>
        </w:rPr>
        <w:t>Schedule 1</w:t>
      </w:r>
    </w:p>
    <w:p>
      <w:pPr>
        <w:pStyle w:val="TOC2"/>
        <w:tabs>
          <w:tab w:val="right" w:leader="dot" w:pos="7086"/>
        </w:tabs>
        <w:rPr>
          <w:noProof/>
        </w:rPr>
      </w:pPr>
      <w:r>
        <w:rPr>
          <w:noProof/>
        </w:rPr>
        <w:t>PART 1 — </w:t>
      </w:r>
      <w:r>
        <w:rPr>
          <w:i/>
          <w:noProof/>
        </w:rPr>
        <w:t>ALBANY PORT AUTHORITY ACT 1926</w:t>
      </w:r>
      <w:r>
        <w:rPr>
          <w:noProof/>
        </w:rPr>
        <w:t>*</w:t>
      </w:r>
    </w:p>
    <w:p>
      <w:pPr>
        <w:pStyle w:val="TOC2"/>
        <w:tabs>
          <w:tab w:val="right" w:leader="dot" w:pos="7086"/>
        </w:tabs>
        <w:rPr>
          <w:noProof/>
        </w:rPr>
      </w:pPr>
      <w:r>
        <w:rPr>
          <w:noProof/>
        </w:rPr>
        <w:t>PART 2 — </w:t>
      </w:r>
      <w:r>
        <w:rPr>
          <w:i/>
          <w:noProof/>
        </w:rPr>
        <w:t>BUNBURY PORT AUTHORITY ACT 1909</w:t>
      </w:r>
      <w:r>
        <w:rPr>
          <w:noProof/>
        </w:rPr>
        <w:t>*</w:t>
      </w:r>
    </w:p>
    <w:p>
      <w:pPr>
        <w:pStyle w:val="TOC2"/>
        <w:tabs>
          <w:tab w:val="right" w:leader="dot" w:pos="7086"/>
        </w:tabs>
        <w:rPr>
          <w:noProof/>
        </w:rPr>
      </w:pPr>
      <w:r>
        <w:rPr>
          <w:noProof/>
        </w:rPr>
        <w:t>PART 3 — </w:t>
      </w:r>
      <w:r>
        <w:rPr>
          <w:i/>
          <w:noProof/>
        </w:rPr>
        <w:t>DAMPIER PORT AUTHORITY ACT 1985</w:t>
      </w:r>
      <w:r>
        <w:rPr>
          <w:noProof/>
        </w:rPr>
        <w:t>*</w:t>
      </w:r>
    </w:p>
    <w:p>
      <w:pPr>
        <w:pStyle w:val="TOC2"/>
        <w:tabs>
          <w:tab w:val="right" w:leader="dot" w:pos="7086"/>
        </w:tabs>
        <w:rPr>
          <w:noProof/>
        </w:rPr>
      </w:pPr>
      <w:r>
        <w:rPr>
          <w:noProof/>
        </w:rPr>
        <w:t>PART 4 — </w:t>
      </w:r>
      <w:r>
        <w:rPr>
          <w:i/>
          <w:noProof/>
        </w:rPr>
        <w:t>ESPERANCE PORT AUTHORITY ACT 1968</w:t>
      </w:r>
      <w:r>
        <w:rPr>
          <w:noProof/>
        </w:rPr>
        <w:t>*</w:t>
      </w:r>
    </w:p>
    <w:p>
      <w:pPr>
        <w:pStyle w:val="TOC2"/>
        <w:tabs>
          <w:tab w:val="right" w:leader="dot" w:pos="7086"/>
        </w:tabs>
        <w:rPr>
          <w:noProof/>
        </w:rPr>
      </w:pPr>
      <w:r>
        <w:rPr>
          <w:noProof/>
        </w:rPr>
        <w:t>PART 5 — </w:t>
      </w:r>
      <w:r>
        <w:rPr>
          <w:i/>
          <w:noProof/>
        </w:rPr>
        <w:t>FREMANTLE PORT AUTHORITY ACT 1902</w:t>
      </w:r>
      <w:r>
        <w:rPr>
          <w:noProof/>
        </w:rPr>
        <w:t>*</w:t>
      </w:r>
    </w:p>
    <w:p>
      <w:pPr>
        <w:pStyle w:val="TOC2"/>
        <w:tabs>
          <w:tab w:val="right" w:leader="dot" w:pos="7086"/>
        </w:tabs>
        <w:rPr>
          <w:noProof/>
        </w:rPr>
      </w:pPr>
      <w:r>
        <w:rPr>
          <w:noProof/>
        </w:rPr>
        <w:t>PART 6 — </w:t>
      </w:r>
      <w:r>
        <w:rPr>
          <w:i/>
          <w:noProof/>
        </w:rPr>
        <w:t>GERALDTON PORT AUTHORITY ACT 1968</w:t>
      </w:r>
      <w:r>
        <w:rPr>
          <w:noProof/>
        </w:rPr>
        <w:t>*</w:t>
      </w:r>
    </w:p>
    <w:p>
      <w:pPr>
        <w:pStyle w:val="TOC2"/>
        <w:tabs>
          <w:tab w:val="right" w:leader="dot" w:pos="7086"/>
        </w:tabs>
        <w:rPr>
          <w:noProof/>
        </w:rPr>
      </w:pPr>
      <w:r>
        <w:rPr>
          <w:noProof/>
        </w:rPr>
        <w:t>PART 7 — </w:t>
      </w:r>
      <w:r>
        <w:rPr>
          <w:i/>
          <w:noProof/>
        </w:rPr>
        <w:t>PORT HEDLAND PORT AUTHORITY ACT 1970</w:t>
      </w:r>
      <w:r>
        <w:rPr>
          <w:noProof/>
        </w:rPr>
        <w:t>*</w:t>
      </w:r>
    </w:p>
    <w:p>
      <w:pPr>
        <w:pStyle w:val="TOC2"/>
        <w:tabs>
          <w:tab w:val="right" w:leader="dot" w:pos="7086"/>
        </w:tabs>
        <w:rPr>
          <w:noProof/>
        </w:rPr>
      </w:pPr>
      <w:r>
        <w:rPr>
          <w:noProof/>
        </w:rPr>
        <w:t>PART 8 — </w:t>
      </w:r>
      <w:r>
        <w:rPr>
          <w:i/>
          <w:noProof/>
        </w:rPr>
        <w:t>POLLUTION OF WATERS BY OIL AND NOXIOUS SUBSTANCES ACT 1987</w:t>
      </w:r>
      <w:r>
        <w:rPr>
          <w:noProof/>
        </w:rPr>
        <w:t>*</w:t>
      </w:r>
    </w:p>
    <w:p>
      <w:pPr>
        <w:pStyle w:val="TOC2"/>
        <w:tabs>
          <w:tab w:val="right" w:leader="dot" w:pos="7086"/>
        </w:tabs>
        <w:rPr>
          <w:noProof/>
        </w:rPr>
      </w:pPr>
      <w:r>
        <w:rPr>
          <w:noProof/>
        </w:rPr>
        <w:t>Notes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Ports (Functions) Act 1993</w:t>
      </w:r>
    </w:p>
    <w:p>
      <w:pPr>
        <w:pStyle w:val="LongTitle"/>
        <w:rPr>
          <w:snapToGrid w:val="0"/>
        </w:rPr>
      </w:pPr>
      <w:r>
        <w:rPr>
          <w:snapToGrid w:val="0"/>
        </w:rPr>
        <w:t>An Act to provide port authorities with added functions (including control over pilotage), to provide for other matters in relation to port authorities, to amend Acts relating to port authorities and the — </w:t>
      </w:r>
    </w:p>
    <w:p>
      <w:pPr>
        <w:pStyle w:val="MiscellaneousBody"/>
        <w:ind w:left="720"/>
        <w:rPr>
          <w:b/>
          <w:snapToGrid w:val="0"/>
        </w:rPr>
      </w:pPr>
      <w:r>
        <w:rPr>
          <w:b/>
          <w:snapToGrid w:val="0"/>
        </w:rPr>
        <w:t>•</w:t>
      </w:r>
      <w:r>
        <w:rPr>
          <w:b/>
          <w:snapToGrid w:val="0"/>
        </w:rPr>
        <w:t> </w:t>
      </w:r>
      <w:r>
        <w:rPr>
          <w:b/>
          <w:i/>
          <w:snapToGrid w:val="0"/>
        </w:rPr>
        <w:t>Marine and Harbours Act 1981</w:t>
      </w:r>
      <w:r>
        <w:rPr>
          <w:b/>
          <w:snapToGrid w:val="0"/>
        </w:rPr>
        <w:t>; and</w:t>
      </w:r>
    </w:p>
    <w:p>
      <w:pPr>
        <w:pStyle w:val="MiscellaneousBody"/>
        <w:ind w:left="720"/>
        <w:rPr>
          <w:b/>
          <w:snapToGrid w:val="0"/>
        </w:rPr>
      </w:pPr>
      <w:r>
        <w:rPr>
          <w:b/>
          <w:snapToGrid w:val="0"/>
        </w:rPr>
        <w:t>•</w:t>
      </w:r>
      <w:r>
        <w:rPr>
          <w:b/>
          <w:snapToGrid w:val="0"/>
        </w:rPr>
        <w:t> </w:t>
      </w:r>
      <w:r>
        <w:rPr>
          <w:b/>
          <w:i/>
          <w:snapToGrid w:val="0"/>
        </w:rPr>
        <w:t>Shipping and Pilotage Act 1967</w:t>
      </w:r>
      <w:r>
        <w:rPr>
          <w:b/>
          <w:snapToGrid w:val="0"/>
        </w:rPr>
        <w:t>,</w:t>
      </w:r>
    </w:p>
    <w:p>
      <w:pPr>
        <w:pStyle w:val="MiscellaneousBody"/>
        <w:rPr>
          <w:b/>
          <w:snapToGrid w:val="0"/>
        </w:rPr>
      </w:pPr>
      <w:r>
        <w:rPr>
          <w:b/>
          <w:snapToGrid w:val="0"/>
        </w:rPr>
        <w:t>and for other related or minor purposes.</w:t>
      </w:r>
    </w:p>
    <w:p>
      <w:pPr>
        <w:pStyle w:val="AssentNote"/>
      </w:pPr>
      <w:r>
        <w:t xml:space="preserve">[Assented to 20 December 1993.] </w:t>
      </w:r>
    </w:p>
    <w:p>
      <w:pPr>
        <w:pStyle w:val="Enactment"/>
        <w:rPr>
          <w:snapToGrid w:val="0"/>
        </w:rPr>
      </w:pPr>
      <w:r>
        <w:rPr>
          <w:snapToGrid w:val="0"/>
        </w:rPr>
        <w:t xml:space="preserve">The Parliament of Western Australia enacts as follows: </w:t>
      </w:r>
    </w:p>
    <w:p>
      <w:pPr>
        <w:pStyle w:val="Heading2"/>
      </w:pPr>
      <w:r>
        <w:rPr>
          <w:rStyle w:val="CharPartNo"/>
        </w:rPr>
        <w:t>Part 1</w:t>
      </w:r>
      <w:r>
        <w:rPr>
          <w:rStyle w:val="CharDivNo"/>
        </w:rPr>
        <w:t> </w:t>
      </w:r>
      <w:r>
        <w:t>—</w:t>
      </w:r>
      <w:r>
        <w:rPr>
          <w:rStyle w:val="CharDivText"/>
        </w:rPr>
        <w:t> </w:t>
      </w:r>
      <w:r>
        <w:rPr>
          <w:rStyle w:val="CharPartText"/>
        </w:rPr>
        <w:t xml:space="preserve">Preliminary </w:t>
      </w:r>
    </w:p>
    <w:p>
      <w:pPr>
        <w:pStyle w:val="Heading5"/>
        <w:rPr>
          <w:snapToGrid w:val="0"/>
        </w:rPr>
      </w:pPr>
      <w:bookmarkStart w:id="1" w:name="_Toc459693943"/>
      <w:r>
        <w:rPr>
          <w:rStyle w:val="CharSectno"/>
        </w:rPr>
        <w:t>1</w:t>
      </w:r>
      <w:r>
        <w:rPr>
          <w:snapToGrid w:val="0"/>
        </w:rPr>
        <w:t>.</w:t>
      </w:r>
      <w:r>
        <w:rPr>
          <w:snapToGrid w:val="0"/>
        </w:rPr>
        <w:tab/>
        <w:t>Short title</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Ports (Functions) Act 1993</w:t>
      </w:r>
      <w:r>
        <w:rPr>
          <w:snapToGrid w:val="0"/>
        </w:rPr>
        <w:t>.</w:t>
      </w:r>
    </w:p>
    <w:p>
      <w:pPr>
        <w:pStyle w:val="Heading5"/>
        <w:rPr>
          <w:snapToGrid w:val="0"/>
        </w:rPr>
      </w:pPr>
      <w:bookmarkStart w:id="2" w:name="_Toc459693944"/>
      <w:r>
        <w:rPr>
          <w:rStyle w:val="CharSectno"/>
        </w:rPr>
        <w:t>2</w:t>
      </w:r>
      <w:r>
        <w:rPr>
          <w:snapToGrid w:val="0"/>
        </w:rPr>
        <w:t>.</w:t>
      </w:r>
      <w:r>
        <w:rPr>
          <w:snapToGrid w:val="0"/>
        </w:rPr>
        <w:tab/>
        <w:t>Commencement</w:t>
      </w:r>
      <w:bookmarkEnd w:id="2"/>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2"/>
      </w:pPr>
      <w:r>
        <w:rPr>
          <w:rStyle w:val="CharPartNo"/>
        </w:rPr>
        <w:t>Part 2</w:t>
      </w:r>
      <w:r>
        <w:t> — </w:t>
      </w:r>
      <w:r>
        <w:rPr>
          <w:rStyle w:val="CharPartText"/>
        </w:rPr>
        <w:t xml:space="preserve">Port authorities </w:t>
      </w:r>
    </w:p>
    <w:p>
      <w:pPr>
        <w:pStyle w:val="Heading3"/>
        <w:rPr>
          <w:snapToGrid w:val="0"/>
        </w:rPr>
      </w:pPr>
      <w:r>
        <w:rPr>
          <w:rStyle w:val="CharDivNo"/>
        </w:rPr>
        <w:t>Division 1</w:t>
      </w:r>
      <w:r>
        <w:rPr>
          <w:snapToGrid w:val="0"/>
        </w:rPr>
        <w:t> — </w:t>
      </w:r>
      <w:r>
        <w:rPr>
          <w:rStyle w:val="CharDivText"/>
        </w:rPr>
        <w:t xml:space="preserve">Preliminary </w:t>
      </w:r>
    </w:p>
    <w:p>
      <w:pPr>
        <w:pStyle w:val="Heading5"/>
        <w:rPr>
          <w:snapToGrid w:val="0"/>
        </w:rPr>
      </w:pPr>
      <w:bookmarkStart w:id="3" w:name="_Toc459693945"/>
      <w:r>
        <w:rPr>
          <w:rStyle w:val="CharSectno"/>
        </w:rPr>
        <w:t>3</w:t>
      </w:r>
      <w:r>
        <w:rPr>
          <w:snapToGrid w:val="0"/>
        </w:rPr>
        <w:t>.</w:t>
      </w:r>
      <w:r>
        <w:rPr>
          <w:snapToGrid w:val="0"/>
        </w:rPr>
        <w:tab/>
        <w:t>Interpretation</w:t>
      </w:r>
      <w:bookmarkEnd w:id="3"/>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“port”</w:t>
      </w:r>
      <w:r>
        <w:t xml:space="preserve"> means — </w:t>
      </w:r>
    </w:p>
    <w:p>
      <w:pPr>
        <w:pStyle w:val="Ednotedefpara"/>
        <w:ind w:hanging="337"/>
      </w:pPr>
      <w:r>
        <w:tab/>
        <w:t>[(a) – (g) deleted]</w:t>
      </w:r>
    </w:p>
    <w:p>
      <w:pPr>
        <w:pStyle w:val="Defstart"/>
      </w:pPr>
      <w:r>
        <w:tab/>
      </w:r>
      <w:r>
        <w:tab/>
        <w:t>as described in the port authority Act relating to that port;</w:t>
      </w:r>
    </w:p>
    <w:p>
      <w:pPr>
        <w:pStyle w:val="Defstart"/>
      </w:pPr>
      <w:r>
        <w:rPr>
          <w:b/>
        </w:rPr>
        <w:tab/>
        <w:t>“port authority”</w:t>
      </w:r>
      <w:r>
        <w:t xml:space="preserve"> means a port authority constituted under a port authority Act;</w:t>
      </w:r>
    </w:p>
    <w:p>
      <w:pPr>
        <w:pStyle w:val="Defstart"/>
      </w:pPr>
      <w:r>
        <w:rPr>
          <w:b/>
        </w:rPr>
        <w:tab/>
        <w:t>“port authority Act”</w:t>
      </w:r>
      <w:r>
        <w:t xml:space="preserve"> means the — </w:t>
      </w:r>
    </w:p>
    <w:p>
      <w:pPr>
        <w:pStyle w:val="Ednotedefpara"/>
        <w:ind w:hanging="337"/>
      </w:pPr>
      <w:r>
        <w:tab/>
        <w:t>[(a) – (g) deleted];</w:t>
      </w:r>
    </w:p>
    <w:p>
      <w:pPr>
        <w:pStyle w:val="Defstart"/>
      </w:pPr>
      <w:r>
        <w:rPr>
          <w:b/>
        </w:rPr>
        <w:tab/>
        <w:t>“vessel”</w:t>
      </w:r>
      <w:r>
        <w:t xml:space="preserve"> means anything used, or capable of being used, to move people or things by water and it does not matter — </w:t>
      </w:r>
    </w:p>
    <w:p>
      <w:pPr>
        <w:pStyle w:val="Defpara"/>
      </w:pPr>
      <w:r>
        <w:tab/>
        <w:t>(a)</w:t>
      </w:r>
      <w:r>
        <w:tab/>
        <w:t>that such a thing is ordinarily stationary; or</w:t>
      </w:r>
    </w:p>
    <w:p>
      <w:pPr>
        <w:pStyle w:val="Defpara"/>
      </w:pPr>
      <w:r>
        <w:tab/>
        <w:t>(b)</w:t>
      </w:r>
      <w:r>
        <w:tab/>
        <w:t>how any such thing is moved or propelled.</w:t>
      </w:r>
    </w:p>
    <w:p>
      <w:pPr>
        <w:pStyle w:val="Footnotesection"/>
      </w:pPr>
      <w:r>
        <w:tab/>
        <w:t>[Section 3 amended by No. 5 of 1999 ss.4(2), 5(2), 6(2), 7(2), 8(2), 9(2) and 10(2).]</w:t>
      </w:r>
    </w:p>
    <w:p>
      <w:pPr>
        <w:pStyle w:val="Heading5"/>
        <w:rPr>
          <w:snapToGrid w:val="0"/>
        </w:rPr>
      </w:pPr>
      <w:bookmarkStart w:id="4" w:name="_Toc459693946"/>
      <w:r>
        <w:rPr>
          <w:rStyle w:val="CharSectno"/>
        </w:rPr>
        <w:t>4</w:t>
      </w:r>
      <w:r>
        <w:rPr>
          <w:snapToGrid w:val="0"/>
        </w:rPr>
        <w:t>.</w:t>
      </w:r>
      <w:r>
        <w:rPr>
          <w:snapToGrid w:val="0"/>
        </w:rPr>
        <w:tab/>
        <w:t>Relationship with port authority Acts</w:t>
      </w:r>
      <w:bookmarkEnd w:id="4"/>
      <w:r>
        <w:rPr>
          <w:snapToGrid w:val="0"/>
        </w:rPr>
        <w:t xml:space="preserve"> </w:t>
      </w:r>
    </w:p>
    <w:p>
      <w:pPr>
        <w:pStyle w:val="Subsection"/>
        <w:rPr>
          <w:snapToGrid w:val="0"/>
        </w:rPr>
      </w:pPr>
      <w:r>
        <w:rPr>
          <w:snapToGrid w:val="0"/>
        </w:rPr>
        <w:tab/>
        <w:t>(1)</w:t>
      </w:r>
      <w:r>
        <w:rPr>
          <w:snapToGrid w:val="0"/>
        </w:rPr>
        <w:tab/>
        <w:t>Each of the port authority Acts is to be read as one with this Part.</w:t>
      </w:r>
    </w:p>
    <w:p>
      <w:pPr>
        <w:pStyle w:val="Subsection"/>
        <w:rPr>
          <w:snapToGrid w:val="0"/>
        </w:rPr>
      </w:pPr>
      <w:r>
        <w:rPr>
          <w:snapToGrid w:val="0"/>
        </w:rPr>
        <w:tab/>
        <w:t>(2)</w:t>
      </w:r>
      <w:r>
        <w:rPr>
          <w:snapToGrid w:val="0"/>
        </w:rPr>
        <w:tab/>
        <w:t>If a provision in this Part conflicts or is inconsistent with an Act referred to in subsection (1), the provision in this Part prevails, except where one of those Acts expressly provides to the contrary.</w:t>
      </w:r>
    </w:p>
    <w:p>
      <w:pPr>
        <w:pStyle w:val="Heading3"/>
        <w:rPr>
          <w:snapToGrid w:val="0"/>
        </w:rPr>
      </w:pPr>
      <w:r>
        <w:rPr>
          <w:rStyle w:val="CharDivNo"/>
        </w:rPr>
        <w:t>Division 2</w:t>
      </w:r>
      <w:r>
        <w:rPr>
          <w:snapToGrid w:val="0"/>
        </w:rPr>
        <w:t> — </w:t>
      </w:r>
      <w:r>
        <w:rPr>
          <w:rStyle w:val="CharDivText"/>
        </w:rPr>
        <w:t xml:space="preserve">Relationship with the Crown </w:t>
      </w:r>
    </w:p>
    <w:p>
      <w:pPr>
        <w:pStyle w:val="Heading5"/>
        <w:rPr>
          <w:snapToGrid w:val="0"/>
        </w:rPr>
      </w:pPr>
      <w:bookmarkStart w:id="5" w:name="_Toc459693947"/>
      <w:r>
        <w:rPr>
          <w:rStyle w:val="CharSectno"/>
        </w:rPr>
        <w:t>5</w:t>
      </w:r>
      <w:r>
        <w:rPr>
          <w:snapToGrid w:val="0"/>
        </w:rPr>
        <w:t>.</w:t>
      </w:r>
      <w:r>
        <w:rPr>
          <w:snapToGrid w:val="0"/>
        </w:rPr>
        <w:tab/>
        <w:t>Port authorities are agents of the Crown</w:t>
      </w:r>
      <w:bookmarkEnd w:id="5"/>
      <w:r>
        <w:rPr>
          <w:snapToGrid w:val="0"/>
        </w:rPr>
        <w:t xml:space="preserve"> </w:t>
      </w:r>
    </w:p>
    <w:p>
      <w:pPr>
        <w:pStyle w:val="Subsection"/>
        <w:rPr>
          <w:snapToGrid w:val="0"/>
        </w:rPr>
      </w:pPr>
      <w:r>
        <w:rPr>
          <w:snapToGrid w:val="0"/>
        </w:rPr>
        <w:tab/>
        <w:t>(1)</w:t>
      </w:r>
      <w:r>
        <w:rPr>
          <w:snapToGrid w:val="0"/>
        </w:rPr>
        <w:tab/>
        <w:t>Subject to subsection (2), each port authority is an agent of the Crown in right of the State.</w:t>
      </w:r>
    </w:p>
    <w:p>
      <w:pPr>
        <w:pStyle w:val="Subsection"/>
        <w:rPr>
          <w:snapToGrid w:val="0"/>
        </w:rPr>
      </w:pPr>
      <w:r>
        <w:rPr>
          <w:snapToGrid w:val="0"/>
        </w:rPr>
        <w:tab/>
        <w:t>(2)</w:t>
      </w:r>
      <w:r>
        <w:rPr>
          <w:snapToGrid w:val="0"/>
        </w:rPr>
        <w:tab/>
        <w:t>If under section 13 (1) (b) a port authority participates in a business arrangement with any person, the business arrangement does not enjoy the status, immunities, or privileges of the Crown.</w:t>
      </w:r>
    </w:p>
    <w:p>
      <w:pPr>
        <w:pStyle w:val="Heading5"/>
        <w:rPr>
          <w:snapToGrid w:val="0"/>
        </w:rPr>
      </w:pPr>
      <w:bookmarkStart w:id="6" w:name="_Toc459693948"/>
      <w:r>
        <w:rPr>
          <w:rStyle w:val="CharSectno"/>
        </w:rPr>
        <w:t>6</w:t>
      </w:r>
      <w:r>
        <w:rPr>
          <w:snapToGrid w:val="0"/>
        </w:rPr>
        <w:t>.</w:t>
      </w:r>
      <w:r>
        <w:rPr>
          <w:snapToGrid w:val="0"/>
        </w:rPr>
        <w:tab/>
        <w:t>Minister may give directions</w:t>
      </w:r>
      <w:bookmarkEnd w:id="6"/>
      <w:r>
        <w:rPr>
          <w:snapToGrid w:val="0"/>
        </w:rPr>
        <w:t xml:space="preserve"> </w:t>
      </w:r>
    </w:p>
    <w:p>
      <w:pPr>
        <w:pStyle w:val="Subsection"/>
        <w:rPr>
          <w:snapToGrid w:val="0"/>
        </w:rPr>
      </w:pPr>
      <w:r>
        <w:rPr>
          <w:snapToGrid w:val="0"/>
        </w:rPr>
        <w:tab/>
        <w:t>(1)</w:t>
      </w:r>
      <w:r>
        <w:rPr>
          <w:snapToGrid w:val="0"/>
        </w:rPr>
        <w:tab/>
        <w:t>The Minister may give directions in writing to a port authority with respect to the performance of its functions under this or another written law, either generally or in relation to a particular matter, and the port authority must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authority of the port authority under section 66 of the </w:t>
      </w:r>
      <w:r>
        <w:rPr>
          <w:i/>
          <w:snapToGrid w:val="0"/>
        </w:rPr>
        <w:t>Financial Administration and Audit Act 1985</w:t>
      </w:r>
      <w:r>
        <w:rPr>
          <w:snapToGrid w:val="0"/>
        </w:rPr>
        <w:t>.</w:t>
      </w:r>
    </w:p>
    <w:p>
      <w:pPr>
        <w:pStyle w:val="Subsection"/>
        <w:rPr>
          <w:i/>
          <w:snapToGrid w:val="0"/>
        </w:rPr>
      </w:pPr>
      <w:r>
        <w:rPr>
          <w:snapToGrid w:val="0"/>
        </w:rPr>
        <w:tab/>
        <w:t>(3)</w:t>
      </w:r>
      <w:r>
        <w:rPr>
          <w:snapToGrid w:val="0"/>
        </w:rPr>
        <w:tab/>
        <w:t xml:space="preserve">Subsection (1) has effect subject to the </w:t>
      </w:r>
      <w:r>
        <w:rPr>
          <w:i/>
          <w:snapToGrid w:val="0"/>
        </w:rPr>
        <w:t>Statutory Corporations (Liability of Directors) Act 1996.</w:t>
      </w:r>
    </w:p>
    <w:p>
      <w:pPr>
        <w:pStyle w:val="Footnotesection"/>
      </w:pPr>
      <w:r>
        <w:tab/>
        <w:t xml:space="preserve">[Section 6 amended by No. 41 of 1996 s.3.] </w:t>
      </w:r>
    </w:p>
    <w:p>
      <w:pPr>
        <w:pStyle w:val="Heading5"/>
        <w:rPr>
          <w:snapToGrid w:val="0"/>
        </w:rPr>
      </w:pPr>
      <w:bookmarkStart w:id="7" w:name="_Toc459693949"/>
      <w:r>
        <w:rPr>
          <w:rStyle w:val="CharSectno"/>
        </w:rPr>
        <w:t>7</w:t>
      </w:r>
      <w:r>
        <w:rPr>
          <w:snapToGrid w:val="0"/>
        </w:rPr>
        <w:t>.</w:t>
      </w:r>
      <w:r>
        <w:rPr>
          <w:snapToGrid w:val="0"/>
        </w:rPr>
        <w:tab/>
        <w:t>Minister to have access to information</w:t>
      </w:r>
      <w:bookmarkEnd w:id="7"/>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a port authority;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a port authority to furnish information to the Minister;</w:t>
      </w:r>
    </w:p>
    <w:p>
      <w:pPr>
        <w:pStyle w:val="Indenta"/>
        <w:rPr>
          <w:snapToGrid w:val="0"/>
        </w:rPr>
      </w:pPr>
      <w:r>
        <w:rPr>
          <w:snapToGrid w:val="0"/>
        </w:rPr>
        <w:tab/>
        <w:t>(b)</w:t>
      </w:r>
      <w:r>
        <w:rPr>
          <w:snapToGrid w:val="0"/>
        </w:rPr>
        <w:tab/>
        <w:t>request a port authority to give the Minister access to information;</w:t>
      </w:r>
    </w:p>
    <w:p>
      <w:pPr>
        <w:pStyle w:val="Indenta"/>
        <w:rPr>
          <w:snapToGrid w:val="0"/>
        </w:rPr>
      </w:pPr>
      <w:r>
        <w:rPr>
          <w:snapToGrid w:val="0"/>
        </w:rPr>
        <w:tab/>
        <w:t>(c)</w:t>
      </w:r>
      <w:r>
        <w:rPr>
          <w:snapToGrid w:val="0"/>
        </w:rPr>
        <w:tab/>
        <w:t>for the purposes of paragraph (b) make use of the staff and facilities of a port authority to obtain the information and furnish it to the Minister.</w:t>
      </w:r>
    </w:p>
    <w:p>
      <w:pPr>
        <w:pStyle w:val="Subsection"/>
        <w:rPr>
          <w:snapToGrid w:val="0"/>
        </w:rPr>
      </w:pPr>
      <w:r>
        <w:rPr>
          <w:snapToGrid w:val="0"/>
        </w:rPr>
        <w:tab/>
        <w:t>(3)</w:t>
      </w:r>
      <w:r>
        <w:rPr>
          <w:snapToGrid w:val="0"/>
        </w:rPr>
        <w:tab/>
        <w:t>A port authority must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“document”</w:t>
      </w:r>
      <w:r>
        <w:t xml:space="preserve"> includes any tape, disc or other device or medium on which information is recorded or stored mechanically, photographically, electronically or otherwise;</w:t>
      </w:r>
    </w:p>
    <w:p>
      <w:pPr>
        <w:pStyle w:val="Defstart"/>
      </w:pPr>
      <w:r>
        <w:rPr>
          <w:b/>
        </w:rPr>
        <w:tab/>
        <w:t>“information”</w:t>
      </w:r>
      <w:r>
        <w:t xml:space="preserve"> means information specified, or of a description specified, by the Minister that relates to the functions of a port authority.</w:t>
      </w:r>
    </w:p>
    <w:p>
      <w:pPr>
        <w:pStyle w:val="Heading3"/>
        <w:rPr>
          <w:snapToGrid w:val="0"/>
        </w:rPr>
      </w:pPr>
      <w:r>
        <w:rPr>
          <w:rStyle w:val="CharDivNo"/>
        </w:rPr>
        <w:t>Division 3</w:t>
      </w:r>
      <w:r>
        <w:rPr>
          <w:snapToGrid w:val="0"/>
        </w:rPr>
        <w:t> — </w:t>
      </w:r>
      <w:r>
        <w:rPr>
          <w:rStyle w:val="CharDivText"/>
        </w:rPr>
        <w:t xml:space="preserve">Additional provisions about members </w:t>
      </w:r>
    </w:p>
    <w:p>
      <w:pPr>
        <w:pStyle w:val="Heading5"/>
        <w:rPr>
          <w:snapToGrid w:val="0"/>
        </w:rPr>
      </w:pPr>
      <w:bookmarkStart w:id="8" w:name="_Toc459693950"/>
      <w:r>
        <w:rPr>
          <w:rStyle w:val="CharSectno"/>
        </w:rPr>
        <w:t>8</w:t>
      </w:r>
      <w:r>
        <w:rPr>
          <w:snapToGrid w:val="0"/>
        </w:rPr>
        <w:t>.</w:t>
      </w:r>
      <w:r>
        <w:rPr>
          <w:snapToGrid w:val="0"/>
        </w:rPr>
        <w:tab/>
        <w:t>Interpretation</w:t>
      </w:r>
      <w:bookmarkEnd w:id="8"/>
      <w:r>
        <w:rPr>
          <w:snapToGrid w:val="0"/>
        </w:rPr>
        <w:t xml:space="preserve"> </w:t>
      </w:r>
    </w:p>
    <w:p>
      <w:pPr>
        <w:pStyle w:val="Subsection"/>
        <w:rPr>
          <w:snapToGrid w:val="0"/>
        </w:rPr>
      </w:pPr>
      <w:r>
        <w:rPr>
          <w:snapToGrid w:val="0"/>
        </w:rPr>
        <w:tab/>
      </w:r>
      <w:r>
        <w:rPr>
          <w:snapToGrid w:val="0"/>
        </w:rPr>
        <w:tab/>
        <w:t xml:space="preserve">In this Division </w:t>
      </w:r>
      <w:r>
        <w:rPr>
          <w:b/>
          <w:snapToGrid w:val="0"/>
        </w:rPr>
        <w:t>“member”</w:t>
      </w:r>
      <w:r>
        <w:rPr>
          <w:snapToGrid w:val="0"/>
        </w:rPr>
        <w:t xml:space="preserve"> means a member of a port authority and, in the case of the Fremantle Port Authority, a commissioner of that port authority.</w:t>
      </w:r>
    </w:p>
    <w:p>
      <w:pPr>
        <w:pStyle w:val="Ednotesection"/>
      </w:pPr>
      <w:r>
        <w:t>[</w:t>
      </w:r>
      <w:r>
        <w:rPr>
          <w:b/>
        </w:rPr>
        <w:t>9.</w:t>
      </w:r>
      <w:r>
        <w:t xml:space="preserve"> </w:t>
      </w:r>
      <w:r>
        <w:tab/>
      </w:r>
      <w:r>
        <w:tab/>
        <w:t xml:space="preserve">Repealed by No. 41 of 1996 s.3.] </w:t>
      </w:r>
    </w:p>
    <w:p>
      <w:pPr>
        <w:pStyle w:val="Heading5"/>
        <w:rPr>
          <w:snapToGrid w:val="0"/>
        </w:rPr>
      </w:pPr>
      <w:bookmarkStart w:id="9" w:name="_Toc459693951"/>
      <w:r>
        <w:rPr>
          <w:rStyle w:val="CharSectno"/>
        </w:rPr>
        <w:t>10</w:t>
      </w:r>
      <w:r>
        <w:rPr>
          <w:snapToGrid w:val="0"/>
        </w:rPr>
        <w:t>.</w:t>
      </w:r>
      <w:r>
        <w:rPr>
          <w:snapToGrid w:val="0"/>
        </w:rPr>
        <w:tab/>
        <w:t>Disclosure of interests</w:t>
      </w:r>
      <w:bookmarkEnd w:id="9"/>
      <w:r>
        <w:rPr>
          <w:snapToGrid w:val="0"/>
        </w:rPr>
        <w:t xml:space="preserve"> </w:t>
      </w:r>
    </w:p>
    <w:p>
      <w:pPr>
        <w:pStyle w:val="Subsection"/>
        <w:rPr>
          <w:snapToGrid w:val="0"/>
        </w:rPr>
      </w:pPr>
      <w:r>
        <w:rPr>
          <w:snapToGrid w:val="0"/>
        </w:rPr>
        <w:tab/>
        <w:t>(1)</w:t>
      </w:r>
      <w:r>
        <w:rPr>
          <w:snapToGrid w:val="0"/>
        </w:rPr>
        <w:tab/>
        <w:t>If a member has a direct or indirect pecuniary interest in a matter being considered, or about to be considered, by the port authority the member is, as soon as practicable after the relevant facts come to the member’s knowledge, to disclose the nature of the interest to a meeting of the port authority.</w:t>
      </w:r>
    </w:p>
    <w:p>
      <w:pPr>
        <w:pStyle w:val="Subsection"/>
        <w:rPr>
          <w:snapToGrid w:val="0"/>
        </w:rPr>
      </w:pPr>
      <w:r>
        <w:rPr>
          <w:snapToGrid w:val="0"/>
        </w:rPr>
        <w:tab/>
        <w:t>(2)</w:t>
      </w:r>
      <w:r>
        <w:rPr>
          <w:snapToGrid w:val="0"/>
        </w:rPr>
        <w:tab/>
        <w:t>A disclosure under subsection (1) is to be recorded in the minutes of the meeting and, unless the port authority otherwise determines, the member is not — </w:t>
      </w:r>
    </w:p>
    <w:p>
      <w:pPr>
        <w:pStyle w:val="Indenta"/>
        <w:rPr>
          <w:snapToGrid w:val="0"/>
        </w:rPr>
      </w:pPr>
      <w:r>
        <w:rPr>
          <w:snapToGrid w:val="0"/>
        </w:rPr>
        <w:tab/>
        <w:t>(a)</w:t>
      </w:r>
      <w:r>
        <w:rPr>
          <w:snapToGrid w:val="0"/>
        </w:rPr>
        <w:tab/>
        <w:t>to be present during any deliberation of the port authority in relation to the matter; or</w:t>
      </w:r>
    </w:p>
    <w:p>
      <w:pPr>
        <w:pStyle w:val="Indenta"/>
        <w:rPr>
          <w:snapToGrid w:val="0"/>
        </w:rPr>
      </w:pPr>
      <w:r>
        <w:rPr>
          <w:snapToGrid w:val="0"/>
        </w:rPr>
        <w:tab/>
        <w:t>(b)</w:t>
      </w:r>
      <w:r>
        <w:rPr>
          <w:snapToGrid w:val="0"/>
        </w:rPr>
        <w:tab/>
        <w:t>to take part in any decision by the port authority in relation to the matter.</w:t>
      </w:r>
    </w:p>
    <w:p>
      <w:pPr>
        <w:pStyle w:val="Subsection"/>
        <w:rPr>
          <w:snapToGrid w:val="0"/>
        </w:rPr>
      </w:pPr>
      <w:r>
        <w:rPr>
          <w:snapToGrid w:val="0"/>
        </w:rPr>
        <w:tab/>
        <w:t>(3)</w:t>
      </w:r>
      <w:r>
        <w:rPr>
          <w:snapToGrid w:val="0"/>
        </w:rPr>
        <w:tab/>
        <w:t>For the purposes of making a determination by the port authority under subsection (2) in relation to a member who has made a disclosure under subsection (1), a member who has a direct or indirect pecuniary interest in the matter to which the disclosure relates is not — </w:t>
      </w:r>
    </w:p>
    <w:p>
      <w:pPr>
        <w:pStyle w:val="Indenta"/>
        <w:rPr>
          <w:snapToGrid w:val="0"/>
        </w:rPr>
      </w:pPr>
      <w:r>
        <w:rPr>
          <w:snapToGrid w:val="0"/>
        </w:rPr>
        <w:tab/>
        <w:t>(a)</w:t>
      </w:r>
      <w:r>
        <w:rPr>
          <w:snapToGrid w:val="0"/>
        </w:rPr>
        <w:tab/>
        <w:t>to be present during any deliberation of the port authority for the purpose of making the determination; or</w:t>
      </w:r>
    </w:p>
    <w:p>
      <w:pPr>
        <w:pStyle w:val="Indenta"/>
        <w:rPr>
          <w:snapToGrid w:val="0"/>
        </w:rPr>
      </w:pPr>
      <w:r>
        <w:rPr>
          <w:snapToGrid w:val="0"/>
        </w:rPr>
        <w:tab/>
        <w:t>(b)</w:t>
      </w:r>
      <w:r>
        <w:rPr>
          <w:snapToGrid w:val="0"/>
        </w:rPr>
        <w:tab/>
        <w:t>to take part in the making by the port authority of the determination.</w:t>
      </w:r>
    </w:p>
    <w:p>
      <w:pPr>
        <w:pStyle w:val="Subsection"/>
        <w:rPr>
          <w:snapToGrid w:val="0"/>
        </w:rPr>
      </w:pPr>
      <w:r>
        <w:rPr>
          <w:snapToGrid w:val="0"/>
        </w:rPr>
        <w:tab/>
        <w:t>(4)</w:t>
      </w:r>
      <w:r>
        <w:rPr>
          <w:snapToGrid w:val="0"/>
        </w:rPr>
        <w:tab/>
        <w:t>For the purposes of subsection (1) and without limiting its generality, a member is to be taken as having a direct or indirect pecuniary interest in a matter if his or her spouse, parent or child has such an interest.</w:t>
      </w:r>
    </w:p>
    <w:p>
      <w:pPr>
        <w:pStyle w:val="Heading5"/>
        <w:rPr>
          <w:snapToGrid w:val="0"/>
        </w:rPr>
      </w:pPr>
      <w:bookmarkStart w:id="10" w:name="_Toc459693952"/>
      <w:r>
        <w:rPr>
          <w:rStyle w:val="CharSectno"/>
        </w:rPr>
        <w:t>11</w:t>
      </w:r>
      <w:r>
        <w:rPr>
          <w:snapToGrid w:val="0"/>
        </w:rPr>
        <w:t>.</w:t>
      </w:r>
      <w:r>
        <w:rPr>
          <w:snapToGrid w:val="0"/>
        </w:rPr>
        <w:tab/>
        <w:t>Continuation in office</w:t>
      </w:r>
      <w:bookmarkEnd w:id="10"/>
      <w:r>
        <w:rPr>
          <w:snapToGrid w:val="0"/>
        </w:rPr>
        <w:t xml:space="preserve"> </w:t>
      </w:r>
    </w:p>
    <w:p>
      <w:pPr>
        <w:pStyle w:val="Subsection"/>
        <w:rPr>
          <w:snapToGrid w:val="0"/>
        </w:rPr>
      </w:pPr>
      <w:r>
        <w:rPr>
          <w:snapToGrid w:val="0"/>
        </w:rPr>
        <w:tab/>
      </w:r>
      <w:r>
        <w:rPr>
          <w:snapToGrid w:val="0"/>
        </w:rPr>
        <w:tab/>
        <w:t>Subject to a direction to the contrary made at any time by the Minister, a member whose period of office expires due to the effluxion of time continues in office until he or she is reappointed or a successor comes into office (as the case may be).</w:t>
      </w:r>
    </w:p>
    <w:p>
      <w:pPr>
        <w:pStyle w:val="Heading3"/>
        <w:rPr>
          <w:snapToGrid w:val="0"/>
        </w:rPr>
      </w:pPr>
      <w:r>
        <w:rPr>
          <w:rStyle w:val="CharDivNo"/>
        </w:rPr>
        <w:t>Division 4</w:t>
      </w:r>
      <w:r>
        <w:rPr>
          <w:snapToGrid w:val="0"/>
        </w:rPr>
        <w:t> — </w:t>
      </w:r>
      <w:r>
        <w:rPr>
          <w:rStyle w:val="CharDivText"/>
        </w:rPr>
        <w:t xml:space="preserve">Additional functions </w:t>
      </w:r>
    </w:p>
    <w:p>
      <w:pPr>
        <w:pStyle w:val="Heading5"/>
        <w:rPr>
          <w:snapToGrid w:val="0"/>
        </w:rPr>
      </w:pPr>
      <w:bookmarkStart w:id="11" w:name="_Toc459693953"/>
      <w:r>
        <w:rPr>
          <w:rStyle w:val="CharSectno"/>
        </w:rPr>
        <w:t>12</w:t>
      </w:r>
      <w:r>
        <w:rPr>
          <w:snapToGrid w:val="0"/>
        </w:rPr>
        <w:t>.</w:t>
      </w:r>
      <w:r>
        <w:rPr>
          <w:snapToGrid w:val="0"/>
        </w:rPr>
        <w:tab/>
        <w:t>Provision of facilities and services</w:t>
      </w:r>
      <w:bookmarkEnd w:id="1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“facilities”</w:t>
      </w:r>
      <w:r>
        <w:t xml:space="preserve"> means structures and associated machinery for the movement, handling or storage of goods;</w:t>
      </w:r>
    </w:p>
    <w:p>
      <w:pPr>
        <w:pStyle w:val="Defstart"/>
      </w:pPr>
      <w:r>
        <w:rPr>
          <w:b/>
        </w:rPr>
        <w:tab/>
        <w:t>“services”</w:t>
      </w:r>
      <w:r>
        <w:t xml:space="preserve"> means — </w:t>
      </w:r>
    </w:p>
    <w:p>
      <w:pPr>
        <w:pStyle w:val="Defpara"/>
      </w:pPr>
      <w:r>
        <w:tab/>
        <w:t>(a)</w:t>
      </w:r>
      <w:r>
        <w:tab/>
        <w:t>lighterage, salvage, and towage;</w:t>
      </w:r>
    </w:p>
    <w:p>
      <w:pPr>
        <w:pStyle w:val="Defpara"/>
      </w:pPr>
      <w:r>
        <w:tab/>
        <w:t>(b)</w:t>
      </w:r>
      <w:r>
        <w:tab/>
        <w:t>cargo handling, storage and transport, chandlery, dredging, engineering, marine civil construction, mechanical, mooring, pollution management, security, shipping movement control, shore stabilization, stevedoring, and waste management services;</w:t>
      </w:r>
    </w:p>
    <w:p>
      <w:pPr>
        <w:pStyle w:val="Defpara"/>
      </w:pPr>
      <w:r>
        <w:tab/>
        <w:t>(c)</w:t>
      </w:r>
      <w:r>
        <w:tab/>
        <w:t>the use or hire of equipment, helicopters, machinery, plant, vehicles, and vessels;</w:t>
      </w:r>
    </w:p>
    <w:p>
      <w:pPr>
        <w:pStyle w:val="Defpara"/>
      </w:pPr>
      <w:r>
        <w:tab/>
        <w:t>(d)</w:t>
      </w:r>
      <w:r>
        <w:tab/>
        <w:t>the use or hire of facilities;</w:t>
      </w:r>
    </w:p>
    <w:p>
      <w:pPr>
        <w:pStyle w:val="Defpara"/>
      </w:pPr>
      <w:r>
        <w:tab/>
        <w:t>(e)</w:t>
      </w:r>
      <w:r>
        <w:tab/>
        <w:t>labour for any purpose; and</w:t>
      </w:r>
    </w:p>
    <w:p>
      <w:pPr>
        <w:pStyle w:val="Defpara"/>
      </w:pPr>
      <w:r>
        <w:tab/>
        <w:t>(f)</w:t>
      </w:r>
      <w:r>
        <w:tab/>
        <w:t>any other service prescribed by regulation.</w:t>
      </w:r>
    </w:p>
    <w:p>
      <w:pPr>
        <w:pStyle w:val="Subsection"/>
        <w:rPr>
          <w:snapToGrid w:val="0"/>
        </w:rPr>
      </w:pPr>
      <w:r>
        <w:rPr>
          <w:snapToGrid w:val="0"/>
        </w:rPr>
        <w:tab/>
        <w:t>(2)</w:t>
      </w:r>
      <w:r>
        <w:rPr>
          <w:snapToGrid w:val="0"/>
        </w:rPr>
        <w:tab/>
        <w:t>A port authority may provide such facilities and services as it considers are necessary for or in connection with the effective operation of its port as a port.</w:t>
      </w:r>
    </w:p>
    <w:p>
      <w:pPr>
        <w:pStyle w:val="Subsection"/>
        <w:rPr>
          <w:snapToGrid w:val="0"/>
        </w:rPr>
      </w:pPr>
      <w:r>
        <w:rPr>
          <w:snapToGrid w:val="0"/>
        </w:rPr>
        <w:tab/>
        <w:t>(3)</w:t>
      </w:r>
      <w:r>
        <w:rPr>
          <w:snapToGrid w:val="0"/>
        </w:rPr>
        <w:tab/>
        <w:t>A port authority may — </w:t>
      </w:r>
    </w:p>
    <w:p>
      <w:pPr>
        <w:pStyle w:val="Indenta"/>
        <w:rPr>
          <w:snapToGrid w:val="0"/>
        </w:rPr>
      </w:pPr>
      <w:r>
        <w:rPr>
          <w:snapToGrid w:val="0"/>
        </w:rPr>
        <w:tab/>
        <w:t>(a)</w:t>
      </w:r>
      <w:r>
        <w:rPr>
          <w:snapToGrid w:val="0"/>
        </w:rPr>
        <w:tab/>
        <w:t>with the approval of the Minister, provide a facility under subsection (2) outside its port;</w:t>
      </w:r>
    </w:p>
    <w:p>
      <w:pPr>
        <w:pStyle w:val="Indenta"/>
        <w:rPr>
          <w:snapToGrid w:val="0"/>
        </w:rPr>
      </w:pPr>
      <w:r>
        <w:rPr>
          <w:snapToGrid w:val="0"/>
        </w:rPr>
        <w:tab/>
        <w:t>(b)</w:t>
      </w:r>
      <w:r>
        <w:rPr>
          <w:snapToGrid w:val="0"/>
        </w:rPr>
        <w:tab/>
        <w:t>provide a service under subsection (2) outside its port.</w:t>
      </w:r>
    </w:p>
    <w:p>
      <w:pPr>
        <w:pStyle w:val="Subsection"/>
        <w:rPr>
          <w:snapToGrid w:val="0"/>
        </w:rPr>
      </w:pPr>
      <w:r>
        <w:rPr>
          <w:snapToGrid w:val="0"/>
        </w:rPr>
        <w:tab/>
        <w:t>(4)</w:t>
      </w:r>
      <w:r>
        <w:rPr>
          <w:snapToGrid w:val="0"/>
        </w:rPr>
        <w:tab/>
        <w:t>Where a port authority provides a service under subsection (2), it may provide that service other than for or in connection with the operation of its port as a port if doing so does not adversely affect the provision of that service for or in connection with the operation of its port as a port.</w:t>
      </w:r>
    </w:p>
    <w:p>
      <w:pPr>
        <w:pStyle w:val="Subsection"/>
        <w:rPr>
          <w:snapToGrid w:val="0"/>
        </w:rPr>
      </w:pPr>
      <w:r>
        <w:rPr>
          <w:snapToGrid w:val="0"/>
        </w:rPr>
        <w:tab/>
        <w:t>(5)</w:t>
      </w:r>
      <w:r>
        <w:rPr>
          <w:snapToGrid w:val="0"/>
        </w:rPr>
        <w:tab/>
        <w:t>A port authority is to ensure that facilities provided are maintained and kept in good repair.</w:t>
      </w:r>
    </w:p>
    <w:p>
      <w:pPr>
        <w:pStyle w:val="Subsection"/>
        <w:rPr>
          <w:snapToGrid w:val="0"/>
        </w:rPr>
      </w:pPr>
      <w:r>
        <w:rPr>
          <w:snapToGrid w:val="0"/>
        </w:rPr>
        <w:tab/>
        <w:t>(6)</w:t>
      </w:r>
      <w:r>
        <w:rPr>
          <w:snapToGrid w:val="0"/>
        </w:rPr>
        <w:tab/>
        <w:t>A port authority may remove any facility provided under subsection (2), or any works provided under its Act.</w:t>
      </w:r>
    </w:p>
    <w:p>
      <w:pPr>
        <w:pStyle w:val="Subsection"/>
        <w:rPr>
          <w:snapToGrid w:val="0"/>
        </w:rPr>
      </w:pPr>
      <w:r>
        <w:rPr>
          <w:snapToGrid w:val="0"/>
        </w:rPr>
        <w:tab/>
        <w:t>(7)</w:t>
      </w:r>
      <w:r>
        <w:rPr>
          <w:snapToGrid w:val="0"/>
        </w:rPr>
        <w:tab/>
        <w:t>Any charges for services are to be determined by the port authority in accordance with prudent commercial principles.</w:t>
      </w:r>
    </w:p>
    <w:p>
      <w:pPr>
        <w:pStyle w:val="Subsection"/>
        <w:rPr>
          <w:snapToGrid w:val="0"/>
        </w:rPr>
      </w:pPr>
      <w:r>
        <w:rPr>
          <w:snapToGrid w:val="0"/>
        </w:rPr>
        <w:tab/>
        <w:t>(8)</w:t>
      </w:r>
      <w:r>
        <w:rPr>
          <w:snapToGrid w:val="0"/>
        </w:rPr>
        <w:tab/>
        <w:t>The functions conferred by this section on a port authority are in addition to functions conferred on it by its Act or another written law.</w:t>
      </w:r>
    </w:p>
    <w:p>
      <w:pPr>
        <w:pStyle w:val="Heading5"/>
        <w:rPr>
          <w:snapToGrid w:val="0"/>
        </w:rPr>
      </w:pPr>
      <w:bookmarkStart w:id="12" w:name="_Toc459693954"/>
      <w:r>
        <w:rPr>
          <w:rStyle w:val="CharSectno"/>
        </w:rPr>
        <w:t>13</w:t>
      </w:r>
      <w:r>
        <w:rPr>
          <w:snapToGrid w:val="0"/>
        </w:rPr>
        <w:t>.</w:t>
      </w:r>
      <w:r>
        <w:rPr>
          <w:snapToGrid w:val="0"/>
        </w:rPr>
        <w:tab/>
        <w:t>Agreements and business arrangements</w:t>
      </w:r>
      <w:bookmarkEnd w:id="12"/>
      <w:r>
        <w:rPr>
          <w:snapToGrid w:val="0"/>
        </w:rPr>
        <w:t xml:space="preserve"> </w:t>
      </w:r>
    </w:p>
    <w:p>
      <w:pPr>
        <w:pStyle w:val="Subsection"/>
        <w:rPr>
          <w:snapToGrid w:val="0"/>
        </w:rPr>
      </w:pPr>
      <w:r>
        <w:rPr>
          <w:snapToGrid w:val="0"/>
        </w:rPr>
        <w:tab/>
        <w:t>(1)</w:t>
      </w:r>
      <w:r>
        <w:rPr>
          <w:snapToGrid w:val="0"/>
        </w:rPr>
        <w:tab/>
        <w:t>For the purpose of performing its functions, whether under this Act or another written law, a port authority may — </w:t>
      </w:r>
    </w:p>
    <w:p>
      <w:pPr>
        <w:pStyle w:val="Indenta"/>
        <w:rPr>
          <w:snapToGrid w:val="0"/>
        </w:rPr>
      </w:pPr>
      <w:r>
        <w:rPr>
          <w:snapToGrid w:val="0"/>
        </w:rPr>
        <w:tab/>
        <w:t>(a)</w:t>
      </w:r>
      <w:r>
        <w:rPr>
          <w:snapToGrid w:val="0"/>
        </w:rPr>
        <w:tab/>
        <w:t>enter into an agreement with any person; or</w:t>
      </w:r>
    </w:p>
    <w:p>
      <w:pPr>
        <w:pStyle w:val="Indenta"/>
        <w:rPr>
          <w:snapToGrid w:val="0"/>
        </w:rPr>
      </w:pPr>
      <w:r>
        <w:rPr>
          <w:snapToGrid w:val="0"/>
        </w:rPr>
        <w:tab/>
        <w:t>(b)</w:t>
      </w:r>
      <w:r>
        <w:rPr>
          <w:snapToGrid w:val="0"/>
        </w:rPr>
        <w:tab/>
        <w:t>with the approval of the Minister and the Treasurer, participate in a business arrangement with any person.</w:t>
      </w:r>
    </w:p>
    <w:p>
      <w:pPr>
        <w:pStyle w:val="Subsection"/>
        <w:rPr>
          <w:snapToGrid w:val="0"/>
        </w:rPr>
      </w:pPr>
      <w:r>
        <w:rPr>
          <w:snapToGrid w:val="0"/>
        </w:rPr>
        <w:tab/>
        <w:t>(2)</w:t>
      </w:r>
      <w:r>
        <w:rPr>
          <w:snapToGrid w:val="0"/>
        </w:rPr>
        <w:tab/>
        <w:t>For the purpose of subsection (1) (b), a port authority may acquire, hold and dispose of, shares, units or other interests in, or debentures or other securities of, a business arrangement.</w:t>
      </w:r>
    </w:p>
    <w:p>
      <w:pPr>
        <w:pStyle w:val="Subsection"/>
        <w:rPr>
          <w:snapToGrid w:val="0"/>
        </w:rPr>
      </w:pPr>
      <w:r>
        <w:rPr>
          <w:snapToGrid w:val="0"/>
        </w:rPr>
        <w:tab/>
        <w:t>(3)</w:t>
      </w:r>
      <w:r>
        <w:rPr>
          <w:snapToGrid w:val="0"/>
        </w:rPr>
        <w:tab/>
        <w:t xml:space="preserve">Within 60 days after approval is given to a port authority to participate in a business arrangement, the Minister shall publish a notice in the </w:t>
      </w:r>
      <w:r>
        <w:rPr>
          <w:i/>
          <w:snapToGrid w:val="0"/>
        </w:rPr>
        <w:t xml:space="preserve">Gazette </w:t>
      </w:r>
      <w:r>
        <w:rPr>
          <w:snapToGrid w:val="0"/>
        </w:rPr>
        <w:t>of — </w:t>
      </w:r>
    </w:p>
    <w:p>
      <w:pPr>
        <w:pStyle w:val="Indenta"/>
        <w:rPr>
          <w:snapToGrid w:val="0"/>
        </w:rPr>
      </w:pPr>
      <w:r>
        <w:rPr>
          <w:snapToGrid w:val="0"/>
        </w:rPr>
        <w:tab/>
        <w:t>(a)</w:t>
      </w:r>
      <w:r>
        <w:rPr>
          <w:snapToGrid w:val="0"/>
        </w:rPr>
        <w:tab/>
        <w:t>the port authority concerned;</w:t>
      </w:r>
    </w:p>
    <w:p>
      <w:pPr>
        <w:pStyle w:val="Indenta"/>
        <w:rPr>
          <w:snapToGrid w:val="0"/>
        </w:rPr>
      </w:pPr>
      <w:r>
        <w:rPr>
          <w:snapToGrid w:val="0"/>
        </w:rPr>
        <w:tab/>
        <w:t>(b)</w:t>
      </w:r>
      <w:r>
        <w:rPr>
          <w:snapToGrid w:val="0"/>
        </w:rPr>
        <w:tab/>
        <w:t>the other parties to the business arrangement;</w:t>
      </w:r>
    </w:p>
    <w:p>
      <w:pPr>
        <w:pStyle w:val="Indenta"/>
        <w:rPr>
          <w:snapToGrid w:val="0"/>
        </w:rPr>
      </w:pPr>
      <w:r>
        <w:rPr>
          <w:snapToGrid w:val="0"/>
        </w:rPr>
        <w:tab/>
        <w:t>(c)</w:t>
      </w:r>
      <w:r>
        <w:rPr>
          <w:snapToGrid w:val="0"/>
        </w:rPr>
        <w:tab/>
        <w:t>the type of business arrangement concerned;</w:t>
      </w:r>
    </w:p>
    <w:p>
      <w:pPr>
        <w:pStyle w:val="Indenta"/>
        <w:rPr>
          <w:snapToGrid w:val="0"/>
        </w:rPr>
      </w:pPr>
      <w:r>
        <w:rPr>
          <w:snapToGrid w:val="0"/>
        </w:rPr>
        <w:tab/>
        <w:t>(d)</w:t>
      </w:r>
      <w:r>
        <w:rPr>
          <w:snapToGrid w:val="0"/>
        </w:rPr>
        <w:tab/>
        <w:t>the purpose or function of the business arrangement; and</w:t>
      </w:r>
    </w:p>
    <w:p>
      <w:pPr>
        <w:pStyle w:val="Indenta"/>
        <w:rPr>
          <w:snapToGrid w:val="0"/>
        </w:rPr>
      </w:pPr>
      <w:r>
        <w:rPr>
          <w:snapToGrid w:val="0"/>
        </w:rPr>
        <w:tab/>
        <w:t>(e)</w:t>
      </w:r>
      <w:r>
        <w:rPr>
          <w:snapToGrid w:val="0"/>
        </w:rPr>
        <w:tab/>
        <w:t>such other matters as the Minister thinks fit.</w:t>
      </w:r>
    </w:p>
    <w:p>
      <w:pPr>
        <w:pStyle w:val="Subsection"/>
        <w:rPr>
          <w:snapToGrid w:val="0"/>
        </w:rPr>
      </w:pPr>
      <w:r>
        <w:rPr>
          <w:snapToGrid w:val="0"/>
        </w:rPr>
        <w:tab/>
        <w:t>(4)</w:t>
      </w:r>
      <w:r>
        <w:rPr>
          <w:snapToGrid w:val="0"/>
        </w:rPr>
        <w:tab/>
        <w:t>In subsection (1) — </w:t>
      </w:r>
    </w:p>
    <w:p>
      <w:pPr>
        <w:pStyle w:val="Defstart"/>
      </w:pPr>
      <w:r>
        <w:rPr>
          <w:b/>
        </w:rPr>
        <w:tab/>
        <w:t>“business arrangement”</w:t>
      </w:r>
      <w:r>
        <w:t xml:space="preserve"> means a proprietary limited company, a partnership, a trust, a joint venture, or an arrangement for sharing profits;</w:t>
      </w:r>
    </w:p>
    <w:p>
      <w:pPr>
        <w:pStyle w:val="Defstart"/>
      </w:pPr>
      <w:r>
        <w:rPr>
          <w:b/>
        </w:rPr>
        <w:tab/>
        <w:t>“participate”</w:t>
      </w:r>
      <w:r>
        <w:t xml:space="preserve"> includes form, promote, establish, enter, manage, dissolve, wind up, and do anything incidental to participating in a business arrangement with a person.</w:t>
      </w:r>
    </w:p>
    <w:p>
      <w:pPr>
        <w:pStyle w:val="Heading5"/>
        <w:rPr>
          <w:snapToGrid w:val="0"/>
        </w:rPr>
      </w:pPr>
      <w:bookmarkStart w:id="13" w:name="_Toc459693955"/>
      <w:r>
        <w:rPr>
          <w:rStyle w:val="CharSectno"/>
        </w:rPr>
        <w:t>14</w:t>
      </w:r>
      <w:r>
        <w:rPr>
          <w:snapToGrid w:val="0"/>
        </w:rPr>
        <w:t>.</w:t>
      </w:r>
      <w:r>
        <w:rPr>
          <w:snapToGrid w:val="0"/>
        </w:rPr>
        <w:tab/>
        <w:t>Granting easements, leases or licences</w:t>
      </w:r>
      <w:bookmarkEnd w:id="13"/>
      <w:r>
        <w:rPr>
          <w:snapToGrid w:val="0"/>
        </w:rPr>
        <w:t xml:space="preserve"> </w:t>
      </w:r>
    </w:p>
    <w:p>
      <w:pPr>
        <w:pStyle w:val="Subsection"/>
        <w:rPr>
          <w:snapToGrid w:val="0"/>
        </w:rPr>
      </w:pPr>
      <w:r>
        <w:rPr>
          <w:snapToGrid w:val="0"/>
        </w:rPr>
        <w:tab/>
        <w:t>(1)</w:t>
      </w:r>
      <w:r>
        <w:rPr>
          <w:snapToGrid w:val="0"/>
        </w:rPr>
        <w:tab/>
        <w:t>A port authority may grant an easement, lease or licence in respect of the whole or any part of the lands vested in it for any purpose it considers fit — </w:t>
      </w:r>
    </w:p>
    <w:p>
      <w:pPr>
        <w:pStyle w:val="Indenta"/>
        <w:rPr>
          <w:snapToGrid w:val="0"/>
        </w:rPr>
      </w:pPr>
      <w:r>
        <w:rPr>
          <w:snapToGrid w:val="0"/>
        </w:rPr>
        <w:tab/>
        <w:t>(a)</w:t>
      </w:r>
      <w:r>
        <w:rPr>
          <w:snapToGrid w:val="0"/>
        </w:rPr>
        <w:tab/>
        <w:t>without the approval of the Minister if the easement, lease or licence meets the criteria prescribed by regulations made by the Governor; or</w:t>
      </w:r>
    </w:p>
    <w:p>
      <w:pPr>
        <w:pStyle w:val="Indenta"/>
        <w:rPr>
          <w:snapToGrid w:val="0"/>
        </w:rPr>
      </w:pPr>
      <w:r>
        <w:rPr>
          <w:snapToGrid w:val="0"/>
        </w:rPr>
        <w:tab/>
        <w:t>(b)</w:t>
      </w:r>
      <w:r>
        <w:rPr>
          <w:snapToGrid w:val="0"/>
        </w:rPr>
        <w:tab/>
        <w:t>with the approval of the Minister otherwise.</w:t>
      </w:r>
    </w:p>
    <w:p>
      <w:pPr>
        <w:pStyle w:val="Subsection"/>
        <w:rPr>
          <w:snapToGrid w:val="0"/>
        </w:rPr>
      </w:pPr>
      <w:r>
        <w:rPr>
          <w:snapToGrid w:val="0"/>
        </w:rPr>
        <w:tab/>
        <w:t>(2)</w:t>
      </w:r>
      <w:r>
        <w:rPr>
          <w:snapToGrid w:val="0"/>
        </w:rPr>
        <w:tab/>
        <w:t>A licence or lease is not to be granted for a period of more than 50 years.</w:t>
      </w:r>
    </w:p>
    <w:p>
      <w:pPr>
        <w:pStyle w:val="Subsection"/>
        <w:rPr>
          <w:snapToGrid w:val="0"/>
        </w:rPr>
      </w:pPr>
      <w:r>
        <w:rPr>
          <w:snapToGrid w:val="0"/>
        </w:rPr>
        <w:tab/>
        <w:t>(3)</w:t>
      </w:r>
      <w:r>
        <w:rPr>
          <w:snapToGrid w:val="0"/>
        </w:rPr>
        <w:tab/>
        <w:t>For the purposes of this section and any prescribed criteria, the period for which an easement, lease or licence is granted includes any period for which the easement, lease or licence is renewable pursuant to an option to renew.</w:t>
      </w:r>
    </w:p>
    <w:p>
      <w:pPr>
        <w:pStyle w:val="Heading3"/>
        <w:rPr>
          <w:snapToGrid w:val="0"/>
        </w:rPr>
      </w:pPr>
      <w:r>
        <w:rPr>
          <w:rStyle w:val="CharDivNo"/>
        </w:rPr>
        <w:t>Division 5</w:t>
      </w:r>
      <w:r>
        <w:rPr>
          <w:snapToGrid w:val="0"/>
        </w:rPr>
        <w:t> — </w:t>
      </w:r>
      <w:r>
        <w:rPr>
          <w:rStyle w:val="CharDivText"/>
        </w:rPr>
        <w:t xml:space="preserve">Pilotage </w:t>
      </w:r>
    </w:p>
    <w:p>
      <w:pPr>
        <w:pStyle w:val="Heading5"/>
        <w:rPr>
          <w:snapToGrid w:val="0"/>
        </w:rPr>
      </w:pPr>
      <w:bookmarkStart w:id="14" w:name="_Toc459693956"/>
      <w:r>
        <w:rPr>
          <w:rStyle w:val="CharSectno"/>
        </w:rPr>
        <w:t>15</w:t>
      </w:r>
      <w:r>
        <w:rPr>
          <w:snapToGrid w:val="0"/>
        </w:rPr>
        <w:t>.</w:t>
      </w:r>
      <w:r>
        <w:rPr>
          <w:snapToGrid w:val="0"/>
        </w:rPr>
        <w:tab/>
        <w:t>Interpretation</w:t>
      </w:r>
      <w:bookmarkEnd w:id="14"/>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“approved”</w:t>
      </w:r>
      <w:r>
        <w:t>, in relation to a pilot, means approved under section 16;</w:t>
      </w:r>
    </w:p>
    <w:p>
      <w:pPr>
        <w:pStyle w:val="Defstart"/>
      </w:pPr>
      <w:r>
        <w:rPr>
          <w:b/>
        </w:rPr>
        <w:tab/>
        <w:t>“port”</w:t>
      </w:r>
      <w:r>
        <w:t xml:space="preserve"> includes, in the case of the port of Port Hedland, the Pilotage Area.</w:t>
      </w:r>
    </w:p>
    <w:p>
      <w:pPr>
        <w:pStyle w:val="Heading5"/>
        <w:rPr>
          <w:snapToGrid w:val="0"/>
        </w:rPr>
      </w:pPr>
      <w:bookmarkStart w:id="15" w:name="_Toc459693957"/>
      <w:r>
        <w:rPr>
          <w:rStyle w:val="CharSectno"/>
        </w:rPr>
        <w:t>16</w:t>
      </w:r>
      <w:r>
        <w:rPr>
          <w:snapToGrid w:val="0"/>
        </w:rPr>
        <w:t>.</w:t>
      </w:r>
      <w:r>
        <w:rPr>
          <w:snapToGrid w:val="0"/>
        </w:rPr>
        <w:tab/>
        <w:t>Port authority to approve pilots etc.</w:t>
      </w:r>
      <w:bookmarkEnd w:id="15"/>
      <w:r>
        <w:rPr>
          <w:snapToGrid w:val="0"/>
        </w:rPr>
        <w:t xml:space="preserve"> </w:t>
      </w:r>
    </w:p>
    <w:p>
      <w:pPr>
        <w:pStyle w:val="Subsection"/>
        <w:rPr>
          <w:snapToGrid w:val="0"/>
        </w:rPr>
      </w:pPr>
      <w:r>
        <w:rPr>
          <w:snapToGrid w:val="0"/>
        </w:rPr>
        <w:tab/>
        <w:t>(1)</w:t>
      </w:r>
      <w:r>
        <w:rPr>
          <w:snapToGrid w:val="0"/>
        </w:rPr>
        <w:tab/>
        <w:t>A port authority must approve one or more persons as pilots for its port and any such approval is to be in writing.</w:t>
      </w:r>
    </w:p>
    <w:p>
      <w:pPr>
        <w:pStyle w:val="Subsection"/>
        <w:rPr>
          <w:snapToGrid w:val="0"/>
        </w:rPr>
      </w:pPr>
      <w:r>
        <w:rPr>
          <w:snapToGrid w:val="0"/>
        </w:rPr>
        <w:tab/>
        <w:t>(2)</w:t>
      </w:r>
      <w:r>
        <w:rPr>
          <w:snapToGrid w:val="0"/>
        </w:rPr>
        <w:tab/>
        <w:t>Charges for approving a person as a pilot may be prescribed under Division 9.</w:t>
      </w:r>
    </w:p>
    <w:p>
      <w:pPr>
        <w:pStyle w:val="Subsection"/>
        <w:rPr>
          <w:snapToGrid w:val="0"/>
        </w:rPr>
      </w:pPr>
      <w:r>
        <w:rPr>
          <w:snapToGrid w:val="0"/>
        </w:rPr>
        <w:tab/>
        <w:t>(3)</w:t>
      </w:r>
      <w:r>
        <w:rPr>
          <w:snapToGrid w:val="0"/>
        </w:rPr>
        <w:tab/>
        <w:t>A port authority must ensure that pilotage services are provided in its port — </w:t>
      </w:r>
    </w:p>
    <w:p>
      <w:pPr>
        <w:pStyle w:val="Indenta"/>
        <w:rPr>
          <w:snapToGrid w:val="0"/>
        </w:rPr>
      </w:pPr>
      <w:r>
        <w:rPr>
          <w:snapToGrid w:val="0"/>
        </w:rPr>
        <w:tab/>
        <w:t>(a)</w:t>
      </w:r>
      <w:r>
        <w:rPr>
          <w:snapToGrid w:val="0"/>
        </w:rPr>
        <w:tab/>
        <w:t>by itself;</w:t>
      </w:r>
    </w:p>
    <w:p>
      <w:pPr>
        <w:pStyle w:val="Indenta"/>
        <w:rPr>
          <w:snapToGrid w:val="0"/>
        </w:rPr>
      </w:pPr>
      <w:r>
        <w:rPr>
          <w:snapToGrid w:val="0"/>
        </w:rPr>
        <w:tab/>
        <w:t>(b)</w:t>
      </w:r>
      <w:r>
        <w:rPr>
          <w:snapToGrid w:val="0"/>
        </w:rPr>
        <w:tab/>
        <w:t>by a person under an agreement under section 13 (1) (a); or</w:t>
      </w:r>
    </w:p>
    <w:p>
      <w:pPr>
        <w:pStyle w:val="Indenta"/>
        <w:rPr>
          <w:snapToGrid w:val="0"/>
        </w:rPr>
      </w:pPr>
      <w:r>
        <w:rPr>
          <w:snapToGrid w:val="0"/>
        </w:rPr>
        <w:tab/>
        <w:t>(c)</w:t>
      </w:r>
      <w:r>
        <w:rPr>
          <w:snapToGrid w:val="0"/>
        </w:rPr>
        <w:tab/>
        <w:t>by means of a business arrangement under section 13 (1) (b).</w:t>
      </w:r>
    </w:p>
    <w:p>
      <w:pPr>
        <w:pStyle w:val="Subsection"/>
        <w:rPr>
          <w:snapToGrid w:val="0"/>
        </w:rPr>
      </w:pPr>
      <w:r>
        <w:rPr>
          <w:snapToGrid w:val="0"/>
        </w:rPr>
        <w:tab/>
        <w:t>(4)</w:t>
      </w:r>
      <w:r>
        <w:rPr>
          <w:snapToGrid w:val="0"/>
        </w:rPr>
        <w:tab/>
        <w:t>Any charges for pilotage services — </w:t>
      </w:r>
    </w:p>
    <w:p>
      <w:pPr>
        <w:pStyle w:val="Indenta"/>
        <w:rPr>
          <w:snapToGrid w:val="0"/>
        </w:rPr>
      </w:pPr>
      <w:r>
        <w:rPr>
          <w:snapToGrid w:val="0"/>
        </w:rPr>
        <w:tab/>
        <w:t>(a)</w:t>
      </w:r>
      <w:r>
        <w:rPr>
          <w:snapToGrid w:val="0"/>
        </w:rPr>
        <w:tab/>
        <w:t>are to be prescribed under Division 9; and</w:t>
      </w:r>
    </w:p>
    <w:p>
      <w:pPr>
        <w:pStyle w:val="Indenta"/>
        <w:rPr>
          <w:snapToGrid w:val="0"/>
        </w:rPr>
      </w:pPr>
      <w:r>
        <w:rPr>
          <w:snapToGrid w:val="0"/>
        </w:rPr>
        <w:tab/>
        <w:t>(b)</w:t>
      </w:r>
      <w:r>
        <w:rPr>
          <w:snapToGrid w:val="0"/>
        </w:rPr>
        <w:tab/>
        <w:t>are to be paid to the port authority, irrespective of how or by whom they are provided.</w:t>
      </w:r>
    </w:p>
    <w:p>
      <w:pPr>
        <w:pStyle w:val="Heading5"/>
        <w:rPr>
          <w:snapToGrid w:val="0"/>
        </w:rPr>
      </w:pPr>
      <w:bookmarkStart w:id="16" w:name="_Toc459693958"/>
      <w:r>
        <w:rPr>
          <w:rStyle w:val="CharSectno"/>
        </w:rPr>
        <w:t>17</w:t>
      </w:r>
      <w:r>
        <w:rPr>
          <w:snapToGrid w:val="0"/>
        </w:rPr>
        <w:t>.</w:t>
      </w:r>
      <w:r>
        <w:rPr>
          <w:snapToGrid w:val="0"/>
        </w:rPr>
        <w:tab/>
        <w:t>Pilotage compulsory in ports</w:t>
      </w:r>
      <w:bookmarkEnd w:id="16"/>
      <w:r>
        <w:rPr>
          <w:snapToGrid w:val="0"/>
        </w:rPr>
        <w:t xml:space="preserve"> </w:t>
      </w:r>
    </w:p>
    <w:p>
      <w:pPr>
        <w:pStyle w:val="Subsection"/>
        <w:rPr>
          <w:snapToGrid w:val="0"/>
        </w:rPr>
      </w:pPr>
      <w:r>
        <w:rPr>
          <w:snapToGrid w:val="0"/>
        </w:rPr>
        <w:tab/>
        <w:t>(1)</w:t>
      </w:r>
      <w:r>
        <w:rPr>
          <w:snapToGrid w:val="0"/>
        </w:rPr>
        <w:tab/>
        <w:t>A vessel moving within a port must use the services of a person approved as a pilot for the port, except where regulations provide otherwise.</w:t>
      </w:r>
    </w:p>
    <w:p>
      <w:pPr>
        <w:pStyle w:val="Subsection"/>
        <w:rPr>
          <w:snapToGrid w:val="0"/>
        </w:rPr>
      </w:pPr>
      <w:r>
        <w:rPr>
          <w:snapToGrid w:val="0"/>
        </w:rPr>
        <w:tab/>
        <w:t>(2)</w:t>
      </w:r>
      <w:r>
        <w:rPr>
          <w:snapToGrid w:val="0"/>
        </w:rPr>
        <w:tab/>
        <w:t>A person who moves a vessel within a port without the services of a person approved as a pilot for the port commits an offence unless under the regulations — </w:t>
      </w:r>
    </w:p>
    <w:p>
      <w:pPr>
        <w:pStyle w:val="Indenta"/>
        <w:rPr>
          <w:snapToGrid w:val="0"/>
        </w:rPr>
      </w:pPr>
      <w:r>
        <w:rPr>
          <w:snapToGrid w:val="0"/>
        </w:rPr>
        <w:tab/>
        <w:t>(a)</w:t>
      </w:r>
      <w:r>
        <w:rPr>
          <w:snapToGrid w:val="0"/>
        </w:rPr>
        <w:tab/>
        <w:t>the vessel does not have to have an approved pilot; or</w:t>
      </w:r>
    </w:p>
    <w:p>
      <w:pPr>
        <w:pStyle w:val="Indenta"/>
        <w:rPr>
          <w:snapToGrid w:val="0"/>
        </w:rPr>
      </w:pPr>
      <w:r>
        <w:rPr>
          <w:snapToGrid w:val="0"/>
        </w:rPr>
        <w:tab/>
        <w:t>(b)</w:t>
      </w:r>
      <w:r>
        <w:rPr>
          <w:snapToGrid w:val="0"/>
        </w:rPr>
        <w:tab/>
        <w:t>the person is permitted to do so.</w:t>
      </w:r>
    </w:p>
    <w:p>
      <w:pPr>
        <w:pStyle w:val="Penstart"/>
        <w:rPr>
          <w:snapToGrid w:val="0"/>
        </w:rPr>
      </w:pPr>
      <w:r>
        <w:rPr>
          <w:snapToGrid w:val="0"/>
        </w:rPr>
        <w:tab/>
        <w:t xml:space="preserve">Penalty: A fine of double the charges for pilotage services that the port authority could have demanded for moving the vessel. </w:t>
      </w:r>
    </w:p>
    <w:p>
      <w:pPr>
        <w:pStyle w:val="Subsection"/>
        <w:rPr>
          <w:snapToGrid w:val="0"/>
        </w:rPr>
      </w:pPr>
      <w:r>
        <w:rPr>
          <w:snapToGrid w:val="0"/>
        </w:rPr>
        <w:tab/>
        <w:t>(3)</w:t>
      </w:r>
      <w:r>
        <w:rPr>
          <w:snapToGrid w:val="0"/>
        </w:rPr>
        <w:tab/>
        <w:t>Neither the Crown, the Minister, a port authority, nor an employee of a port authority, is liable for — </w:t>
      </w:r>
    </w:p>
    <w:p>
      <w:pPr>
        <w:pStyle w:val="Indenta"/>
        <w:rPr>
          <w:snapToGrid w:val="0"/>
        </w:rPr>
      </w:pPr>
      <w:r>
        <w:rPr>
          <w:snapToGrid w:val="0"/>
        </w:rPr>
        <w:tab/>
        <w:t>(a)</w:t>
      </w:r>
      <w:r>
        <w:rPr>
          <w:snapToGrid w:val="0"/>
        </w:rPr>
        <w:tab/>
        <w:t>any loss or damage caused by a vessel that; or</w:t>
      </w:r>
    </w:p>
    <w:p>
      <w:pPr>
        <w:pStyle w:val="Indenta"/>
        <w:rPr>
          <w:snapToGrid w:val="0"/>
        </w:rPr>
      </w:pPr>
      <w:r>
        <w:rPr>
          <w:snapToGrid w:val="0"/>
        </w:rPr>
        <w:tab/>
        <w:t>(b)</w:t>
      </w:r>
      <w:r>
        <w:rPr>
          <w:snapToGrid w:val="0"/>
        </w:rPr>
        <w:tab/>
        <w:t>the loss of, or damage to, a vessel or anything in or on a vessel while the vessel,</w:t>
      </w:r>
    </w:p>
    <w:p>
      <w:pPr>
        <w:pStyle w:val="Subsection"/>
        <w:rPr>
          <w:snapToGrid w:val="0"/>
        </w:rPr>
      </w:pPr>
      <w:r>
        <w:rPr>
          <w:snapToGrid w:val="0"/>
        </w:rPr>
        <w:tab/>
      </w:r>
      <w:r>
        <w:rPr>
          <w:snapToGrid w:val="0"/>
        </w:rPr>
        <w:tab/>
        <w:t>is being moved within the port without the services of a person approved as a pilot for the port, whether or not it is being so moved by reason of an exemption under the regulations.</w:t>
      </w:r>
    </w:p>
    <w:p>
      <w:pPr>
        <w:pStyle w:val="Heading5"/>
        <w:rPr>
          <w:snapToGrid w:val="0"/>
        </w:rPr>
      </w:pPr>
      <w:bookmarkStart w:id="17" w:name="_Toc459693959"/>
      <w:r>
        <w:rPr>
          <w:rStyle w:val="CharSectno"/>
        </w:rPr>
        <w:t>18</w:t>
      </w:r>
      <w:r>
        <w:rPr>
          <w:snapToGrid w:val="0"/>
        </w:rPr>
        <w:t>.</w:t>
      </w:r>
      <w:r>
        <w:rPr>
          <w:snapToGrid w:val="0"/>
        </w:rPr>
        <w:tab/>
        <w:t>Pilot under authority of master</w:t>
      </w:r>
      <w:bookmarkEnd w:id="17"/>
      <w:r>
        <w:rPr>
          <w:snapToGrid w:val="0"/>
        </w:rPr>
        <w:t xml:space="preserve"> </w:t>
      </w:r>
    </w:p>
    <w:p>
      <w:pPr>
        <w:pStyle w:val="Subsection"/>
        <w:rPr>
          <w:snapToGrid w:val="0"/>
        </w:rPr>
      </w:pPr>
      <w:r>
        <w:rPr>
          <w:snapToGrid w:val="0"/>
        </w:rPr>
        <w:tab/>
      </w:r>
      <w:r>
        <w:rPr>
          <w:snapToGrid w:val="0"/>
        </w:rPr>
        <w:tab/>
        <w:t xml:space="preserve">An approved pilot who as pilot has the conduct of a vessel is subject to the authority of the master of the vessel and the master is not relieved from responsibility for the conduct and navigation of the vessel by reason only of those circumstances. </w:t>
      </w:r>
    </w:p>
    <w:p>
      <w:pPr>
        <w:pStyle w:val="Heading5"/>
        <w:rPr>
          <w:snapToGrid w:val="0"/>
        </w:rPr>
      </w:pPr>
      <w:bookmarkStart w:id="18" w:name="_Toc459693960"/>
      <w:r>
        <w:rPr>
          <w:rStyle w:val="CharSectno"/>
        </w:rPr>
        <w:t>19</w:t>
      </w:r>
      <w:r>
        <w:rPr>
          <w:snapToGrid w:val="0"/>
        </w:rPr>
        <w:t>.</w:t>
      </w:r>
      <w:r>
        <w:rPr>
          <w:snapToGrid w:val="0"/>
        </w:rPr>
        <w:tab/>
        <w:t>Liability of owner or master of a vessel</w:t>
      </w:r>
      <w:bookmarkEnd w:id="18"/>
      <w:r>
        <w:rPr>
          <w:snapToGrid w:val="0"/>
        </w:rPr>
        <w:t xml:space="preserve"> </w:t>
      </w:r>
    </w:p>
    <w:p>
      <w:pPr>
        <w:pStyle w:val="Subsection"/>
        <w:rPr>
          <w:snapToGrid w:val="0"/>
        </w:rPr>
      </w:pPr>
      <w:r>
        <w:rPr>
          <w:snapToGrid w:val="0"/>
        </w:rPr>
        <w:tab/>
      </w:r>
      <w:r>
        <w:rPr>
          <w:snapToGrid w:val="0"/>
        </w:rPr>
        <w:tab/>
        <w:t>The owner or master of a vessel moving under circumstances in which pilotage is compulsory under this Act is liable for any loss or damage caused by the vessel, or by a fault of the navigation of the vessel, in the same manner as he or she would if pilotage were not compulsory.</w:t>
      </w:r>
    </w:p>
    <w:p>
      <w:pPr>
        <w:pStyle w:val="Heading5"/>
        <w:rPr>
          <w:snapToGrid w:val="0"/>
        </w:rPr>
      </w:pPr>
      <w:bookmarkStart w:id="19" w:name="_Toc459693961"/>
      <w:r>
        <w:rPr>
          <w:rStyle w:val="CharSectno"/>
        </w:rPr>
        <w:t>20</w:t>
      </w:r>
      <w:r>
        <w:rPr>
          <w:snapToGrid w:val="0"/>
        </w:rPr>
        <w:t>.</w:t>
      </w:r>
      <w:r>
        <w:rPr>
          <w:snapToGrid w:val="0"/>
        </w:rPr>
        <w:tab/>
        <w:t>Crown etc., pilot and employer not liable for pilot’s negligence</w:t>
      </w:r>
      <w:bookmarkEnd w:id="19"/>
      <w:r>
        <w:rPr>
          <w:snapToGrid w:val="0"/>
        </w:rPr>
        <w:t xml:space="preserve"> </w:t>
      </w:r>
    </w:p>
    <w:p>
      <w:pPr>
        <w:pStyle w:val="Subsection"/>
        <w:rPr>
          <w:snapToGrid w:val="0"/>
        </w:rPr>
      </w:pPr>
      <w:r>
        <w:rPr>
          <w:snapToGrid w:val="0"/>
        </w:rPr>
        <w:tab/>
        <w:t>(1)</w:t>
      </w:r>
      <w:r>
        <w:rPr>
          <w:snapToGrid w:val="0"/>
        </w:rPr>
        <w:tab/>
        <w:t>Neither the Crown, the Minister, nor the port authority, is liable for any act or omission by a person approved as a pilot by a port authority in the conduct or navigation of a vessel of which the person is the pilot.</w:t>
      </w:r>
    </w:p>
    <w:p>
      <w:pPr>
        <w:pStyle w:val="Subsection"/>
        <w:rPr>
          <w:snapToGrid w:val="0"/>
        </w:rPr>
      </w:pPr>
      <w:r>
        <w:rPr>
          <w:snapToGrid w:val="0"/>
        </w:rPr>
        <w:tab/>
        <w:t>(2)</w:t>
      </w:r>
      <w:r>
        <w:rPr>
          <w:snapToGrid w:val="0"/>
        </w:rPr>
        <w:tab/>
        <w:t>An approved pilot is not personally liable for any act or omission by him or her in the conduct or navigation of a vessel of which he or she is the pilot.</w:t>
      </w:r>
    </w:p>
    <w:p>
      <w:pPr>
        <w:pStyle w:val="Subsection"/>
        <w:rPr>
          <w:snapToGrid w:val="0"/>
        </w:rPr>
      </w:pPr>
      <w:r>
        <w:rPr>
          <w:snapToGrid w:val="0"/>
        </w:rPr>
        <w:tab/>
        <w:t>(3)</w:t>
      </w:r>
      <w:r>
        <w:rPr>
          <w:snapToGrid w:val="0"/>
        </w:rPr>
        <w:tab/>
        <w:t>The employer of a person who is an approved pilot is not liable for any act or omission by the person in the conduct or navigation of a vessel of which the person is the pilot.</w:t>
      </w:r>
    </w:p>
    <w:p>
      <w:pPr>
        <w:pStyle w:val="Heading3"/>
        <w:rPr>
          <w:snapToGrid w:val="0"/>
        </w:rPr>
      </w:pPr>
      <w:r>
        <w:rPr>
          <w:rStyle w:val="CharDivNo"/>
        </w:rPr>
        <w:t>Division 6</w:t>
      </w:r>
      <w:r>
        <w:rPr>
          <w:snapToGrid w:val="0"/>
        </w:rPr>
        <w:t> — </w:t>
      </w:r>
      <w:r>
        <w:rPr>
          <w:rStyle w:val="CharDivText"/>
        </w:rPr>
        <w:t xml:space="preserve">Harbour masters </w:t>
      </w:r>
    </w:p>
    <w:p>
      <w:pPr>
        <w:pStyle w:val="Heading5"/>
        <w:rPr>
          <w:snapToGrid w:val="0"/>
        </w:rPr>
      </w:pPr>
      <w:bookmarkStart w:id="20" w:name="_Toc459693962"/>
      <w:r>
        <w:rPr>
          <w:rStyle w:val="CharSectno"/>
        </w:rPr>
        <w:t>21</w:t>
      </w:r>
      <w:r>
        <w:rPr>
          <w:snapToGrid w:val="0"/>
        </w:rPr>
        <w:t>.</w:t>
      </w:r>
      <w:r>
        <w:rPr>
          <w:snapToGrid w:val="0"/>
        </w:rPr>
        <w:tab/>
        <w:t>Interpretation</w:t>
      </w:r>
      <w:bookmarkEnd w:id="20"/>
      <w:r>
        <w:rPr>
          <w:snapToGrid w:val="0"/>
        </w:rPr>
        <w:t xml:space="preserve"> </w:t>
      </w:r>
    </w:p>
    <w:p>
      <w:pPr>
        <w:pStyle w:val="Subsection"/>
        <w:rPr>
          <w:snapToGrid w:val="0"/>
        </w:rPr>
      </w:pPr>
      <w:r>
        <w:rPr>
          <w:snapToGrid w:val="0"/>
        </w:rPr>
        <w:tab/>
      </w:r>
      <w:r>
        <w:rPr>
          <w:snapToGrid w:val="0"/>
        </w:rPr>
        <w:tab/>
        <w:t>In this Division — </w:t>
      </w:r>
    </w:p>
    <w:p>
      <w:pPr>
        <w:pStyle w:val="Defstart"/>
        <w:ind w:left="1327" w:hanging="1327"/>
      </w:pPr>
      <w:r>
        <w:rPr>
          <w:b/>
        </w:rPr>
        <w:tab/>
        <w:t>“port”</w:t>
      </w:r>
      <w:r>
        <w:t xml:space="preserve"> includes a prescribed control area and, in the case of the port of Port Hedland, the Pilotage Area;</w:t>
      </w:r>
    </w:p>
    <w:p>
      <w:pPr>
        <w:pStyle w:val="Defstart"/>
      </w:pPr>
      <w:r>
        <w:rPr>
          <w:b/>
        </w:rPr>
        <w:tab/>
        <w:t>“prescribed control area”</w:t>
      </w:r>
      <w:r>
        <w:t xml:space="preserve"> means an area outside but contiguous with a port which is declared as such in relation to a port by the Governor by notice in the </w:t>
      </w:r>
      <w:r>
        <w:rPr>
          <w:i/>
        </w:rPr>
        <w:t>Gazette</w:t>
      </w:r>
      <w:r>
        <w:t>.</w:t>
      </w:r>
    </w:p>
    <w:p>
      <w:pPr>
        <w:pStyle w:val="Heading5"/>
        <w:rPr>
          <w:snapToGrid w:val="0"/>
        </w:rPr>
      </w:pPr>
      <w:bookmarkStart w:id="21" w:name="_Toc459693963"/>
      <w:r>
        <w:rPr>
          <w:rStyle w:val="CharSectno"/>
        </w:rPr>
        <w:t>22</w:t>
      </w:r>
      <w:r>
        <w:rPr>
          <w:snapToGrid w:val="0"/>
        </w:rPr>
        <w:t>.</w:t>
      </w:r>
      <w:r>
        <w:rPr>
          <w:snapToGrid w:val="0"/>
        </w:rPr>
        <w:tab/>
        <w:t>Appointment</w:t>
      </w:r>
      <w:bookmarkEnd w:id="21"/>
      <w:r>
        <w:rPr>
          <w:snapToGrid w:val="0"/>
        </w:rPr>
        <w:t xml:space="preserve"> </w:t>
      </w:r>
    </w:p>
    <w:p>
      <w:pPr>
        <w:pStyle w:val="Subsection"/>
        <w:rPr>
          <w:snapToGrid w:val="0"/>
        </w:rPr>
      </w:pPr>
      <w:r>
        <w:rPr>
          <w:snapToGrid w:val="0"/>
        </w:rPr>
        <w:tab/>
        <w:t>(1)</w:t>
      </w:r>
      <w:r>
        <w:rPr>
          <w:snapToGrid w:val="0"/>
        </w:rPr>
        <w:tab/>
        <w:t>A port authority may appoint a person to be the harbour master of its port.</w:t>
      </w:r>
    </w:p>
    <w:p>
      <w:pPr>
        <w:pStyle w:val="Subsection"/>
        <w:rPr>
          <w:snapToGrid w:val="0"/>
        </w:rPr>
      </w:pPr>
      <w:r>
        <w:rPr>
          <w:snapToGrid w:val="0"/>
        </w:rPr>
        <w:tab/>
        <w:t>(2)</w:t>
      </w:r>
      <w:r>
        <w:rPr>
          <w:snapToGrid w:val="0"/>
        </w:rPr>
        <w:tab/>
        <w:t xml:space="preserve">The </w:t>
      </w:r>
      <w:r>
        <w:rPr>
          <w:i/>
          <w:snapToGrid w:val="0"/>
        </w:rPr>
        <w:t>Public Service Act 1978</w:t>
      </w:r>
      <w:r>
        <w:rPr>
          <w:snapToGrid w:val="0"/>
        </w:rPr>
        <w:t xml:space="preserve"> does not apply to or in relation to a harbour master.</w:t>
      </w:r>
    </w:p>
    <w:p>
      <w:pPr>
        <w:pStyle w:val="Subsection"/>
        <w:rPr>
          <w:snapToGrid w:val="0"/>
        </w:rPr>
      </w:pPr>
      <w:r>
        <w:rPr>
          <w:snapToGrid w:val="0"/>
        </w:rPr>
        <w:tab/>
        <w:t>(3)</w:t>
      </w:r>
      <w:r>
        <w:rPr>
          <w:snapToGrid w:val="0"/>
        </w:rPr>
        <w:tab/>
        <w:t>If no harbour master is appointed the functions of the harbour master may be performed by a person determined by the port authority.</w:t>
      </w:r>
    </w:p>
    <w:p>
      <w:pPr>
        <w:pStyle w:val="Heading5"/>
        <w:rPr>
          <w:snapToGrid w:val="0"/>
        </w:rPr>
      </w:pPr>
      <w:bookmarkStart w:id="22" w:name="_Toc459693964"/>
      <w:r>
        <w:rPr>
          <w:rStyle w:val="CharSectno"/>
        </w:rPr>
        <w:t>23</w:t>
      </w:r>
      <w:r>
        <w:rPr>
          <w:snapToGrid w:val="0"/>
        </w:rPr>
        <w:t>.</w:t>
      </w:r>
      <w:r>
        <w:rPr>
          <w:snapToGrid w:val="0"/>
        </w:rPr>
        <w:tab/>
        <w:t>Principal and other functions</w:t>
      </w:r>
      <w:bookmarkEnd w:id="22"/>
      <w:r>
        <w:rPr>
          <w:snapToGrid w:val="0"/>
        </w:rPr>
        <w:t xml:space="preserve"> </w:t>
      </w:r>
    </w:p>
    <w:p>
      <w:pPr>
        <w:pStyle w:val="Subsection"/>
        <w:rPr>
          <w:snapToGrid w:val="0"/>
        </w:rPr>
      </w:pPr>
      <w:r>
        <w:rPr>
          <w:snapToGrid w:val="0"/>
        </w:rPr>
        <w:tab/>
        <w:t>(1)</w:t>
      </w:r>
      <w:r>
        <w:rPr>
          <w:snapToGrid w:val="0"/>
        </w:rPr>
        <w:tab/>
        <w:t>The principal functions of a harbour master are — </w:t>
      </w:r>
    </w:p>
    <w:p>
      <w:pPr>
        <w:pStyle w:val="Indenta"/>
        <w:rPr>
          <w:snapToGrid w:val="0"/>
        </w:rPr>
      </w:pPr>
      <w:r>
        <w:rPr>
          <w:snapToGrid w:val="0"/>
        </w:rPr>
        <w:tab/>
        <w:t>(a)</w:t>
      </w:r>
      <w:r>
        <w:rPr>
          <w:snapToGrid w:val="0"/>
        </w:rPr>
        <w:tab/>
        <w:t>to control the movement of vessels in the port;</w:t>
      </w:r>
    </w:p>
    <w:p>
      <w:pPr>
        <w:pStyle w:val="Indenta"/>
        <w:rPr>
          <w:snapToGrid w:val="0"/>
        </w:rPr>
      </w:pPr>
      <w:r>
        <w:rPr>
          <w:snapToGrid w:val="0"/>
        </w:rPr>
        <w:tab/>
        <w:t>(b)</w:t>
      </w:r>
      <w:r>
        <w:rPr>
          <w:snapToGrid w:val="0"/>
        </w:rPr>
        <w:tab/>
        <w:t>to control the anchoring, mooring and berthing of vessels in the port;</w:t>
      </w:r>
    </w:p>
    <w:p>
      <w:pPr>
        <w:pStyle w:val="Indenta"/>
        <w:rPr>
          <w:snapToGrid w:val="0"/>
        </w:rPr>
      </w:pPr>
      <w:r>
        <w:rPr>
          <w:snapToGrid w:val="0"/>
        </w:rPr>
        <w:tab/>
        <w:t>(c)</w:t>
      </w:r>
      <w:r>
        <w:rPr>
          <w:snapToGrid w:val="0"/>
        </w:rPr>
        <w:tab/>
        <w:t>to ensure the port is kept free of obstructions or possible obstructions to vessels using the port;</w:t>
      </w:r>
    </w:p>
    <w:p>
      <w:pPr>
        <w:pStyle w:val="Indenta"/>
        <w:rPr>
          <w:snapToGrid w:val="0"/>
        </w:rPr>
      </w:pPr>
      <w:r>
        <w:rPr>
          <w:snapToGrid w:val="0"/>
        </w:rPr>
        <w:tab/>
        <w:t>(d)</w:t>
      </w:r>
      <w:r>
        <w:rPr>
          <w:snapToGrid w:val="0"/>
        </w:rPr>
        <w:tab/>
        <w:t>to ensure that the safety of people and property in the port is not endangered by vessels or wreckage;</w:t>
      </w:r>
    </w:p>
    <w:p>
      <w:pPr>
        <w:pStyle w:val="Indenta"/>
        <w:rPr>
          <w:snapToGrid w:val="0"/>
        </w:rPr>
      </w:pPr>
      <w:r>
        <w:rPr>
          <w:snapToGrid w:val="0"/>
        </w:rPr>
        <w:tab/>
        <w:t>(e)</w:t>
      </w:r>
      <w:r>
        <w:rPr>
          <w:snapToGrid w:val="0"/>
        </w:rPr>
        <w:tab/>
        <w:t>to ensure good order is maintained in the port; and</w:t>
      </w:r>
    </w:p>
    <w:p>
      <w:pPr>
        <w:pStyle w:val="Indenta"/>
        <w:rPr>
          <w:snapToGrid w:val="0"/>
        </w:rPr>
      </w:pPr>
      <w:r>
        <w:rPr>
          <w:snapToGrid w:val="0"/>
        </w:rPr>
        <w:tab/>
        <w:t>(f)</w:t>
      </w:r>
      <w:r>
        <w:rPr>
          <w:snapToGrid w:val="0"/>
        </w:rPr>
        <w:tab/>
        <w:t>to ensure that the operations of the port in relation to vessels are conducted safely and efficiently.</w:t>
      </w:r>
    </w:p>
    <w:p>
      <w:pPr>
        <w:pStyle w:val="Subsection"/>
        <w:rPr>
          <w:snapToGrid w:val="0"/>
        </w:rPr>
      </w:pPr>
      <w:r>
        <w:rPr>
          <w:snapToGrid w:val="0"/>
        </w:rPr>
        <w:tab/>
        <w:t>(2)</w:t>
      </w:r>
      <w:r>
        <w:rPr>
          <w:snapToGrid w:val="0"/>
        </w:rPr>
        <w:tab/>
        <w:t>A harbour master has such other functions as the port authority determines.</w:t>
      </w:r>
    </w:p>
    <w:p>
      <w:pPr>
        <w:pStyle w:val="Heading5"/>
        <w:rPr>
          <w:snapToGrid w:val="0"/>
        </w:rPr>
      </w:pPr>
      <w:bookmarkStart w:id="23" w:name="_Toc459693965"/>
      <w:r>
        <w:rPr>
          <w:rStyle w:val="CharSectno"/>
        </w:rPr>
        <w:t>24</w:t>
      </w:r>
      <w:r>
        <w:rPr>
          <w:snapToGrid w:val="0"/>
        </w:rPr>
        <w:t>.</w:t>
      </w:r>
      <w:r>
        <w:rPr>
          <w:snapToGrid w:val="0"/>
        </w:rPr>
        <w:tab/>
        <w:t>Directions to masters etc.</w:t>
      </w:r>
      <w:bookmarkEnd w:id="23"/>
      <w:r>
        <w:rPr>
          <w:snapToGrid w:val="0"/>
        </w:rPr>
        <w:t xml:space="preserve"> </w:t>
      </w:r>
    </w:p>
    <w:p>
      <w:pPr>
        <w:pStyle w:val="Subsection"/>
        <w:rPr>
          <w:snapToGrid w:val="0"/>
        </w:rPr>
      </w:pPr>
      <w:r>
        <w:rPr>
          <w:snapToGrid w:val="0"/>
        </w:rPr>
        <w:tab/>
        <w:t>(1)</w:t>
      </w:r>
      <w:r>
        <w:rPr>
          <w:snapToGrid w:val="0"/>
        </w:rPr>
        <w:tab/>
        <w:t>For the purpose of performing his or her principal functions a harbour master may direct the owner, master, or person in charge, of a vessel in the port to do any or all of the following:</w:t>
      </w:r>
    </w:p>
    <w:p>
      <w:pPr>
        <w:pStyle w:val="Indenta"/>
        <w:rPr>
          <w:snapToGrid w:val="0"/>
        </w:rPr>
      </w:pPr>
      <w:r>
        <w:rPr>
          <w:snapToGrid w:val="0"/>
        </w:rPr>
        <w:tab/>
        <w:t>(a)</w:t>
      </w:r>
      <w:r>
        <w:rPr>
          <w:snapToGrid w:val="0"/>
        </w:rPr>
        <w:tab/>
        <w:t>To navigate the vessel in a specified manner.</w:t>
      </w:r>
    </w:p>
    <w:p>
      <w:pPr>
        <w:pStyle w:val="Indenta"/>
        <w:rPr>
          <w:snapToGrid w:val="0"/>
        </w:rPr>
      </w:pPr>
      <w:r>
        <w:rPr>
          <w:snapToGrid w:val="0"/>
        </w:rPr>
        <w:tab/>
        <w:t>(b)</w:t>
      </w:r>
      <w:r>
        <w:rPr>
          <w:snapToGrid w:val="0"/>
        </w:rPr>
        <w:tab/>
        <w:t>To anchor, moor, or berth the vessel at a specified place and in a specified manner.</w:t>
      </w:r>
    </w:p>
    <w:p>
      <w:pPr>
        <w:pStyle w:val="Indenta"/>
        <w:rPr>
          <w:snapToGrid w:val="0"/>
        </w:rPr>
      </w:pPr>
      <w:r>
        <w:rPr>
          <w:snapToGrid w:val="0"/>
        </w:rPr>
        <w:tab/>
        <w:t>(c)</w:t>
      </w:r>
      <w:r>
        <w:rPr>
          <w:snapToGrid w:val="0"/>
        </w:rPr>
        <w:tab/>
        <w:t>To move the vessel out of the port or to another place within it.</w:t>
      </w:r>
    </w:p>
    <w:p>
      <w:pPr>
        <w:pStyle w:val="Indenta"/>
        <w:rPr>
          <w:snapToGrid w:val="0"/>
        </w:rPr>
      </w:pPr>
      <w:r>
        <w:rPr>
          <w:snapToGrid w:val="0"/>
        </w:rPr>
        <w:tab/>
        <w:t>(d)</w:t>
      </w:r>
      <w:r>
        <w:rPr>
          <w:snapToGrid w:val="0"/>
        </w:rPr>
        <w:tab/>
        <w:t>To do anything to or in relation to the means by which the vessel is anchored or attached to a mooring or berth.</w:t>
      </w:r>
    </w:p>
    <w:p>
      <w:pPr>
        <w:pStyle w:val="Subsection"/>
        <w:rPr>
          <w:snapToGrid w:val="0"/>
        </w:rPr>
      </w:pPr>
      <w:r>
        <w:rPr>
          <w:snapToGrid w:val="0"/>
        </w:rPr>
        <w:tab/>
        <w:t>(2)</w:t>
      </w:r>
      <w:r>
        <w:rPr>
          <w:snapToGrid w:val="0"/>
        </w:rPr>
        <w:tab/>
        <w:t>When the safety of people or valuable property is in danger from a vessel in a port and no other direction is reasonable in the circumstances, a harbour master may direct the owner, master, or person in charge, of the vessel to scuttle it immediately.</w:t>
      </w:r>
    </w:p>
    <w:p>
      <w:pPr>
        <w:pStyle w:val="Heading5"/>
        <w:rPr>
          <w:snapToGrid w:val="0"/>
        </w:rPr>
      </w:pPr>
      <w:bookmarkStart w:id="24" w:name="_Toc459693966"/>
      <w:r>
        <w:rPr>
          <w:rStyle w:val="CharSectno"/>
        </w:rPr>
        <w:t>25</w:t>
      </w:r>
      <w:r>
        <w:rPr>
          <w:snapToGrid w:val="0"/>
        </w:rPr>
        <w:t>.</w:t>
      </w:r>
      <w:r>
        <w:rPr>
          <w:snapToGrid w:val="0"/>
        </w:rPr>
        <w:tab/>
        <w:t>Directions as to wreckage</w:t>
      </w:r>
      <w:bookmarkEnd w:id="2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“owner”</w:t>
      </w:r>
      <w:r>
        <w:t xml:space="preserve"> means — </w:t>
      </w:r>
    </w:p>
    <w:p>
      <w:pPr>
        <w:pStyle w:val="Defpara"/>
      </w:pPr>
      <w:r>
        <w:tab/>
        <w:t>(a)</w:t>
      </w:r>
      <w:r>
        <w:tab/>
        <w:t>in relation to a vessel or part of a vessel — the owner immediately prior to the time of the loss or abandonment of the vessel or part of the vessel;</w:t>
      </w:r>
    </w:p>
    <w:p>
      <w:pPr>
        <w:pStyle w:val="Defpara"/>
      </w:pPr>
      <w:r>
        <w:tab/>
        <w:t>(b)</w:t>
      </w:r>
      <w:r>
        <w:tab/>
        <w:t>in relation to anything in the water which was in or on a vessel — the owner of the vessel;</w:t>
      </w:r>
    </w:p>
    <w:p>
      <w:pPr>
        <w:pStyle w:val="Defstart"/>
      </w:pPr>
      <w:r>
        <w:rPr>
          <w:b/>
        </w:rPr>
        <w:tab/>
        <w:t>“wreckage”</w:t>
      </w:r>
      <w:r>
        <w:t xml:space="preserve"> includes a vessel or part of a vessel which is wrecked, stranded, sunk, derelict or unfit for sea service and anything in the water that is not a vessel.</w:t>
      </w:r>
    </w:p>
    <w:p>
      <w:pPr>
        <w:pStyle w:val="Subsection"/>
        <w:rPr>
          <w:snapToGrid w:val="0"/>
        </w:rPr>
      </w:pPr>
      <w:r>
        <w:rPr>
          <w:snapToGrid w:val="0"/>
        </w:rPr>
        <w:tab/>
        <w:t>(2)</w:t>
      </w:r>
      <w:r>
        <w:rPr>
          <w:snapToGrid w:val="0"/>
        </w:rPr>
        <w:tab/>
        <w:t>For the purpose of performing his or her principal functions a harbour master may direct the owner of wreckage in the port to do any or all of the following:</w:t>
      </w:r>
    </w:p>
    <w:p>
      <w:pPr>
        <w:pStyle w:val="Indenta"/>
        <w:rPr>
          <w:snapToGrid w:val="0"/>
        </w:rPr>
      </w:pPr>
      <w:r>
        <w:rPr>
          <w:snapToGrid w:val="0"/>
        </w:rPr>
        <w:tab/>
        <w:t>(a)</w:t>
      </w:r>
      <w:r>
        <w:rPr>
          <w:snapToGrid w:val="0"/>
        </w:rPr>
        <w:tab/>
        <w:t>To move the wreckage out of the port or to another place within it.</w:t>
      </w:r>
    </w:p>
    <w:p>
      <w:pPr>
        <w:pStyle w:val="Indenta"/>
        <w:rPr>
          <w:snapToGrid w:val="0"/>
        </w:rPr>
      </w:pPr>
      <w:r>
        <w:rPr>
          <w:snapToGrid w:val="0"/>
        </w:rPr>
        <w:tab/>
        <w:t>(b)</w:t>
      </w:r>
      <w:r>
        <w:rPr>
          <w:snapToGrid w:val="0"/>
        </w:rPr>
        <w:tab/>
        <w:t>To destroy the wreckage.</w:t>
      </w:r>
    </w:p>
    <w:p>
      <w:pPr>
        <w:pStyle w:val="Indenta"/>
        <w:rPr>
          <w:snapToGrid w:val="0"/>
        </w:rPr>
      </w:pPr>
      <w:r>
        <w:rPr>
          <w:snapToGrid w:val="0"/>
        </w:rPr>
        <w:tab/>
        <w:t>(c)</w:t>
      </w:r>
      <w:r>
        <w:rPr>
          <w:snapToGrid w:val="0"/>
        </w:rPr>
        <w:tab/>
        <w:t>To sink the wreckage.</w:t>
      </w:r>
    </w:p>
    <w:p>
      <w:pPr>
        <w:pStyle w:val="Heading5"/>
        <w:rPr>
          <w:snapToGrid w:val="0"/>
        </w:rPr>
      </w:pPr>
      <w:bookmarkStart w:id="25" w:name="_Toc459693967"/>
      <w:r>
        <w:rPr>
          <w:rStyle w:val="CharSectno"/>
        </w:rPr>
        <w:t>26</w:t>
      </w:r>
      <w:r>
        <w:rPr>
          <w:snapToGrid w:val="0"/>
        </w:rPr>
        <w:t>.</w:t>
      </w:r>
      <w:r>
        <w:rPr>
          <w:snapToGrid w:val="0"/>
        </w:rPr>
        <w:tab/>
        <w:t>Limit on power to order removal of vessel or wreckage</w:t>
      </w:r>
      <w:bookmarkEnd w:id="25"/>
      <w:r>
        <w:rPr>
          <w:snapToGrid w:val="0"/>
        </w:rPr>
        <w:t xml:space="preserve"> </w:t>
      </w:r>
    </w:p>
    <w:p>
      <w:pPr>
        <w:pStyle w:val="Subsection"/>
        <w:rPr>
          <w:snapToGrid w:val="0"/>
        </w:rPr>
      </w:pPr>
      <w:r>
        <w:rPr>
          <w:snapToGrid w:val="0"/>
        </w:rPr>
        <w:tab/>
      </w:r>
      <w:r>
        <w:rPr>
          <w:snapToGrid w:val="0"/>
        </w:rPr>
        <w:tab/>
        <w:t>Under section 24 or 25, a harbour master is not to direct that a vessel or wreckage be moved out of the port unless he or she is satisfied there is no other place within the port where the vessel or wreckage can lie without obstructing other vessels, hindering the efficiency of the operations of the port, endangering the safety of people or property or polluting the waters of the port.</w:t>
      </w:r>
    </w:p>
    <w:p>
      <w:pPr>
        <w:pStyle w:val="Heading5"/>
        <w:rPr>
          <w:snapToGrid w:val="0"/>
        </w:rPr>
      </w:pPr>
      <w:bookmarkStart w:id="26" w:name="_Toc459693968"/>
      <w:r>
        <w:rPr>
          <w:rStyle w:val="CharSectno"/>
        </w:rPr>
        <w:t>27</w:t>
      </w:r>
      <w:r>
        <w:rPr>
          <w:snapToGrid w:val="0"/>
        </w:rPr>
        <w:t>.</w:t>
      </w:r>
      <w:r>
        <w:rPr>
          <w:snapToGrid w:val="0"/>
        </w:rPr>
        <w:tab/>
        <w:t>Removal of unowned vessels etc.</w:t>
      </w:r>
      <w:bookmarkEnd w:id="26"/>
      <w:r>
        <w:rPr>
          <w:snapToGrid w:val="0"/>
        </w:rPr>
        <w:t xml:space="preserve"> </w:t>
      </w:r>
    </w:p>
    <w:p>
      <w:pPr>
        <w:pStyle w:val="Subsection"/>
        <w:rPr>
          <w:snapToGrid w:val="0"/>
        </w:rPr>
      </w:pPr>
      <w:r>
        <w:rPr>
          <w:snapToGrid w:val="0"/>
        </w:rPr>
        <w:tab/>
      </w:r>
      <w:r>
        <w:rPr>
          <w:snapToGrid w:val="0"/>
        </w:rPr>
        <w:tab/>
        <w:t>For the purpose of performing his or her principal functions a harbour master may remove from the waters of the port, destroy, or sink any vessel or wreckage the owner of which cannot, after reasonable enquiries, be ascertained or found.</w:t>
      </w:r>
    </w:p>
    <w:p>
      <w:pPr>
        <w:pStyle w:val="Heading5"/>
        <w:rPr>
          <w:snapToGrid w:val="0"/>
        </w:rPr>
      </w:pPr>
      <w:bookmarkStart w:id="27" w:name="_Toc459693969"/>
      <w:r>
        <w:rPr>
          <w:rStyle w:val="CharSectno"/>
        </w:rPr>
        <w:t>28</w:t>
      </w:r>
      <w:r>
        <w:rPr>
          <w:snapToGrid w:val="0"/>
        </w:rPr>
        <w:t>.</w:t>
      </w:r>
      <w:r>
        <w:rPr>
          <w:snapToGrid w:val="0"/>
        </w:rPr>
        <w:tab/>
        <w:t>Offence of not obeying direction</w:t>
      </w:r>
      <w:bookmarkEnd w:id="27"/>
      <w:r>
        <w:rPr>
          <w:snapToGrid w:val="0"/>
        </w:rPr>
        <w:t xml:space="preserve"> </w:t>
      </w:r>
    </w:p>
    <w:p>
      <w:pPr>
        <w:pStyle w:val="Subsection"/>
        <w:rPr>
          <w:snapToGrid w:val="0"/>
        </w:rPr>
      </w:pPr>
      <w:r>
        <w:rPr>
          <w:snapToGrid w:val="0"/>
        </w:rPr>
        <w:tab/>
      </w:r>
      <w:r>
        <w:rPr>
          <w:snapToGrid w:val="0"/>
        </w:rPr>
        <w:tab/>
        <w:t>A person who without reasonable excuse (proof of which lies on him or her) does not comply with a direction under section 24 or 25 commits an offence.</w:t>
      </w:r>
    </w:p>
    <w:p>
      <w:pPr>
        <w:pStyle w:val="Penstart"/>
        <w:rPr>
          <w:snapToGrid w:val="0"/>
        </w:rPr>
      </w:pPr>
      <w:r>
        <w:rPr>
          <w:snapToGrid w:val="0"/>
        </w:rPr>
        <w:tab/>
        <w:t>Penalty: $10 000.</w:t>
      </w:r>
    </w:p>
    <w:p>
      <w:pPr>
        <w:pStyle w:val="Heading5"/>
        <w:rPr>
          <w:snapToGrid w:val="0"/>
        </w:rPr>
      </w:pPr>
      <w:bookmarkStart w:id="28" w:name="_Toc459693970"/>
      <w:r>
        <w:rPr>
          <w:rStyle w:val="CharSectno"/>
        </w:rPr>
        <w:t>29</w:t>
      </w:r>
      <w:r>
        <w:rPr>
          <w:snapToGrid w:val="0"/>
        </w:rPr>
        <w:t>.</w:t>
      </w:r>
      <w:r>
        <w:rPr>
          <w:snapToGrid w:val="0"/>
        </w:rPr>
        <w:tab/>
        <w:t>Powers if direction not obeyed</w:t>
      </w:r>
      <w:bookmarkEnd w:id="28"/>
      <w:r>
        <w:rPr>
          <w:snapToGrid w:val="0"/>
        </w:rPr>
        <w:t xml:space="preserve"> </w:t>
      </w:r>
    </w:p>
    <w:p>
      <w:pPr>
        <w:pStyle w:val="Subsection"/>
        <w:rPr>
          <w:snapToGrid w:val="0"/>
        </w:rPr>
      </w:pPr>
      <w:r>
        <w:rPr>
          <w:snapToGrid w:val="0"/>
        </w:rPr>
        <w:tab/>
        <w:t>(1)</w:t>
      </w:r>
      <w:r>
        <w:rPr>
          <w:snapToGrid w:val="0"/>
        </w:rPr>
        <w:tab/>
        <w:t>If a person does not comply with a direction under section 24 (1) (b), (c), or (d) or (2) or section 25 within a reasonable time after being given it, the harbour master may cause the direction to be complied with using such means as he or she thinks fit.</w:t>
      </w:r>
    </w:p>
    <w:p>
      <w:pPr>
        <w:pStyle w:val="Subsection"/>
        <w:rPr>
          <w:snapToGrid w:val="0"/>
        </w:rPr>
      </w:pPr>
      <w:r>
        <w:rPr>
          <w:snapToGrid w:val="0"/>
        </w:rPr>
        <w:tab/>
        <w:t>(2)</w:t>
      </w:r>
      <w:r>
        <w:rPr>
          <w:snapToGrid w:val="0"/>
        </w:rPr>
        <w:tab/>
        <w:t>When causing a vessel to be moved under subsection (1) a harbour master may cause the vessel to be made fast to another vessel in the port which is anchored, moored or berthed.</w:t>
      </w:r>
    </w:p>
    <w:p>
      <w:pPr>
        <w:pStyle w:val="Subsection"/>
        <w:rPr>
          <w:snapToGrid w:val="0"/>
        </w:rPr>
      </w:pPr>
      <w:r>
        <w:rPr>
          <w:snapToGrid w:val="0"/>
        </w:rPr>
        <w:tab/>
        <w:t>(3)</w:t>
      </w:r>
      <w:r>
        <w:rPr>
          <w:snapToGrid w:val="0"/>
        </w:rPr>
        <w:tab/>
        <w:t>Subsection (2) does not disentitle the owner or master of a vessel to which another vessel is made fast under that subsection from recovering from the owner or master of that other vessel damages for loss or damage occasioned thereby.</w:t>
      </w:r>
    </w:p>
    <w:p>
      <w:pPr>
        <w:pStyle w:val="Heading5"/>
        <w:rPr>
          <w:snapToGrid w:val="0"/>
        </w:rPr>
      </w:pPr>
      <w:bookmarkStart w:id="29" w:name="_Toc459693971"/>
      <w:r>
        <w:rPr>
          <w:rStyle w:val="CharSectno"/>
        </w:rPr>
        <w:t>30</w:t>
      </w:r>
      <w:r>
        <w:rPr>
          <w:snapToGrid w:val="0"/>
        </w:rPr>
        <w:t>.</w:t>
      </w:r>
      <w:r>
        <w:rPr>
          <w:snapToGrid w:val="0"/>
        </w:rPr>
        <w:tab/>
        <w:t>Recovery of costs</w:t>
      </w:r>
      <w:bookmarkEnd w:id="29"/>
      <w:r>
        <w:rPr>
          <w:snapToGrid w:val="0"/>
        </w:rPr>
        <w:t xml:space="preserve"> </w:t>
      </w:r>
    </w:p>
    <w:p>
      <w:pPr>
        <w:pStyle w:val="Subsection"/>
        <w:rPr>
          <w:snapToGrid w:val="0"/>
        </w:rPr>
      </w:pPr>
      <w:r>
        <w:rPr>
          <w:snapToGrid w:val="0"/>
        </w:rPr>
        <w:tab/>
        <w:t>(1)</w:t>
      </w:r>
      <w:r>
        <w:rPr>
          <w:snapToGrid w:val="0"/>
        </w:rPr>
        <w:tab/>
        <w:t>A port authority may recover, as a debt due to the port authority, the costs of exercising the powers — </w:t>
      </w:r>
    </w:p>
    <w:p>
      <w:pPr>
        <w:pStyle w:val="Indenta"/>
        <w:rPr>
          <w:snapToGrid w:val="0"/>
        </w:rPr>
      </w:pPr>
      <w:r>
        <w:rPr>
          <w:snapToGrid w:val="0"/>
        </w:rPr>
        <w:tab/>
        <w:t>(a)</w:t>
      </w:r>
      <w:r>
        <w:rPr>
          <w:snapToGrid w:val="0"/>
        </w:rPr>
        <w:tab/>
        <w:t>in section 27 — from the owner of the vessel or wreckage; or</w:t>
      </w:r>
    </w:p>
    <w:p>
      <w:pPr>
        <w:pStyle w:val="Indenta"/>
        <w:rPr>
          <w:snapToGrid w:val="0"/>
        </w:rPr>
      </w:pPr>
      <w:r>
        <w:rPr>
          <w:snapToGrid w:val="0"/>
        </w:rPr>
        <w:tab/>
        <w:t>(b)</w:t>
      </w:r>
      <w:r>
        <w:rPr>
          <w:snapToGrid w:val="0"/>
        </w:rPr>
        <w:tab/>
        <w:t>in section 29 — from the owner, master, or person in charge, of the vessel or the owner of the wreckage.</w:t>
      </w:r>
    </w:p>
    <w:p>
      <w:pPr>
        <w:pStyle w:val="Subsection"/>
        <w:rPr>
          <w:snapToGrid w:val="0"/>
        </w:rPr>
      </w:pPr>
      <w:r>
        <w:rPr>
          <w:snapToGrid w:val="0"/>
        </w:rPr>
        <w:tab/>
        <w:t>(2)</w:t>
      </w:r>
      <w:r>
        <w:rPr>
          <w:snapToGrid w:val="0"/>
        </w:rPr>
        <w:tab/>
        <w:t>A port authority may recover the costs of exercising the powers in section 27 by selling the vessel or wreckage.</w:t>
      </w:r>
    </w:p>
    <w:p>
      <w:pPr>
        <w:pStyle w:val="Subsection"/>
        <w:rPr>
          <w:snapToGrid w:val="0"/>
        </w:rPr>
      </w:pPr>
      <w:r>
        <w:rPr>
          <w:snapToGrid w:val="0"/>
        </w:rPr>
        <w:tab/>
        <w:t>(3)</w:t>
      </w:r>
      <w:r>
        <w:rPr>
          <w:snapToGrid w:val="0"/>
        </w:rPr>
        <w:tab/>
        <w:t>The proceeds of a sale are to be applied — </w:t>
      </w:r>
    </w:p>
    <w:p>
      <w:pPr>
        <w:pStyle w:val="Indenta"/>
        <w:rPr>
          <w:snapToGrid w:val="0"/>
        </w:rPr>
      </w:pPr>
      <w:r>
        <w:rPr>
          <w:snapToGrid w:val="0"/>
        </w:rPr>
        <w:tab/>
        <w:t>(a)</w:t>
      </w:r>
      <w:r>
        <w:rPr>
          <w:snapToGrid w:val="0"/>
        </w:rPr>
        <w:tab/>
        <w:t>firstly to the expenses of the sale; and</w:t>
      </w:r>
    </w:p>
    <w:p>
      <w:pPr>
        <w:pStyle w:val="Indenta"/>
        <w:rPr>
          <w:snapToGrid w:val="0"/>
        </w:rPr>
      </w:pPr>
      <w:r>
        <w:rPr>
          <w:snapToGrid w:val="0"/>
        </w:rPr>
        <w:tab/>
        <w:t>(b)</w:t>
      </w:r>
      <w:r>
        <w:rPr>
          <w:snapToGrid w:val="0"/>
        </w:rPr>
        <w:tab/>
        <w:t>secondly to the costs of exercising the powers in section 27,</w:t>
      </w:r>
    </w:p>
    <w:p>
      <w:pPr>
        <w:pStyle w:val="Subsection"/>
        <w:rPr>
          <w:snapToGrid w:val="0"/>
        </w:rPr>
      </w:pPr>
      <w:r>
        <w:rPr>
          <w:snapToGrid w:val="0"/>
        </w:rPr>
        <w:tab/>
      </w:r>
      <w:r>
        <w:rPr>
          <w:snapToGrid w:val="0"/>
        </w:rPr>
        <w:tab/>
        <w:t>and the balance, if any, is to be paid to the owner of the vessel or wreckage, if ascertainable, or otherwise kept by the port authority.</w:t>
      </w:r>
    </w:p>
    <w:p>
      <w:pPr>
        <w:pStyle w:val="Subsection"/>
        <w:rPr>
          <w:snapToGrid w:val="0"/>
        </w:rPr>
      </w:pPr>
      <w:r>
        <w:rPr>
          <w:snapToGrid w:val="0"/>
        </w:rPr>
        <w:tab/>
        <w:t>(4)</w:t>
      </w:r>
      <w:r>
        <w:rPr>
          <w:snapToGrid w:val="0"/>
        </w:rPr>
        <w:tab/>
        <w:t>The powers in subsections (1) and (2) may be exercised together.</w:t>
      </w:r>
    </w:p>
    <w:p>
      <w:pPr>
        <w:pStyle w:val="Heading5"/>
        <w:rPr>
          <w:snapToGrid w:val="0"/>
        </w:rPr>
      </w:pPr>
      <w:bookmarkStart w:id="30" w:name="_Toc459693972"/>
      <w:r>
        <w:rPr>
          <w:rStyle w:val="CharSectno"/>
        </w:rPr>
        <w:t>31</w:t>
      </w:r>
      <w:r>
        <w:rPr>
          <w:snapToGrid w:val="0"/>
        </w:rPr>
        <w:t>.</w:t>
      </w:r>
      <w:r>
        <w:rPr>
          <w:snapToGrid w:val="0"/>
        </w:rPr>
        <w:tab/>
        <w:t>Immunity from liability</w:t>
      </w:r>
      <w:bookmarkEnd w:id="30"/>
      <w:r>
        <w:rPr>
          <w:snapToGrid w:val="0"/>
        </w:rPr>
        <w:t xml:space="preserve"> </w:t>
      </w:r>
    </w:p>
    <w:p>
      <w:pPr>
        <w:pStyle w:val="Subsection"/>
        <w:rPr>
          <w:snapToGrid w:val="0"/>
        </w:rPr>
      </w:pPr>
      <w:r>
        <w:rPr>
          <w:snapToGrid w:val="0"/>
        </w:rPr>
        <w:tab/>
      </w:r>
      <w:r>
        <w:rPr>
          <w:snapToGrid w:val="0"/>
        </w:rPr>
        <w:tab/>
        <w:t>Neither the Crown, the Minister, the port authority, the harbour master, nor any person acting under the direction of the harbour master, is liable for any loss or damage occasioned by complying with a direction under section 24 or 25 given in good faith or by the exercise in good faith of the powers in section 27, 29 or 30 (2).</w:t>
      </w:r>
    </w:p>
    <w:p>
      <w:pPr>
        <w:pStyle w:val="Heading5"/>
        <w:rPr>
          <w:snapToGrid w:val="0"/>
        </w:rPr>
      </w:pPr>
      <w:bookmarkStart w:id="31" w:name="_Toc459693973"/>
      <w:r>
        <w:rPr>
          <w:rStyle w:val="CharSectno"/>
        </w:rPr>
        <w:t>32</w:t>
      </w:r>
      <w:r>
        <w:rPr>
          <w:snapToGrid w:val="0"/>
        </w:rPr>
        <w:t>.</w:t>
      </w:r>
      <w:r>
        <w:rPr>
          <w:snapToGrid w:val="0"/>
        </w:rPr>
        <w:tab/>
        <w:t>Offence of hindering</w:t>
      </w:r>
      <w:bookmarkEnd w:id="31"/>
      <w:r>
        <w:rPr>
          <w:snapToGrid w:val="0"/>
        </w:rPr>
        <w:t xml:space="preserve"> </w:t>
      </w:r>
    </w:p>
    <w:p>
      <w:pPr>
        <w:pStyle w:val="Subsection"/>
        <w:rPr>
          <w:snapToGrid w:val="0"/>
        </w:rPr>
      </w:pPr>
      <w:r>
        <w:rPr>
          <w:snapToGrid w:val="0"/>
        </w:rPr>
        <w:tab/>
      </w:r>
      <w:r>
        <w:rPr>
          <w:snapToGrid w:val="0"/>
        </w:rPr>
        <w:tab/>
        <w:t>A person who hinders a harbour master, or a person acting under the direction of a harbour master, in the exercise of the powers in section 27 or 29 commits an offence.</w:t>
      </w:r>
    </w:p>
    <w:p>
      <w:pPr>
        <w:pStyle w:val="Penstart"/>
        <w:rPr>
          <w:snapToGrid w:val="0"/>
        </w:rPr>
      </w:pPr>
      <w:r>
        <w:rPr>
          <w:snapToGrid w:val="0"/>
        </w:rPr>
        <w:tab/>
        <w:t>Penalty: $2 000.</w:t>
      </w:r>
    </w:p>
    <w:p>
      <w:pPr>
        <w:pStyle w:val="Heading3"/>
        <w:rPr>
          <w:snapToGrid w:val="0"/>
        </w:rPr>
      </w:pPr>
      <w:r>
        <w:rPr>
          <w:rStyle w:val="CharDivNo"/>
        </w:rPr>
        <w:t>Division 7</w:t>
      </w:r>
      <w:r>
        <w:rPr>
          <w:snapToGrid w:val="0"/>
        </w:rPr>
        <w:t> — </w:t>
      </w:r>
      <w:r>
        <w:rPr>
          <w:rStyle w:val="CharDivText"/>
        </w:rPr>
        <w:t xml:space="preserve">Additional financial provision </w:t>
      </w:r>
    </w:p>
    <w:p>
      <w:pPr>
        <w:pStyle w:val="Heading5"/>
        <w:rPr>
          <w:snapToGrid w:val="0"/>
        </w:rPr>
      </w:pPr>
      <w:bookmarkStart w:id="32" w:name="_Toc459693974"/>
      <w:r>
        <w:rPr>
          <w:rStyle w:val="CharSectno"/>
        </w:rPr>
        <w:t>33</w:t>
      </w:r>
      <w:r>
        <w:rPr>
          <w:snapToGrid w:val="0"/>
        </w:rPr>
        <w:t>.</w:t>
      </w:r>
      <w:r>
        <w:rPr>
          <w:snapToGrid w:val="0"/>
        </w:rPr>
        <w:tab/>
        <w:t>Interest on overdue amounts</w:t>
      </w:r>
      <w:bookmarkEnd w:id="32"/>
      <w:r>
        <w:rPr>
          <w:snapToGrid w:val="0"/>
        </w:rPr>
        <w:t xml:space="preserve"> </w:t>
      </w:r>
    </w:p>
    <w:p>
      <w:pPr>
        <w:pStyle w:val="Subsection"/>
        <w:rPr>
          <w:snapToGrid w:val="0"/>
        </w:rPr>
      </w:pPr>
      <w:r>
        <w:rPr>
          <w:snapToGrid w:val="0"/>
        </w:rPr>
        <w:tab/>
        <w:t>(1)</w:t>
      </w:r>
      <w:r>
        <w:rPr>
          <w:snapToGrid w:val="0"/>
        </w:rPr>
        <w:tab/>
        <w:t>If money due to a port authority is not paid in full by the time when it is due, or such time after then as the port authority may allow, interest on the amount outstanding at the rate prescribed by regulations is to be paid to the port authority.</w:t>
      </w:r>
    </w:p>
    <w:p>
      <w:pPr>
        <w:pStyle w:val="Subsection"/>
        <w:rPr>
          <w:snapToGrid w:val="0"/>
        </w:rPr>
      </w:pPr>
      <w:r>
        <w:rPr>
          <w:snapToGrid w:val="0"/>
        </w:rPr>
        <w:tab/>
        <w:t>(2)</w:t>
      </w:r>
      <w:r>
        <w:rPr>
          <w:snapToGrid w:val="0"/>
        </w:rPr>
        <w:tab/>
        <w:t>Interest under subsection (1) may be recovered by a port authority in the same way as the money due to it may be recovered.</w:t>
      </w:r>
    </w:p>
    <w:p>
      <w:pPr>
        <w:pStyle w:val="Subsection"/>
        <w:rPr>
          <w:snapToGrid w:val="0"/>
        </w:rPr>
      </w:pPr>
      <w:r>
        <w:rPr>
          <w:snapToGrid w:val="0"/>
        </w:rPr>
        <w:tab/>
        <w:t>(3)</w:t>
      </w:r>
      <w:r>
        <w:rPr>
          <w:snapToGrid w:val="0"/>
        </w:rPr>
        <w:tab/>
        <w:t>Unless the context requires otherwise, a reference in a port authority Act to dues or charges is to be taken as including a reference to interest under subsection (1) payable on such dues or charges if overdue.</w:t>
      </w:r>
    </w:p>
    <w:p>
      <w:pPr>
        <w:pStyle w:val="Subsection"/>
        <w:rPr>
          <w:snapToGrid w:val="0"/>
        </w:rPr>
      </w:pPr>
      <w:r>
        <w:rPr>
          <w:snapToGrid w:val="0"/>
        </w:rPr>
        <w:tab/>
        <w:t>(4)</w:t>
      </w:r>
      <w:r>
        <w:rPr>
          <w:snapToGrid w:val="0"/>
        </w:rPr>
        <w:tab/>
        <w:t>Subsection (1) does not apply in respect of money due under a written agreement where the rate of interest to be paid is specified in the agreement.</w:t>
      </w:r>
    </w:p>
    <w:p>
      <w:pPr>
        <w:pStyle w:val="Heading3"/>
        <w:rPr>
          <w:snapToGrid w:val="0"/>
        </w:rPr>
      </w:pPr>
      <w:r>
        <w:rPr>
          <w:rStyle w:val="CharDivNo"/>
        </w:rPr>
        <w:t>Division 8</w:t>
      </w:r>
      <w:r>
        <w:rPr>
          <w:snapToGrid w:val="0"/>
        </w:rPr>
        <w:t> — </w:t>
      </w:r>
      <w:r>
        <w:rPr>
          <w:rStyle w:val="CharDivText"/>
        </w:rPr>
        <w:t xml:space="preserve">Additional powers to make regulations </w:t>
      </w:r>
    </w:p>
    <w:p>
      <w:pPr>
        <w:pStyle w:val="Heading5"/>
        <w:rPr>
          <w:snapToGrid w:val="0"/>
        </w:rPr>
      </w:pPr>
      <w:bookmarkStart w:id="33" w:name="_Toc459693975"/>
      <w:r>
        <w:rPr>
          <w:rStyle w:val="CharSectno"/>
        </w:rPr>
        <w:t>34</w:t>
      </w:r>
      <w:r>
        <w:rPr>
          <w:snapToGrid w:val="0"/>
        </w:rPr>
        <w:t>.</w:t>
      </w:r>
      <w:r>
        <w:rPr>
          <w:snapToGrid w:val="0"/>
        </w:rPr>
        <w:tab/>
        <w:t>Regulations about liability of port authorities</w:t>
      </w:r>
      <w:bookmarkEnd w:id="33"/>
      <w:r>
        <w:rPr>
          <w:snapToGrid w:val="0"/>
        </w:rPr>
        <w:t xml:space="preserve"> </w:t>
      </w:r>
    </w:p>
    <w:p>
      <w:pPr>
        <w:pStyle w:val="Subsection"/>
        <w:rPr>
          <w:snapToGrid w:val="0"/>
        </w:rPr>
      </w:pPr>
      <w:r>
        <w:rPr>
          <w:snapToGrid w:val="0"/>
        </w:rPr>
        <w:tab/>
      </w:r>
      <w:r>
        <w:rPr>
          <w:snapToGrid w:val="0"/>
        </w:rPr>
        <w:tab/>
        <w:t>In addition to the powers in its Act or another written law to make regulations, and without limiting such powers, a port authority may make regulations in accordance with its Act for any of the following purposes — </w:t>
      </w:r>
    </w:p>
    <w:p>
      <w:pPr>
        <w:pStyle w:val="Indenta"/>
        <w:rPr>
          <w:snapToGrid w:val="0"/>
        </w:rPr>
      </w:pPr>
      <w:r>
        <w:rPr>
          <w:snapToGrid w:val="0"/>
        </w:rPr>
        <w:tab/>
        <w:t>(a)</w:t>
      </w:r>
      <w:r>
        <w:rPr>
          <w:snapToGrid w:val="0"/>
        </w:rPr>
        <w:tab/>
        <w:t>binding the owners of goods to — </w:t>
      </w:r>
    </w:p>
    <w:p>
      <w:pPr>
        <w:pStyle w:val="Indenti"/>
        <w:rPr>
          <w:snapToGrid w:val="0"/>
        </w:rPr>
      </w:pPr>
      <w:r>
        <w:rPr>
          <w:snapToGrid w:val="0"/>
        </w:rPr>
        <w:tab/>
        <w:t>(i)</w:t>
      </w:r>
      <w:r>
        <w:rPr>
          <w:snapToGrid w:val="0"/>
        </w:rPr>
        <w:tab/>
        <w:t>descriptions of and statements about goods (including as to value) in; and</w:t>
      </w:r>
    </w:p>
    <w:p>
      <w:pPr>
        <w:pStyle w:val="Indenti"/>
        <w:rPr>
          <w:snapToGrid w:val="0"/>
        </w:rPr>
      </w:pPr>
      <w:r>
        <w:rPr>
          <w:snapToGrid w:val="0"/>
        </w:rPr>
        <w:tab/>
        <w:t>(ii)</w:t>
      </w:r>
      <w:r>
        <w:rPr>
          <w:snapToGrid w:val="0"/>
        </w:rPr>
        <w:tab/>
        <w:t>the terms and conditions of,</w:t>
      </w:r>
    </w:p>
    <w:p>
      <w:pPr>
        <w:pStyle w:val="Indenta"/>
        <w:rPr>
          <w:snapToGrid w:val="0"/>
        </w:rPr>
      </w:pPr>
      <w:r>
        <w:rPr>
          <w:snapToGrid w:val="0"/>
        </w:rPr>
        <w:tab/>
      </w:r>
      <w:r>
        <w:rPr>
          <w:snapToGrid w:val="0"/>
        </w:rPr>
        <w:tab/>
        <w:t>bills of lading, manifests or receipts;</w:t>
      </w:r>
    </w:p>
    <w:p>
      <w:pPr>
        <w:pStyle w:val="Indenta"/>
        <w:rPr>
          <w:snapToGrid w:val="0"/>
        </w:rPr>
      </w:pPr>
      <w:r>
        <w:rPr>
          <w:snapToGrid w:val="0"/>
        </w:rPr>
        <w:tab/>
        <w:t>(b)</w:t>
      </w:r>
      <w:r>
        <w:rPr>
          <w:snapToGrid w:val="0"/>
        </w:rPr>
        <w:tab/>
        <w:t>exempting the port authority from liability for — </w:t>
      </w:r>
    </w:p>
    <w:p>
      <w:pPr>
        <w:pStyle w:val="Indenti"/>
        <w:rPr>
          <w:snapToGrid w:val="0"/>
        </w:rPr>
      </w:pPr>
      <w:r>
        <w:rPr>
          <w:snapToGrid w:val="0"/>
        </w:rPr>
        <w:tab/>
        <w:t>(i)</w:t>
      </w:r>
      <w:r>
        <w:rPr>
          <w:snapToGrid w:val="0"/>
        </w:rPr>
        <w:tab/>
        <w:t>loss of or damage to goods delivered to its port but for which the port authority has not issued a receipt;</w:t>
      </w:r>
    </w:p>
    <w:p>
      <w:pPr>
        <w:pStyle w:val="Indenti"/>
        <w:rPr>
          <w:snapToGrid w:val="0"/>
        </w:rPr>
      </w:pPr>
      <w:r>
        <w:rPr>
          <w:snapToGrid w:val="0"/>
        </w:rPr>
        <w:tab/>
        <w:t>(ii)</w:t>
      </w:r>
      <w:r>
        <w:rPr>
          <w:snapToGrid w:val="0"/>
        </w:rPr>
        <w:tab/>
        <w:t>loss of or damage to goods handled in wet weather or outside the ordinary working hours fixed by the port authority;</w:t>
      </w:r>
    </w:p>
    <w:p>
      <w:pPr>
        <w:pStyle w:val="Indenti"/>
        <w:rPr>
          <w:snapToGrid w:val="0"/>
        </w:rPr>
      </w:pPr>
      <w:r>
        <w:rPr>
          <w:snapToGrid w:val="0"/>
        </w:rPr>
        <w:tab/>
        <w:t>(iii)</w:t>
      </w:r>
      <w:r>
        <w:rPr>
          <w:snapToGrid w:val="0"/>
        </w:rPr>
        <w:tab/>
        <w:t>loss of or damage to goods caused or contributed to by insufficient protection or packaging;</w:t>
      </w:r>
    </w:p>
    <w:p>
      <w:pPr>
        <w:pStyle w:val="Indenti"/>
        <w:rPr>
          <w:snapToGrid w:val="0"/>
        </w:rPr>
      </w:pPr>
      <w:r>
        <w:rPr>
          <w:snapToGrid w:val="0"/>
        </w:rPr>
        <w:tab/>
        <w:t>(iv)</w:t>
      </w:r>
      <w:r>
        <w:rPr>
          <w:snapToGrid w:val="0"/>
        </w:rPr>
        <w:tab/>
        <w:t>damage caused or contributed to by goods that are insufficiently protected or packaged;</w:t>
      </w:r>
    </w:p>
    <w:p>
      <w:pPr>
        <w:pStyle w:val="Indenti"/>
        <w:rPr>
          <w:snapToGrid w:val="0"/>
        </w:rPr>
      </w:pPr>
      <w:r>
        <w:rPr>
          <w:snapToGrid w:val="0"/>
        </w:rPr>
        <w:tab/>
        <w:t>(v)</w:t>
      </w:r>
      <w:r>
        <w:rPr>
          <w:snapToGrid w:val="0"/>
        </w:rPr>
        <w:tab/>
        <w:t>loss of or damage to goods the nature of which is not ascertainable (visually or from documents) without unpacking them;</w:t>
      </w:r>
    </w:p>
    <w:p>
      <w:pPr>
        <w:pStyle w:val="Indenti"/>
        <w:rPr>
          <w:snapToGrid w:val="0"/>
        </w:rPr>
      </w:pPr>
      <w:r>
        <w:rPr>
          <w:snapToGrid w:val="0"/>
        </w:rPr>
        <w:tab/>
        <w:t>(vi)</w:t>
      </w:r>
      <w:r>
        <w:rPr>
          <w:snapToGrid w:val="0"/>
        </w:rPr>
        <w:tab/>
        <w:t>delay in the delivery or the incorrect delivery of goods;</w:t>
      </w:r>
    </w:p>
    <w:p>
      <w:pPr>
        <w:pStyle w:val="Indenta"/>
        <w:rPr>
          <w:snapToGrid w:val="0"/>
        </w:rPr>
      </w:pPr>
      <w:r>
        <w:rPr>
          <w:snapToGrid w:val="0"/>
        </w:rPr>
        <w:tab/>
        <w:t>(c)</w:t>
      </w:r>
      <w:r>
        <w:rPr>
          <w:snapToGrid w:val="0"/>
        </w:rPr>
        <w:tab/>
        <w:t>limiting the port authority’s liability for — </w:t>
      </w:r>
    </w:p>
    <w:p>
      <w:pPr>
        <w:pStyle w:val="Indenti"/>
        <w:rPr>
          <w:snapToGrid w:val="0"/>
        </w:rPr>
      </w:pPr>
      <w:r>
        <w:rPr>
          <w:snapToGrid w:val="0"/>
        </w:rPr>
        <w:tab/>
        <w:t>(i)</w:t>
      </w:r>
      <w:r>
        <w:rPr>
          <w:snapToGrid w:val="0"/>
        </w:rPr>
        <w:tab/>
        <w:t>loss of or damage to goods in its port;</w:t>
      </w:r>
    </w:p>
    <w:p>
      <w:pPr>
        <w:pStyle w:val="Indenti"/>
        <w:rPr>
          <w:snapToGrid w:val="0"/>
        </w:rPr>
      </w:pPr>
      <w:r>
        <w:rPr>
          <w:snapToGrid w:val="0"/>
        </w:rPr>
        <w:tab/>
        <w:t>(ii)</w:t>
      </w:r>
      <w:r>
        <w:rPr>
          <w:snapToGrid w:val="0"/>
        </w:rPr>
        <w:tab/>
        <w:t>loss of or damage to vessels due to stevedoring carried out by the port authority;</w:t>
      </w:r>
    </w:p>
    <w:p>
      <w:pPr>
        <w:pStyle w:val="Indenta"/>
        <w:rPr>
          <w:snapToGrid w:val="0"/>
        </w:rPr>
      </w:pPr>
      <w:r>
        <w:rPr>
          <w:snapToGrid w:val="0"/>
        </w:rPr>
        <w:tab/>
        <w:t>(d)</w:t>
      </w:r>
      <w:r>
        <w:rPr>
          <w:snapToGrid w:val="0"/>
        </w:rPr>
        <w:tab/>
        <w:t>limiting the time for making a claim against the port authority for loss of or damage to goods or vessels and exempting the port authority from liability where such a claim is not made in time.</w:t>
      </w:r>
    </w:p>
    <w:p>
      <w:pPr>
        <w:pStyle w:val="Heading3"/>
        <w:rPr>
          <w:snapToGrid w:val="0"/>
        </w:rPr>
      </w:pPr>
      <w:r>
        <w:rPr>
          <w:rStyle w:val="CharDivNo"/>
        </w:rPr>
        <w:t>Division 9</w:t>
      </w:r>
      <w:r>
        <w:rPr>
          <w:snapToGrid w:val="0"/>
        </w:rPr>
        <w:t> — </w:t>
      </w:r>
      <w:r>
        <w:rPr>
          <w:rStyle w:val="CharDivText"/>
        </w:rPr>
        <w:t xml:space="preserve">Regulations for Divisions 4 to 7 </w:t>
      </w:r>
    </w:p>
    <w:p>
      <w:pPr>
        <w:pStyle w:val="Heading5"/>
        <w:rPr>
          <w:snapToGrid w:val="0"/>
        </w:rPr>
      </w:pPr>
      <w:bookmarkStart w:id="34" w:name="_Toc459693976"/>
      <w:r>
        <w:rPr>
          <w:rStyle w:val="CharSectno"/>
        </w:rPr>
        <w:t>35</w:t>
      </w:r>
      <w:r>
        <w:rPr>
          <w:snapToGrid w:val="0"/>
        </w:rPr>
        <w:t>.</w:t>
      </w:r>
      <w:r>
        <w:rPr>
          <w:snapToGrid w:val="0"/>
        </w:rPr>
        <w:tab/>
        <w:t>Power to make regulations</w:t>
      </w:r>
      <w:bookmarkEnd w:id="34"/>
      <w:r>
        <w:rPr>
          <w:snapToGrid w:val="0"/>
        </w:rPr>
        <w:t xml:space="preserve"> </w:t>
      </w:r>
    </w:p>
    <w:p>
      <w:pPr>
        <w:pStyle w:val="Subsection"/>
        <w:rPr>
          <w:snapToGrid w:val="0"/>
        </w:rPr>
      </w:pPr>
      <w:r>
        <w:rPr>
          <w:snapToGrid w:val="0"/>
        </w:rPr>
        <w:tab/>
      </w:r>
      <w:r>
        <w:rPr>
          <w:snapToGrid w:val="0"/>
        </w:rPr>
        <w:tab/>
        <w:t>A port authority may make regulations in accordance with its Act prescribing all matters that are required or permitted by Divisions 4 to 7 to be prescribed, or are necessary or convenient to be prescribed for giving effect to the purposes of those Divisions.</w:t>
      </w:r>
    </w:p>
    <w:p>
      <w:pPr>
        <w:pStyle w:val="Heading5"/>
        <w:rPr>
          <w:snapToGrid w:val="0"/>
        </w:rPr>
      </w:pPr>
      <w:bookmarkStart w:id="35" w:name="_Toc459693977"/>
      <w:r>
        <w:rPr>
          <w:rStyle w:val="CharSectno"/>
        </w:rPr>
        <w:t>36</w:t>
      </w:r>
      <w:r>
        <w:rPr>
          <w:snapToGrid w:val="0"/>
        </w:rPr>
        <w:t>.</w:t>
      </w:r>
      <w:r>
        <w:rPr>
          <w:snapToGrid w:val="0"/>
        </w:rPr>
        <w:tab/>
        <w:t>Governor may make model regulations</w:t>
      </w:r>
      <w:bookmarkEnd w:id="35"/>
      <w:r>
        <w:rPr>
          <w:snapToGrid w:val="0"/>
        </w:rPr>
        <w:t xml:space="preserve"> </w:t>
      </w:r>
    </w:p>
    <w:p>
      <w:pPr>
        <w:pStyle w:val="Subsection"/>
        <w:rPr>
          <w:snapToGrid w:val="0"/>
        </w:rPr>
      </w:pPr>
      <w:r>
        <w:rPr>
          <w:snapToGrid w:val="0"/>
        </w:rPr>
        <w:tab/>
        <w:t>(1)</w:t>
      </w:r>
      <w:r>
        <w:rPr>
          <w:snapToGrid w:val="0"/>
        </w:rPr>
        <w:tab/>
        <w:t>The Governor may make model regulations prescribing all matters that are required or permitted by Divisions 4 to 7 to be prescribed, or are necessary or convenient to be prescribed for giving effect to the purposes of those Divisions.</w:t>
      </w:r>
    </w:p>
    <w:p>
      <w:pPr>
        <w:pStyle w:val="Subsection"/>
        <w:rPr>
          <w:snapToGrid w:val="0"/>
        </w:rPr>
      </w:pPr>
      <w:r>
        <w:rPr>
          <w:snapToGrid w:val="0"/>
        </w:rPr>
        <w:tab/>
        <w:t>(2)</w:t>
      </w:r>
      <w:r>
        <w:rPr>
          <w:snapToGrid w:val="0"/>
        </w:rPr>
        <w:tab/>
        <w:t>Subsection (1) does not limit the operation of section 35.</w:t>
      </w:r>
    </w:p>
    <w:p>
      <w:pPr>
        <w:pStyle w:val="Subsection"/>
        <w:rPr>
          <w:snapToGrid w:val="0"/>
        </w:rPr>
      </w:pPr>
      <w:r>
        <w:rPr>
          <w:snapToGrid w:val="0"/>
        </w:rPr>
        <w:tab/>
        <w:t>(3)</w:t>
      </w:r>
      <w:r>
        <w:rPr>
          <w:snapToGrid w:val="0"/>
        </w:rPr>
        <w:tab/>
        <w:t>Model regulations do not have effect in relation to a port unless the port authority adopts them under subsection (5).</w:t>
      </w:r>
    </w:p>
    <w:p>
      <w:pPr>
        <w:pStyle w:val="Subsection"/>
        <w:rPr>
          <w:snapToGrid w:val="0"/>
        </w:rPr>
      </w:pPr>
      <w:r>
        <w:rPr>
          <w:snapToGrid w:val="0"/>
        </w:rPr>
        <w:tab/>
        <w:t>(4)</w:t>
      </w:r>
      <w:r>
        <w:rPr>
          <w:snapToGrid w:val="0"/>
        </w:rPr>
        <w:tab/>
        <w:t xml:space="preserve">The </w:t>
      </w:r>
      <w:r>
        <w:rPr>
          <w:i/>
          <w:snapToGrid w:val="0"/>
        </w:rPr>
        <w:t>Interpretation Act 1984</w:t>
      </w:r>
      <w:r>
        <w:rPr>
          <w:snapToGrid w:val="0"/>
        </w:rPr>
        <w:t xml:space="preserve"> (other than section 41 (1) (b)) and the </w:t>
      </w:r>
      <w:r>
        <w:rPr>
          <w:i/>
          <w:snapToGrid w:val="0"/>
        </w:rPr>
        <w:t>Reprints Act 1984</w:t>
      </w:r>
      <w:r>
        <w:rPr>
          <w:snapToGrid w:val="0"/>
        </w:rPr>
        <w:t xml:space="preserve"> apply to model regulations as if they are subsidiary legislation.</w:t>
      </w:r>
    </w:p>
    <w:p>
      <w:pPr>
        <w:pStyle w:val="Subsection"/>
        <w:rPr>
          <w:snapToGrid w:val="0"/>
        </w:rPr>
      </w:pPr>
      <w:r>
        <w:rPr>
          <w:snapToGrid w:val="0"/>
        </w:rPr>
        <w:tab/>
        <w:t>(5)</w:t>
      </w:r>
      <w:r>
        <w:rPr>
          <w:snapToGrid w:val="0"/>
        </w:rPr>
        <w:tab/>
        <w:t>By regulations made under its Act a port authority may adopt the whole of any model regulations without modification.</w:t>
      </w:r>
    </w:p>
    <w:p>
      <w:pPr>
        <w:pStyle w:val="Heading3"/>
        <w:rPr>
          <w:snapToGrid w:val="0"/>
        </w:rPr>
      </w:pPr>
      <w:r>
        <w:rPr>
          <w:rStyle w:val="CharDivNo"/>
        </w:rPr>
        <w:t>Division 10</w:t>
      </w:r>
      <w:r>
        <w:rPr>
          <w:snapToGrid w:val="0"/>
        </w:rPr>
        <w:t> — </w:t>
      </w:r>
      <w:r>
        <w:rPr>
          <w:rStyle w:val="CharDivText"/>
        </w:rPr>
        <w:t xml:space="preserve">General amendment to all port authority Acts </w:t>
      </w:r>
    </w:p>
    <w:p>
      <w:pPr>
        <w:pStyle w:val="Heading5"/>
        <w:rPr>
          <w:snapToGrid w:val="0"/>
        </w:rPr>
      </w:pPr>
      <w:bookmarkStart w:id="36" w:name="_Toc459693978"/>
      <w:r>
        <w:rPr>
          <w:rStyle w:val="CharSectno"/>
        </w:rPr>
        <w:t>37</w:t>
      </w:r>
      <w:r>
        <w:rPr>
          <w:snapToGrid w:val="0"/>
        </w:rPr>
        <w:t>.</w:t>
      </w:r>
      <w:r>
        <w:rPr>
          <w:snapToGrid w:val="0"/>
        </w:rPr>
        <w:tab/>
        <w:t>New section about funds</w:t>
      </w:r>
      <w:bookmarkEnd w:id="36"/>
      <w:r>
        <w:rPr>
          <w:snapToGrid w:val="0"/>
        </w:rPr>
        <w:t xml:space="preserve"> </w:t>
      </w:r>
    </w:p>
    <w:p>
      <w:pPr>
        <w:pStyle w:val="Subsection"/>
        <w:rPr>
          <w:snapToGrid w:val="0"/>
        </w:rPr>
      </w:pPr>
      <w:r>
        <w:rPr>
          <w:snapToGrid w:val="0"/>
        </w:rPr>
        <w:tab/>
        <w:t>(1)</w:t>
      </w:r>
      <w:r>
        <w:rPr>
          <w:snapToGrid w:val="0"/>
        </w:rPr>
        <w:tab/>
        <w:t xml:space="preserve">Each of the sections listed in subsection (2) is repealed and in each case the following section, with the amendments in subsections (3) and (4) (and, in the case of the </w:t>
      </w:r>
      <w:r>
        <w:rPr>
          <w:i/>
          <w:snapToGrid w:val="0"/>
        </w:rPr>
        <w:t>Fremantle Port Authority Act 1902</w:t>
      </w:r>
      <w:r>
        <w:rPr>
          <w:snapToGrid w:val="0"/>
        </w:rPr>
        <w:t>, with the amendments in subsection (5)), is substituted — </w:t>
      </w:r>
    </w:p>
    <w:p>
      <w:pPr>
        <w:pStyle w:val="MiscOpen"/>
        <w:rPr>
          <w:snapToGrid w:val="0"/>
        </w:rPr>
      </w:pPr>
      <w:r>
        <w:rPr>
          <w:snapToGrid w:val="0"/>
        </w:rPr>
        <w:t>“</w:t>
      </w:r>
    </w:p>
    <w:p>
      <w:pPr>
        <w:pStyle w:val="zHeading5"/>
        <w:outlineLvl w:val="0"/>
        <w:rPr>
          <w:snapToGrid w:val="0"/>
        </w:rPr>
      </w:pPr>
      <w:r>
        <w:rPr>
          <w:snapToGrid w:val="0"/>
        </w:rPr>
        <w:tab/>
        <w:t>Funds of the Port Authority</w:t>
      </w:r>
    </w:p>
    <w:p>
      <w:pPr>
        <w:pStyle w:val="zSubsection"/>
        <w:rPr>
          <w:snapToGrid w:val="0"/>
        </w:rPr>
      </w:pPr>
      <w:r>
        <w:rPr>
          <w:snapToGrid w:val="0"/>
        </w:rPr>
        <w:tab/>
        <w:t>(1)</w:t>
      </w:r>
      <w:r>
        <w:rPr>
          <w:snapToGrid w:val="0"/>
        </w:rPr>
        <w:tab/>
        <w:t>The funds of the Port Authority consist of — </w:t>
      </w:r>
    </w:p>
    <w:p>
      <w:pPr>
        <w:pStyle w:val="zIndenta"/>
        <w:rPr>
          <w:snapToGrid w:val="0"/>
        </w:rPr>
      </w:pPr>
      <w:r>
        <w:rPr>
          <w:snapToGrid w:val="0"/>
        </w:rPr>
        <w:tab/>
        <w:t>(a)</w:t>
      </w:r>
      <w:r>
        <w:rPr>
          <w:snapToGrid w:val="0"/>
        </w:rPr>
        <w:tab/>
        <w:t>moneys from time to time appropriated by Parliament;</w:t>
      </w:r>
    </w:p>
    <w:p>
      <w:pPr>
        <w:pStyle w:val="zIndenta"/>
        <w:rPr>
          <w:snapToGrid w:val="0"/>
        </w:rPr>
      </w:pPr>
      <w:r>
        <w:rPr>
          <w:snapToGrid w:val="0"/>
        </w:rPr>
        <w:tab/>
        <w:t>(b)</w:t>
      </w:r>
      <w:r>
        <w:rPr>
          <w:snapToGrid w:val="0"/>
        </w:rPr>
        <w:tab/>
        <w:t>moneys received by the Port Authority in the performance of its functions;</w:t>
      </w:r>
    </w:p>
    <w:p>
      <w:pPr>
        <w:pStyle w:val="zIndenta"/>
        <w:rPr>
          <w:snapToGrid w:val="0"/>
        </w:rPr>
      </w:pPr>
      <w:r>
        <w:rPr>
          <w:snapToGrid w:val="0"/>
        </w:rPr>
        <w:tab/>
        <w:t>(c)</w:t>
      </w:r>
      <w:r>
        <w:rPr>
          <w:snapToGrid w:val="0"/>
        </w:rPr>
        <w:tab/>
        <w:t>moneys borrowed by the Port Authority under this Act; and</w:t>
      </w:r>
    </w:p>
    <w:p>
      <w:pPr>
        <w:pStyle w:val="zIndenta"/>
        <w:rPr>
          <w:snapToGrid w:val="0"/>
        </w:rPr>
      </w:pPr>
      <w:r>
        <w:rPr>
          <w:snapToGrid w:val="0"/>
        </w:rPr>
        <w:tab/>
        <w:t>(d)</w:t>
      </w:r>
      <w:r>
        <w:rPr>
          <w:snapToGrid w:val="0"/>
        </w:rPr>
        <w:tab/>
        <w:t>other moneys lawfully received by, or made available, given or payable to the Port Authority.</w:t>
      </w:r>
    </w:p>
    <w:p>
      <w:pPr>
        <w:pStyle w:val="zSubsection"/>
        <w:rPr>
          <w:snapToGrid w:val="0"/>
        </w:rPr>
      </w:pPr>
      <w:r>
        <w:rPr>
          <w:snapToGrid w:val="0"/>
        </w:rPr>
        <w:tab/>
        <w:t>(2)</w:t>
      </w:r>
      <w:r>
        <w:rPr>
          <w:snapToGrid w:val="0"/>
        </w:rPr>
        <w:tab/>
        <w:t>The funds referred to in subsection (1) are to be credited to one account called the “[name of the port authority] Account” at either — </w:t>
      </w:r>
    </w:p>
    <w:p>
      <w:pPr>
        <w:pStyle w:val="zIndenta"/>
        <w:rPr>
          <w:snapToGrid w:val="0"/>
        </w:rPr>
      </w:pPr>
      <w:r>
        <w:rPr>
          <w:snapToGrid w:val="0"/>
        </w:rPr>
        <w:tab/>
        <w:t>(a)</w:t>
      </w:r>
      <w:r>
        <w:rPr>
          <w:snapToGrid w:val="0"/>
        </w:rPr>
        <w:tab/>
        <w:t xml:space="preserve">the Treasury and forming part of the Trust Fund constituted under section 9 of the </w:t>
      </w:r>
      <w:r>
        <w:rPr>
          <w:i/>
          <w:snapToGrid w:val="0"/>
        </w:rPr>
        <w:t>Financial Administration and Audit Act 1985;</w:t>
      </w:r>
      <w:r>
        <w:rPr>
          <w:snapToGrid w:val="0"/>
        </w:rPr>
        <w:t xml:space="preserve"> or</w:t>
      </w:r>
    </w:p>
    <w:p>
      <w:pPr>
        <w:pStyle w:val="zIndenta"/>
        <w:rPr>
          <w:snapToGrid w:val="0"/>
        </w:rPr>
      </w:pPr>
      <w:r>
        <w:rPr>
          <w:snapToGrid w:val="0"/>
        </w:rPr>
        <w:tab/>
        <w:t>(b)</w:t>
      </w:r>
      <w:r>
        <w:rPr>
          <w:snapToGrid w:val="0"/>
        </w:rPr>
        <w:tab/>
        <w:t>with the approval of the Treasurer, at a bank (as defined in section 3 of that Act).</w:t>
      </w:r>
    </w:p>
    <w:p>
      <w:pPr>
        <w:pStyle w:val="zSubsection"/>
        <w:rPr>
          <w:snapToGrid w:val="0"/>
        </w:rPr>
      </w:pPr>
      <w:r>
        <w:rPr>
          <w:snapToGrid w:val="0"/>
        </w:rPr>
        <w:tab/>
        <w:t>(3)</w:t>
      </w:r>
      <w:r>
        <w:rPr>
          <w:snapToGrid w:val="0"/>
        </w:rPr>
        <w:tab/>
        <w:t>The Account is to be charged with — </w:t>
      </w:r>
    </w:p>
    <w:p>
      <w:pPr>
        <w:pStyle w:val="zIndenta"/>
        <w:rPr>
          <w:snapToGrid w:val="0"/>
        </w:rPr>
      </w:pPr>
      <w:r>
        <w:rPr>
          <w:snapToGrid w:val="0"/>
        </w:rPr>
        <w:tab/>
        <w:t>(a)</w:t>
      </w:r>
      <w:r>
        <w:rPr>
          <w:snapToGrid w:val="0"/>
        </w:rPr>
        <w:tab/>
        <w:t>the remuneration and allowances payable to members;</w:t>
      </w:r>
    </w:p>
    <w:p>
      <w:pPr>
        <w:pStyle w:val="zIndenta"/>
        <w:rPr>
          <w:snapToGrid w:val="0"/>
        </w:rPr>
      </w:pPr>
      <w:r>
        <w:rPr>
          <w:snapToGrid w:val="0"/>
        </w:rPr>
        <w:tab/>
        <w:t>(b)</w:t>
      </w:r>
      <w:r>
        <w:rPr>
          <w:snapToGrid w:val="0"/>
        </w:rPr>
        <w:tab/>
        <w:t>the salaries and wages of the Port Authority’s officers and employees;</w:t>
      </w:r>
    </w:p>
    <w:p>
      <w:pPr>
        <w:pStyle w:val="zIndenta"/>
        <w:rPr>
          <w:snapToGrid w:val="0"/>
        </w:rPr>
      </w:pPr>
      <w:r>
        <w:rPr>
          <w:snapToGrid w:val="0"/>
        </w:rPr>
        <w:tab/>
        <w:t>(c)</w:t>
      </w:r>
      <w:r>
        <w:rPr>
          <w:snapToGrid w:val="0"/>
        </w:rPr>
        <w:tab/>
        <w:t>all capital expenditure incurred by the Port Authority under its Act in connection with the acquisition (whether by purchase or compulsory taking) of land, buildings or other property;</w:t>
      </w:r>
    </w:p>
    <w:p>
      <w:pPr>
        <w:pStyle w:val="zIndenta"/>
        <w:rPr>
          <w:snapToGrid w:val="0"/>
        </w:rPr>
      </w:pPr>
      <w:r>
        <w:rPr>
          <w:snapToGrid w:val="0"/>
        </w:rPr>
        <w:tab/>
        <w:t>(d)</w:t>
      </w:r>
      <w:r>
        <w:rPr>
          <w:snapToGrid w:val="0"/>
        </w:rPr>
        <w:tab/>
        <w:t>all expenditure lawfully incurred by the Port Authority in the performance of its functions; and</w:t>
      </w:r>
    </w:p>
    <w:p>
      <w:pPr>
        <w:pStyle w:val="zIndenta"/>
        <w:keepNext/>
        <w:rPr>
          <w:snapToGrid w:val="0"/>
        </w:rPr>
      </w:pPr>
      <w:r>
        <w:rPr>
          <w:snapToGrid w:val="0"/>
        </w:rPr>
        <w:tab/>
        <w:t>(e)</w:t>
      </w:r>
      <w:r>
        <w:rPr>
          <w:snapToGrid w:val="0"/>
        </w:rPr>
        <w:tab/>
        <w:t>repayment of, and interest on, moneys borrowed by the Port Authority under this Act.</w:t>
      </w:r>
    </w:p>
    <w:p>
      <w:pPr>
        <w:pStyle w:val="MiscClose"/>
        <w:rPr>
          <w:snapToGrid w:val="0"/>
        </w:rPr>
      </w:pPr>
      <w:r>
        <w:rPr>
          <w:snapToGrid w:val="0"/>
        </w:rPr>
        <w:t>”.</w:t>
      </w:r>
    </w:p>
    <w:p>
      <w:pPr>
        <w:pStyle w:val="Subsection"/>
        <w:rPr>
          <w:snapToGrid w:val="0"/>
        </w:rPr>
      </w:pPr>
      <w:r>
        <w:rPr>
          <w:snapToGrid w:val="0"/>
        </w:rPr>
        <w:tab/>
        <w:t>(2)</w:t>
      </w:r>
      <w:r>
        <w:rPr>
          <w:snapToGrid w:val="0"/>
        </w:rPr>
        <w:tab/>
        <w:t>The sections repealed are — </w:t>
      </w:r>
    </w:p>
    <w:p>
      <w:pPr>
        <w:pStyle w:val="Indenta"/>
        <w:rPr>
          <w:snapToGrid w:val="0"/>
        </w:rPr>
      </w:pPr>
      <w:r>
        <w:rPr>
          <w:snapToGrid w:val="0"/>
        </w:rPr>
        <w:tab/>
        <w:t>(a)</w:t>
      </w:r>
      <w:r>
        <w:rPr>
          <w:snapToGrid w:val="0"/>
        </w:rPr>
        <w:tab/>
      </w:r>
      <w:r>
        <w:rPr>
          <w:i/>
          <w:snapToGrid w:val="0"/>
        </w:rPr>
        <w:t>Albany Port Authority Act 1926</w:t>
      </w:r>
      <w:r>
        <w:rPr>
          <w:snapToGrid w:val="0"/>
        </w:rPr>
        <w:t>, section 54;</w:t>
      </w:r>
    </w:p>
    <w:p>
      <w:pPr>
        <w:pStyle w:val="Indenta"/>
        <w:rPr>
          <w:snapToGrid w:val="0"/>
        </w:rPr>
      </w:pPr>
      <w:r>
        <w:rPr>
          <w:snapToGrid w:val="0"/>
        </w:rPr>
        <w:tab/>
        <w:t>(b)</w:t>
      </w:r>
      <w:r>
        <w:rPr>
          <w:snapToGrid w:val="0"/>
        </w:rPr>
        <w:tab/>
      </w:r>
      <w:r>
        <w:rPr>
          <w:i/>
          <w:snapToGrid w:val="0"/>
        </w:rPr>
        <w:t>Bunbury Port Authority Act 1909</w:t>
      </w:r>
      <w:r>
        <w:rPr>
          <w:snapToGrid w:val="0"/>
        </w:rPr>
        <w:t>, section 54;</w:t>
      </w:r>
    </w:p>
    <w:p>
      <w:pPr>
        <w:pStyle w:val="Indenta"/>
        <w:rPr>
          <w:snapToGrid w:val="0"/>
        </w:rPr>
      </w:pPr>
      <w:r>
        <w:rPr>
          <w:snapToGrid w:val="0"/>
        </w:rPr>
        <w:tab/>
        <w:t>(c)</w:t>
      </w:r>
      <w:r>
        <w:rPr>
          <w:snapToGrid w:val="0"/>
        </w:rPr>
        <w:tab/>
      </w:r>
      <w:r>
        <w:rPr>
          <w:i/>
          <w:snapToGrid w:val="0"/>
        </w:rPr>
        <w:t>Dampier Port Authority Act 1985</w:t>
      </w:r>
      <w:r>
        <w:rPr>
          <w:snapToGrid w:val="0"/>
        </w:rPr>
        <w:t>, section 61;</w:t>
      </w:r>
    </w:p>
    <w:p>
      <w:pPr>
        <w:pStyle w:val="Indenta"/>
        <w:rPr>
          <w:snapToGrid w:val="0"/>
        </w:rPr>
      </w:pPr>
      <w:r>
        <w:rPr>
          <w:snapToGrid w:val="0"/>
        </w:rPr>
        <w:tab/>
        <w:t>(d)</w:t>
      </w:r>
      <w:r>
        <w:rPr>
          <w:snapToGrid w:val="0"/>
        </w:rPr>
        <w:tab/>
      </w:r>
      <w:r>
        <w:rPr>
          <w:i/>
          <w:snapToGrid w:val="0"/>
        </w:rPr>
        <w:t>Esperance Port Authority Act 1968</w:t>
      </w:r>
      <w:r>
        <w:rPr>
          <w:snapToGrid w:val="0"/>
        </w:rPr>
        <w:t>, section 52;</w:t>
      </w:r>
    </w:p>
    <w:p>
      <w:pPr>
        <w:pStyle w:val="Indenta"/>
        <w:rPr>
          <w:snapToGrid w:val="0"/>
        </w:rPr>
      </w:pPr>
      <w:r>
        <w:rPr>
          <w:snapToGrid w:val="0"/>
        </w:rPr>
        <w:tab/>
        <w:t>(e)</w:t>
      </w:r>
      <w:r>
        <w:rPr>
          <w:snapToGrid w:val="0"/>
        </w:rPr>
        <w:tab/>
      </w:r>
      <w:r>
        <w:rPr>
          <w:i/>
          <w:snapToGrid w:val="0"/>
        </w:rPr>
        <w:t>Fremantle Port Authority Act 1902</w:t>
      </w:r>
      <w:r>
        <w:rPr>
          <w:snapToGrid w:val="0"/>
        </w:rPr>
        <w:t>, section 58;</w:t>
      </w:r>
    </w:p>
    <w:p>
      <w:pPr>
        <w:pStyle w:val="Indenta"/>
        <w:rPr>
          <w:snapToGrid w:val="0"/>
        </w:rPr>
      </w:pPr>
      <w:r>
        <w:rPr>
          <w:snapToGrid w:val="0"/>
        </w:rPr>
        <w:tab/>
        <w:t>(f)</w:t>
      </w:r>
      <w:r>
        <w:rPr>
          <w:snapToGrid w:val="0"/>
        </w:rPr>
        <w:tab/>
      </w:r>
      <w:r>
        <w:rPr>
          <w:i/>
          <w:snapToGrid w:val="0"/>
        </w:rPr>
        <w:t>Geraldton Port Authority Act 1968</w:t>
      </w:r>
      <w:r>
        <w:rPr>
          <w:snapToGrid w:val="0"/>
        </w:rPr>
        <w:t>, section 52; and</w:t>
      </w:r>
    </w:p>
    <w:p>
      <w:pPr>
        <w:pStyle w:val="Indenta"/>
        <w:rPr>
          <w:snapToGrid w:val="0"/>
        </w:rPr>
      </w:pPr>
      <w:r>
        <w:rPr>
          <w:snapToGrid w:val="0"/>
        </w:rPr>
        <w:tab/>
        <w:t>(g)</w:t>
      </w:r>
      <w:r>
        <w:rPr>
          <w:snapToGrid w:val="0"/>
        </w:rPr>
        <w:tab/>
      </w:r>
      <w:r>
        <w:rPr>
          <w:i/>
          <w:snapToGrid w:val="0"/>
        </w:rPr>
        <w:t>Port Hedland Port Authority Act 1970</w:t>
      </w:r>
      <w:r>
        <w:rPr>
          <w:snapToGrid w:val="0"/>
        </w:rPr>
        <w:t>, section 51.</w:t>
      </w:r>
    </w:p>
    <w:p>
      <w:pPr>
        <w:pStyle w:val="Subsection"/>
        <w:rPr>
          <w:snapToGrid w:val="0"/>
        </w:rPr>
      </w:pPr>
      <w:r>
        <w:rPr>
          <w:snapToGrid w:val="0"/>
        </w:rPr>
        <w:tab/>
        <w:t>(3)</w:t>
      </w:r>
      <w:r>
        <w:rPr>
          <w:snapToGrid w:val="0"/>
        </w:rPr>
        <w:tab/>
        <w:t>The section substituted by subsection (1) is to have the section designation of the relevant section repealed by subsection (2).</w:t>
      </w:r>
    </w:p>
    <w:p>
      <w:pPr>
        <w:pStyle w:val="Subsection"/>
        <w:rPr>
          <w:snapToGrid w:val="0"/>
        </w:rPr>
      </w:pPr>
      <w:r>
        <w:rPr>
          <w:snapToGrid w:val="0"/>
        </w:rPr>
        <w:tab/>
        <w:t>(4)</w:t>
      </w:r>
      <w:r>
        <w:rPr>
          <w:snapToGrid w:val="0"/>
        </w:rPr>
        <w:tab/>
        <w:t>In subsection (2) of the section substituted by subsection (1) the name of the port authority concerned is to be inserted at the place indicated.</w:t>
      </w:r>
    </w:p>
    <w:p>
      <w:pPr>
        <w:pStyle w:val="Subsection"/>
        <w:rPr>
          <w:snapToGrid w:val="0"/>
        </w:rPr>
      </w:pPr>
      <w:r>
        <w:rPr>
          <w:snapToGrid w:val="0"/>
        </w:rPr>
        <w:tab/>
        <w:t>(5)</w:t>
      </w:r>
      <w:r>
        <w:rPr>
          <w:snapToGrid w:val="0"/>
        </w:rPr>
        <w:tab/>
        <w:t xml:space="preserve">Section 58 (3) (a) of the </w:t>
      </w:r>
      <w:r>
        <w:rPr>
          <w:i/>
          <w:snapToGrid w:val="0"/>
        </w:rPr>
        <w:t>Fremantle Port Authority Act 1902</w:t>
      </w:r>
      <w:r>
        <w:rPr>
          <w:snapToGrid w:val="0"/>
        </w:rPr>
        <w:t xml:space="preserve"> as substituted by subsection (1) is to have “members” deleted and “Commissioners” substituted.</w:t>
      </w:r>
    </w:p>
    <w:p>
      <w:pPr>
        <w:pStyle w:val="Heading2"/>
        <w:rPr>
          <w:i/>
        </w:rPr>
      </w:pPr>
      <w:r>
        <w:rPr>
          <w:rStyle w:val="CharPartNo"/>
        </w:rPr>
        <w:t>Part 3</w:t>
      </w:r>
      <w:r>
        <w:rPr>
          <w:rStyle w:val="CharDivNo"/>
        </w:rPr>
        <w:t> </w:t>
      </w:r>
      <w:r>
        <w:t>—</w:t>
      </w:r>
      <w:r>
        <w:rPr>
          <w:rStyle w:val="CharDivText"/>
        </w:rPr>
        <w:t> </w:t>
      </w:r>
      <w:r>
        <w:rPr>
          <w:rStyle w:val="CharPartText"/>
          <w:i/>
        </w:rPr>
        <w:t>Marine and Harbours Act 1981</w:t>
      </w:r>
    </w:p>
    <w:p>
      <w:pPr>
        <w:pStyle w:val="Heading5"/>
        <w:rPr>
          <w:snapToGrid w:val="0"/>
        </w:rPr>
      </w:pPr>
      <w:bookmarkStart w:id="37" w:name="_Toc459693979"/>
      <w:r>
        <w:rPr>
          <w:rStyle w:val="CharSectno"/>
        </w:rPr>
        <w:t>38</w:t>
      </w:r>
      <w:r>
        <w:rPr>
          <w:snapToGrid w:val="0"/>
        </w:rPr>
        <w:t>.</w:t>
      </w:r>
      <w:r>
        <w:rPr>
          <w:snapToGrid w:val="0"/>
        </w:rPr>
        <w:tab/>
        <w:t>Principal Act</w:t>
      </w:r>
      <w:bookmarkEnd w:id="37"/>
      <w:r>
        <w:rPr>
          <w:snapToGrid w:val="0"/>
        </w:rPr>
        <w:t xml:space="preserve"> </w:t>
      </w:r>
    </w:p>
    <w:p>
      <w:pPr>
        <w:pStyle w:val="Subsection"/>
        <w:rPr>
          <w:snapToGrid w:val="0"/>
        </w:rPr>
      </w:pPr>
      <w:r>
        <w:rPr>
          <w:snapToGrid w:val="0"/>
        </w:rPr>
        <w:tab/>
      </w:r>
      <w:r>
        <w:rPr>
          <w:snapToGrid w:val="0"/>
        </w:rPr>
        <w:tab/>
        <w:t xml:space="preserve">In this Part the </w:t>
      </w:r>
      <w:r>
        <w:rPr>
          <w:i/>
          <w:snapToGrid w:val="0"/>
        </w:rPr>
        <w:t>Marine and Harbours Act 1981</w:t>
      </w:r>
      <w:r>
        <w:rPr>
          <w:snapToGrid w:val="0"/>
        </w:rPr>
        <w:t>* is referred to as the principal Act.</w:t>
      </w:r>
    </w:p>
    <w:p>
      <w:pPr>
        <w:pStyle w:val="Footnotesection"/>
      </w:pPr>
      <w:r>
        <w:tab/>
        <w:t>[*Act No. 21 of 1981.</w:t>
      </w:r>
    </w:p>
    <w:p>
      <w:pPr>
        <w:pStyle w:val="Footnotesection"/>
      </w:pPr>
      <w:r>
        <w:tab/>
        <w:t xml:space="preserve">For subsequent amendments see 1992 Index to Legislation of Western Australia, Table 1, p. 127 and Act No. 6 of 1993.] </w:t>
      </w:r>
    </w:p>
    <w:p>
      <w:pPr>
        <w:pStyle w:val="Heading5"/>
        <w:rPr>
          <w:snapToGrid w:val="0"/>
        </w:rPr>
      </w:pPr>
      <w:bookmarkStart w:id="38" w:name="_Toc459693980"/>
      <w:r>
        <w:rPr>
          <w:rStyle w:val="CharSectno"/>
        </w:rPr>
        <w:t>39</w:t>
      </w:r>
      <w:r>
        <w:rPr>
          <w:snapToGrid w:val="0"/>
        </w:rPr>
        <w:t>.</w:t>
      </w:r>
      <w:r>
        <w:rPr>
          <w:snapToGrid w:val="0"/>
        </w:rPr>
        <w:tab/>
        <w:t>Section 5A inserted</w:t>
      </w:r>
      <w:bookmarkEnd w:id="38"/>
      <w:r>
        <w:rPr>
          <w:snapToGrid w:val="0"/>
        </w:rPr>
        <w:t xml:space="preserve"> </w:t>
      </w:r>
    </w:p>
    <w:p>
      <w:pPr>
        <w:pStyle w:val="Subsection"/>
        <w:rPr>
          <w:snapToGrid w:val="0"/>
        </w:rPr>
      </w:pPr>
      <w:r>
        <w:rPr>
          <w:snapToGrid w:val="0"/>
        </w:rPr>
        <w:tab/>
      </w:r>
      <w:r>
        <w:rPr>
          <w:snapToGrid w:val="0"/>
        </w:rPr>
        <w:tab/>
        <w:t>After section 5 of the principal Act the following section is inserted — </w:t>
      </w:r>
    </w:p>
    <w:p>
      <w:pPr>
        <w:pStyle w:val="MiscOpen"/>
        <w:rPr>
          <w:snapToGrid w:val="0"/>
        </w:rPr>
      </w:pPr>
      <w:r>
        <w:rPr>
          <w:snapToGrid w:val="0"/>
        </w:rPr>
        <w:t>“</w:t>
      </w:r>
    </w:p>
    <w:p>
      <w:pPr>
        <w:pStyle w:val="zHeading5"/>
        <w:rPr>
          <w:snapToGrid w:val="0"/>
        </w:rPr>
      </w:pPr>
      <w:r>
        <w:rPr>
          <w:snapToGrid w:val="0"/>
        </w:rPr>
        <w:t>5A.</w:t>
      </w:r>
      <w:r>
        <w:rPr>
          <w:snapToGrid w:val="0"/>
        </w:rPr>
        <w:tab/>
        <w:t xml:space="preserve">Provision of services at Broome and Wyndham </w:t>
      </w:r>
    </w:p>
    <w:p>
      <w:pPr>
        <w:pStyle w:val="zSubsection"/>
        <w:rPr>
          <w:snapToGrid w:val="0"/>
        </w:rPr>
      </w:pPr>
      <w:r>
        <w:rPr>
          <w:snapToGrid w:val="0"/>
        </w:rPr>
        <w:tab/>
        <w:t>(1)</w:t>
      </w:r>
      <w:r>
        <w:rPr>
          <w:snapToGrid w:val="0"/>
        </w:rPr>
        <w:tab/>
        <w:t>In this section — </w:t>
      </w:r>
    </w:p>
    <w:p>
      <w:pPr>
        <w:pStyle w:val="zDefstart"/>
      </w:pPr>
      <w:r>
        <w:tab/>
      </w:r>
      <w:r>
        <w:rPr>
          <w:b/>
        </w:rPr>
        <w:t>“services”</w:t>
      </w:r>
      <w:r>
        <w:t xml:space="preserve"> means — </w:t>
      </w:r>
    </w:p>
    <w:p>
      <w:pPr>
        <w:pStyle w:val="zDefpara"/>
      </w:pPr>
      <w:r>
        <w:tab/>
        <w:t>(a)</w:t>
      </w:r>
      <w:r>
        <w:tab/>
        <w:t>lighterage, salvage, and towage;</w:t>
      </w:r>
    </w:p>
    <w:p>
      <w:pPr>
        <w:pStyle w:val="zDefpara"/>
      </w:pPr>
      <w:r>
        <w:tab/>
        <w:t>(b)</w:t>
      </w:r>
      <w:r>
        <w:tab/>
        <w:t>cargo handling, storage and transport, chandlery, dredging, engineering, marine civil construction, mechanical, mooring, pollution management, security, shipping movement control, shore stabilization, stevedoring, and waste management services;</w:t>
      </w:r>
    </w:p>
    <w:p>
      <w:pPr>
        <w:pStyle w:val="zDefpara"/>
      </w:pPr>
      <w:r>
        <w:tab/>
        <w:t>(c)</w:t>
      </w:r>
      <w:r>
        <w:tab/>
        <w:t>the use or hire of equipment, helicopters, machinery, plant, vehicles, and vessels;</w:t>
      </w:r>
    </w:p>
    <w:p>
      <w:pPr>
        <w:pStyle w:val="zDefpara"/>
      </w:pPr>
      <w:r>
        <w:tab/>
        <w:t>(d)</w:t>
      </w:r>
      <w:r>
        <w:tab/>
        <w:t>the use or hire of facilities for the movement, storage, or handling of goods;</w:t>
      </w:r>
    </w:p>
    <w:p>
      <w:pPr>
        <w:pStyle w:val="zDefpara"/>
      </w:pPr>
      <w:r>
        <w:tab/>
        <w:t>(e)</w:t>
      </w:r>
      <w:r>
        <w:tab/>
        <w:t>labour for any purpose; and</w:t>
      </w:r>
    </w:p>
    <w:p>
      <w:pPr>
        <w:pStyle w:val="zDefpara"/>
      </w:pPr>
      <w:r>
        <w:tab/>
        <w:t>(f)</w:t>
      </w:r>
      <w:r>
        <w:tab/>
        <w:t>any other service prescribed by regulation.</w:t>
      </w:r>
    </w:p>
    <w:p>
      <w:pPr>
        <w:pStyle w:val="zSubsection"/>
        <w:rPr>
          <w:snapToGrid w:val="0"/>
        </w:rPr>
      </w:pPr>
      <w:r>
        <w:rPr>
          <w:snapToGrid w:val="0"/>
        </w:rPr>
        <w:tab/>
        <w:t>(2)</w:t>
      </w:r>
      <w:r>
        <w:rPr>
          <w:snapToGrid w:val="0"/>
        </w:rPr>
        <w:tab/>
        <w:t>The Department may provide such services as it considers are necessary for or in connection with the effective operation of the ports of Broome and Wyndham as ports.</w:t>
      </w:r>
    </w:p>
    <w:p>
      <w:pPr>
        <w:pStyle w:val="zSubsection"/>
        <w:rPr>
          <w:snapToGrid w:val="0"/>
        </w:rPr>
      </w:pPr>
      <w:r>
        <w:rPr>
          <w:snapToGrid w:val="0"/>
        </w:rPr>
        <w:tab/>
        <w:t>(3)</w:t>
      </w:r>
      <w:r>
        <w:rPr>
          <w:snapToGrid w:val="0"/>
        </w:rPr>
        <w:tab/>
        <w:t>Charges for services are to be determined by the Department in accordance with prudent commercial principles.</w:t>
      </w:r>
    </w:p>
    <w:p>
      <w:pPr>
        <w:pStyle w:val="zSubsection"/>
        <w:rPr>
          <w:snapToGrid w:val="0"/>
        </w:rPr>
      </w:pPr>
      <w:r>
        <w:rPr>
          <w:snapToGrid w:val="0"/>
        </w:rPr>
        <w:tab/>
        <w:t>(4)</w:t>
      </w:r>
      <w:r>
        <w:rPr>
          <w:snapToGrid w:val="0"/>
        </w:rPr>
        <w:tab/>
        <w:t>The functions conferred by this section on the Department are in addition to the functions conferred on it by section 5.</w:t>
      </w:r>
    </w:p>
    <w:p>
      <w:pPr>
        <w:pStyle w:val="zSubsection"/>
        <w:rPr>
          <w:snapToGrid w:val="0"/>
        </w:rPr>
      </w:pPr>
      <w:r>
        <w:rPr>
          <w:snapToGrid w:val="0"/>
        </w:rPr>
        <w:tab/>
        <w:t>(5)</w:t>
      </w:r>
      <w:r>
        <w:rPr>
          <w:snapToGrid w:val="0"/>
        </w:rPr>
        <w:tab/>
        <w:t>For the purpose of enabling the Department to perform its functions under this section, the Minister may enter into an agreement with any person.</w:t>
      </w:r>
    </w:p>
    <w:p>
      <w:pPr>
        <w:pStyle w:val="MiscClose"/>
        <w:rPr>
          <w:snapToGrid w:val="0"/>
        </w:rPr>
      </w:pPr>
      <w:r>
        <w:rPr>
          <w:snapToGrid w:val="0"/>
        </w:rPr>
        <w:t>”.</w:t>
      </w:r>
    </w:p>
    <w:p>
      <w:pPr>
        <w:pStyle w:val="Heading5"/>
        <w:rPr>
          <w:snapToGrid w:val="0"/>
        </w:rPr>
      </w:pPr>
      <w:bookmarkStart w:id="39" w:name="_Toc459693981"/>
      <w:r>
        <w:rPr>
          <w:rStyle w:val="CharSectno"/>
        </w:rPr>
        <w:t>40</w:t>
      </w:r>
      <w:r>
        <w:rPr>
          <w:snapToGrid w:val="0"/>
        </w:rPr>
        <w:t>.</w:t>
      </w:r>
      <w:r>
        <w:rPr>
          <w:snapToGrid w:val="0"/>
        </w:rPr>
        <w:tab/>
        <w:t>Section 14A inserted</w:t>
      </w:r>
      <w:bookmarkEnd w:id="39"/>
      <w:r>
        <w:rPr>
          <w:snapToGrid w:val="0"/>
        </w:rPr>
        <w:t xml:space="preserve"> </w:t>
      </w:r>
    </w:p>
    <w:p>
      <w:pPr>
        <w:pStyle w:val="Subsection"/>
        <w:rPr>
          <w:snapToGrid w:val="0"/>
        </w:rPr>
      </w:pPr>
      <w:r>
        <w:rPr>
          <w:snapToGrid w:val="0"/>
        </w:rPr>
        <w:tab/>
      </w:r>
      <w:r>
        <w:rPr>
          <w:snapToGrid w:val="0"/>
        </w:rPr>
        <w:tab/>
        <w:t>After section 14 of the principal Act the following section is inserted — </w:t>
      </w:r>
    </w:p>
    <w:p>
      <w:pPr>
        <w:pStyle w:val="MiscOpen"/>
        <w:rPr>
          <w:snapToGrid w:val="0"/>
        </w:rPr>
      </w:pPr>
      <w:r>
        <w:rPr>
          <w:snapToGrid w:val="0"/>
        </w:rPr>
        <w:t>“</w:t>
      </w:r>
    </w:p>
    <w:p>
      <w:pPr>
        <w:pStyle w:val="zHeading5"/>
        <w:rPr>
          <w:snapToGrid w:val="0"/>
        </w:rPr>
      </w:pPr>
      <w:r>
        <w:rPr>
          <w:snapToGrid w:val="0"/>
        </w:rPr>
        <w:t>14A.</w:t>
      </w:r>
      <w:r>
        <w:rPr>
          <w:snapToGrid w:val="0"/>
        </w:rPr>
        <w:tab/>
        <w:t xml:space="preserve">Interest on overdue amounts </w:t>
      </w:r>
    </w:p>
    <w:p>
      <w:pPr>
        <w:pStyle w:val="zSubsection"/>
        <w:rPr>
          <w:snapToGrid w:val="0"/>
        </w:rPr>
      </w:pPr>
      <w:r>
        <w:rPr>
          <w:snapToGrid w:val="0"/>
        </w:rPr>
        <w:tab/>
        <w:t>(1)</w:t>
      </w:r>
      <w:r>
        <w:rPr>
          <w:snapToGrid w:val="0"/>
        </w:rPr>
        <w:tab/>
        <w:t>If any dues or charges payable to the Department for the use of facilities, or for services provided by the Department, at the ports of Broome and Wyndham are not paid in full by the time when they are payable, or such time after then as the Department may allow, interest on the amount outstanding at the rate prescribed by regulations is to be paid to the Department.</w:t>
      </w:r>
    </w:p>
    <w:p>
      <w:pPr>
        <w:pStyle w:val="zSubsection"/>
        <w:rPr>
          <w:snapToGrid w:val="0"/>
        </w:rPr>
      </w:pPr>
      <w:r>
        <w:rPr>
          <w:snapToGrid w:val="0"/>
        </w:rPr>
        <w:tab/>
        <w:t>(2)</w:t>
      </w:r>
      <w:r>
        <w:rPr>
          <w:snapToGrid w:val="0"/>
        </w:rPr>
        <w:tab/>
        <w:t>Interest under subsection (1) may be recovered by the Department in the same way as moneys, dues or charges payable to it may be recovered.</w:t>
      </w:r>
    </w:p>
    <w:p>
      <w:pPr>
        <w:pStyle w:val="MiscClose"/>
        <w:rPr>
          <w:snapToGrid w:val="0"/>
        </w:rPr>
      </w:pPr>
      <w:r>
        <w:rPr>
          <w:snapToGrid w:val="0"/>
        </w:rPr>
        <w:t>”.</w:t>
      </w:r>
    </w:p>
    <w:p>
      <w:pPr>
        <w:pStyle w:val="Heading2"/>
        <w:rPr>
          <w:i/>
        </w:rPr>
      </w:pPr>
      <w:r>
        <w:rPr>
          <w:rStyle w:val="CharPartNo"/>
        </w:rPr>
        <w:t>Part 4</w:t>
      </w:r>
      <w:r>
        <w:rPr>
          <w:rStyle w:val="CharDivNo"/>
        </w:rPr>
        <w:t> </w:t>
      </w:r>
      <w:r>
        <w:t>—</w:t>
      </w:r>
      <w:r>
        <w:rPr>
          <w:rStyle w:val="CharDivText"/>
        </w:rPr>
        <w:t> </w:t>
      </w:r>
      <w:r>
        <w:rPr>
          <w:rStyle w:val="CharPartText"/>
          <w:i/>
        </w:rPr>
        <w:t>Shipping and Pilotage Act 1967</w:t>
      </w:r>
    </w:p>
    <w:p>
      <w:pPr>
        <w:pStyle w:val="Heading5"/>
        <w:rPr>
          <w:snapToGrid w:val="0"/>
        </w:rPr>
      </w:pPr>
      <w:bookmarkStart w:id="40" w:name="_Toc459693982"/>
      <w:r>
        <w:rPr>
          <w:rStyle w:val="CharSectno"/>
        </w:rPr>
        <w:t>41</w:t>
      </w:r>
      <w:r>
        <w:rPr>
          <w:snapToGrid w:val="0"/>
        </w:rPr>
        <w:t>.</w:t>
      </w:r>
      <w:r>
        <w:rPr>
          <w:snapToGrid w:val="0"/>
        </w:rPr>
        <w:tab/>
        <w:t>Principal Act</w:t>
      </w:r>
      <w:bookmarkEnd w:id="40"/>
      <w:r>
        <w:rPr>
          <w:snapToGrid w:val="0"/>
        </w:rPr>
        <w:t xml:space="preserve"> </w:t>
      </w:r>
    </w:p>
    <w:p>
      <w:pPr>
        <w:pStyle w:val="Subsection"/>
        <w:rPr>
          <w:snapToGrid w:val="0"/>
        </w:rPr>
      </w:pPr>
      <w:r>
        <w:rPr>
          <w:snapToGrid w:val="0"/>
        </w:rPr>
        <w:tab/>
      </w:r>
      <w:r>
        <w:rPr>
          <w:snapToGrid w:val="0"/>
        </w:rPr>
        <w:tab/>
        <w:t xml:space="preserve">In this Part the </w:t>
      </w:r>
      <w:r>
        <w:rPr>
          <w:i/>
          <w:snapToGrid w:val="0"/>
        </w:rPr>
        <w:t>Shipping and Pilotage Act 1967</w:t>
      </w:r>
      <w:r>
        <w:rPr>
          <w:snapToGrid w:val="0"/>
        </w:rPr>
        <w:t>* is referred to as the principal Act.</w:t>
      </w:r>
    </w:p>
    <w:p>
      <w:pPr>
        <w:pStyle w:val="Footnotesection"/>
      </w:pPr>
      <w:r>
        <w:tab/>
        <w:t>[*Reprinted as approved 9 November 1984.</w:t>
      </w:r>
      <w:r>
        <w:br/>
        <w:t xml:space="preserve">For subsequent amendments see 1992 Index to Legislation of Western Australia, Table 1, p. 193 and Act No. 6 of 1993.] </w:t>
      </w:r>
    </w:p>
    <w:p>
      <w:pPr>
        <w:pStyle w:val="Heading5"/>
        <w:rPr>
          <w:snapToGrid w:val="0"/>
        </w:rPr>
      </w:pPr>
      <w:bookmarkStart w:id="41" w:name="_Toc459693983"/>
      <w:r>
        <w:rPr>
          <w:rStyle w:val="CharSectno"/>
        </w:rPr>
        <w:t>42</w:t>
      </w:r>
      <w:r>
        <w:rPr>
          <w:snapToGrid w:val="0"/>
        </w:rPr>
        <w:t>.</w:t>
      </w:r>
      <w:r>
        <w:rPr>
          <w:snapToGrid w:val="0"/>
        </w:rPr>
        <w:tab/>
        <w:t>Section 3 amended</w:t>
      </w:r>
      <w:bookmarkEnd w:id="41"/>
      <w:r>
        <w:rPr>
          <w:snapToGrid w:val="0"/>
        </w:rPr>
        <w:t xml:space="preserve"> </w:t>
      </w:r>
    </w:p>
    <w:p>
      <w:pPr>
        <w:pStyle w:val="Subsection"/>
        <w:rPr>
          <w:snapToGrid w:val="0"/>
        </w:rPr>
      </w:pPr>
      <w:r>
        <w:rPr>
          <w:snapToGrid w:val="0"/>
        </w:rPr>
        <w:tab/>
      </w:r>
      <w:r>
        <w:rPr>
          <w:snapToGrid w:val="0"/>
        </w:rPr>
        <w:tab/>
        <w:t>Section 3 of the principal Act is amended — </w:t>
      </w:r>
    </w:p>
    <w:p>
      <w:pPr>
        <w:pStyle w:val="Indenta"/>
        <w:rPr>
          <w:snapToGrid w:val="0"/>
        </w:rPr>
      </w:pPr>
      <w:r>
        <w:rPr>
          <w:snapToGrid w:val="0"/>
        </w:rPr>
        <w:tab/>
        <w:t>(a)</w:t>
      </w:r>
      <w:r>
        <w:rPr>
          <w:snapToGrid w:val="0"/>
        </w:rPr>
        <w:tab/>
        <w:t>by deleting the fullstop after the definition of “port” and substituting a semicolon; and</w:t>
      </w:r>
    </w:p>
    <w:p>
      <w:pPr>
        <w:pStyle w:val="Indenta"/>
        <w:rPr>
          <w:snapToGrid w:val="0"/>
        </w:rPr>
      </w:pPr>
      <w:r>
        <w:rPr>
          <w:snapToGrid w:val="0"/>
        </w:rPr>
        <w:tab/>
        <w:t>(b)</w:t>
      </w:r>
      <w:r>
        <w:rPr>
          <w:snapToGrid w:val="0"/>
        </w:rPr>
        <w:tab/>
        <w:t>by inserting after the definition of “port” the following definition — </w:t>
      </w:r>
    </w:p>
    <w:p>
      <w:pPr>
        <w:pStyle w:val="MiscOpen"/>
        <w:rPr>
          <w:snapToGrid w:val="0"/>
        </w:rPr>
      </w:pPr>
      <w:r>
        <w:rPr>
          <w:snapToGrid w:val="0"/>
        </w:rPr>
        <w:t>“</w:t>
      </w:r>
    </w:p>
    <w:p>
      <w:pPr>
        <w:pStyle w:val="zDefstart"/>
        <w:ind w:left="1327" w:hanging="1327"/>
      </w:pPr>
      <w:r>
        <w:rPr>
          <w:b/>
        </w:rPr>
        <w:tab/>
        <w:t>“port authority port”</w:t>
      </w:r>
      <w:r>
        <w:t xml:space="preserve"> means a port described in the — </w:t>
      </w:r>
    </w:p>
    <w:p>
      <w:pPr>
        <w:pStyle w:val="zDefpara"/>
      </w:pPr>
      <w:r>
        <w:tab/>
        <w:t>(a)</w:t>
      </w:r>
      <w:r>
        <w:tab/>
      </w:r>
      <w:r>
        <w:rPr>
          <w:i/>
        </w:rPr>
        <w:t>Albany Port Authority Act 1926</w:t>
      </w:r>
      <w:r>
        <w:t>;</w:t>
      </w:r>
    </w:p>
    <w:p>
      <w:pPr>
        <w:pStyle w:val="zDefpara"/>
      </w:pPr>
      <w:r>
        <w:tab/>
        <w:t>(b)</w:t>
      </w:r>
      <w:r>
        <w:tab/>
      </w:r>
      <w:r>
        <w:rPr>
          <w:i/>
        </w:rPr>
        <w:t>Bunbury Port Authority Act 1909</w:t>
      </w:r>
      <w:r>
        <w:t>;</w:t>
      </w:r>
    </w:p>
    <w:p>
      <w:pPr>
        <w:pStyle w:val="zDefpara"/>
      </w:pPr>
      <w:r>
        <w:tab/>
        <w:t>(c)</w:t>
      </w:r>
      <w:r>
        <w:tab/>
      </w:r>
      <w:r>
        <w:rPr>
          <w:i/>
        </w:rPr>
        <w:t>Dampier Port Authority Act 1985</w:t>
      </w:r>
      <w:r>
        <w:t>;</w:t>
      </w:r>
    </w:p>
    <w:p>
      <w:pPr>
        <w:pStyle w:val="zDefpara"/>
      </w:pPr>
      <w:r>
        <w:tab/>
        <w:t>(d)</w:t>
      </w:r>
      <w:r>
        <w:tab/>
      </w:r>
      <w:r>
        <w:rPr>
          <w:i/>
        </w:rPr>
        <w:t>Esperance Port Authority Act 1968</w:t>
      </w:r>
      <w:r>
        <w:t>;</w:t>
      </w:r>
    </w:p>
    <w:p>
      <w:pPr>
        <w:pStyle w:val="zDefpara"/>
      </w:pPr>
      <w:r>
        <w:tab/>
        <w:t>(e)</w:t>
      </w:r>
      <w:r>
        <w:tab/>
      </w:r>
      <w:r>
        <w:rPr>
          <w:i/>
        </w:rPr>
        <w:t>Fremantle Port Authority Act 1902</w:t>
      </w:r>
      <w:r>
        <w:t>;</w:t>
      </w:r>
    </w:p>
    <w:p>
      <w:pPr>
        <w:pStyle w:val="zDefpara"/>
      </w:pPr>
      <w:r>
        <w:tab/>
        <w:t>(f)</w:t>
      </w:r>
      <w:r>
        <w:tab/>
      </w:r>
      <w:r>
        <w:rPr>
          <w:i/>
        </w:rPr>
        <w:t>Geraldton Port Authority Act 1968</w:t>
      </w:r>
      <w:r>
        <w:t>; or</w:t>
      </w:r>
    </w:p>
    <w:p>
      <w:pPr>
        <w:pStyle w:val="zDefpara"/>
      </w:pPr>
      <w:r>
        <w:tab/>
        <w:t>(g)</w:t>
      </w:r>
      <w:r>
        <w:tab/>
      </w:r>
      <w:r>
        <w:rPr>
          <w:i/>
        </w:rPr>
        <w:t>Port Hedland Port Authority Act 1970</w:t>
      </w:r>
      <w:r>
        <w:t>.</w:t>
      </w:r>
    </w:p>
    <w:p>
      <w:pPr>
        <w:pStyle w:val="MiscClose"/>
        <w:rPr>
          <w:snapToGrid w:val="0"/>
        </w:rPr>
      </w:pPr>
      <w:r>
        <w:rPr>
          <w:snapToGrid w:val="0"/>
        </w:rPr>
        <w:t>”.</w:t>
      </w:r>
    </w:p>
    <w:p>
      <w:pPr>
        <w:pStyle w:val="Heading5"/>
        <w:rPr>
          <w:snapToGrid w:val="0"/>
        </w:rPr>
      </w:pPr>
      <w:bookmarkStart w:id="42" w:name="_Toc459693984"/>
      <w:r>
        <w:rPr>
          <w:rStyle w:val="CharSectno"/>
        </w:rPr>
        <w:t>43</w:t>
      </w:r>
      <w:r>
        <w:rPr>
          <w:snapToGrid w:val="0"/>
        </w:rPr>
        <w:t>.</w:t>
      </w:r>
      <w:r>
        <w:rPr>
          <w:snapToGrid w:val="0"/>
        </w:rPr>
        <w:tab/>
        <w:t>Section 8 amended</w:t>
      </w:r>
      <w:bookmarkEnd w:id="42"/>
      <w:r>
        <w:rPr>
          <w:snapToGrid w:val="0"/>
        </w:rPr>
        <w:t xml:space="preserve"> </w:t>
      </w:r>
    </w:p>
    <w:p>
      <w:pPr>
        <w:pStyle w:val="Subsection"/>
        <w:ind w:left="890" w:hanging="890"/>
        <w:rPr>
          <w:snapToGrid w:val="0"/>
        </w:rPr>
      </w:pPr>
      <w:r>
        <w:rPr>
          <w:snapToGrid w:val="0"/>
        </w:rPr>
        <w:tab/>
        <w:t>(1)</w:t>
      </w:r>
      <w:r>
        <w:rPr>
          <w:snapToGrid w:val="0"/>
        </w:rPr>
        <w:tab/>
        <w:t>Section 8 (1) of the principal Act is amended by inserting after “port” in the 2 places where it occurs the following — </w:t>
      </w:r>
    </w:p>
    <w:p>
      <w:pPr>
        <w:pStyle w:val="MiscOpen"/>
        <w:rPr>
          <w:snapToGrid w:val="0"/>
        </w:rPr>
      </w:pPr>
      <w:r>
        <w:rPr>
          <w:snapToGrid w:val="0"/>
        </w:rPr>
        <w:t>“</w:t>
      </w:r>
    </w:p>
    <w:p>
      <w:pPr>
        <w:pStyle w:val="MiscellaneousBody"/>
        <w:pBdr>
          <w:left w:val="threeDEngrave" w:sz="24" w:space="4" w:color="auto"/>
          <w:right w:val="threeDEmboss" w:sz="24" w:space="4" w:color="auto"/>
        </w:pBdr>
        <w:shd w:val="pct12" w:color="808080" w:fill="auto"/>
        <w:tabs>
          <w:tab w:val="left" w:pos="1701"/>
        </w:tabs>
        <w:rPr>
          <w:snapToGrid w:val="0"/>
        </w:rPr>
      </w:pPr>
      <w:r>
        <w:rPr>
          <w:snapToGrid w:val="0"/>
        </w:rPr>
        <w:tab/>
        <w:t>or port authority port.</w:t>
      </w:r>
    </w:p>
    <w:p>
      <w:pPr>
        <w:pStyle w:val="MiscClose"/>
        <w:rPr>
          <w:snapToGrid w:val="0"/>
        </w:rPr>
      </w:pPr>
      <w:r>
        <w:rPr>
          <w:snapToGrid w:val="0"/>
        </w:rPr>
        <w:t>”.</w:t>
      </w:r>
    </w:p>
    <w:p>
      <w:pPr>
        <w:pStyle w:val="Subsection"/>
        <w:rPr>
          <w:snapToGrid w:val="0"/>
        </w:rPr>
      </w:pPr>
      <w:r>
        <w:rPr>
          <w:snapToGrid w:val="0"/>
        </w:rPr>
        <w:tab/>
        <w:t>(2)</w:t>
      </w:r>
      <w:r>
        <w:rPr>
          <w:snapToGrid w:val="0"/>
        </w:rPr>
        <w:tab/>
        <w:t>Section 8 of the principal Act is amended by inserting after subsection (2) the following subsection — </w:t>
      </w:r>
    </w:p>
    <w:p>
      <w:pPr>
        <w:pStyle w:val="MiscOpen"/>
        <w:rPr>
          <w:snapToGrid w:val="0"/>
        </w:rPr>
      </w:pPr>
      <w:r>
        <w:rPr>
          <w:snapToGrid w:val="0"/>
        </w:rPr>
        <w:t>“</w:t>
      </w:r>
    </w:p>
    <w:p>
      <w:pPr>
        <w:pStyle w:val="zSubsection"/>
        <w:ind w:left="890" w:hanging="890"/>
        <w:rPr>
          <w:snapToGrid w:val="0"/>
        </w:rPr>
      </w:pPr>
      <w:r>
        <w:rPr>
          <w:snapToGrid w:val="0"/>
        </w:rPr>
        <w:tab/>
        <w:t>(3)</w:t>
      </w:r>
      <w:r>
        <w:rPr>
          <w:snapToGrid w:val="0"/>
        </w:rPr>
        <w:tab/>
        <w:t>Regulations under this Act which relate to matters referred to in this section apply in respect of port authority ports.</w:t>
      </w:r>
    </w:p>
    <w:p>
      <w:pPr>
        <w:pStyle w:val="MiscClose"/>
        <w:rPr>
          <w:snapToGrid w:val="0"/>
        </w:rPr>
      </w:pPr>
      <w:r>
        <w:rPr>
          <w:snapToGrid w:val="0"/>
        </w:rPr>
        <w:t>”.</w:t>
      </w:r>
    </w:p>
    <w:p>
      <w:pPr>
        <w:pStyle w:val="Heading5"/>
        <w:rPr>
          <w:snapToGrid w:val="0"/>
        </w:rPr>
      </w:pPr>
      <w:bookmarkStart w:id="43" w:name="_Toc459693985"/>
      <w:r>
        <w:rPr>
          <w:rStyle w:val="CharSectno"/>
        </w:rPr>
        <w:t>44</w:t>
      </w:r>
      <w:r>
        <w:rPr>
          <w:snapToGrid w:val="0"/>
        </w:rPr>
        <w:t>.</w:t>
      </w:r>
      <w:r>
        <w:rPr>
          <w:snapToGrid w:val="0"/>
        </w:rPr>
        <w:tab/>
        <w:t>Section 10 amended</w:t>
      </w:r>
      <w:bookmarkEnd w:id="43"/>
      <w:r>
        <w:rPr>
          <w:snapToGrid w:val="0"/>
        </w:rPr>
        <w:t xml:space="preserve"> </w:t>
      </w:r>
    </w:p>
    <w:p>
      <w:pPr>
        <w:pStyle w:val="Subsection"/>
        <w:rPr>
          <w:snapToGrid w:val="0"/>
        </w:rPr>
      </w:pPr>
      <w:r>
        <w:rPr>
          <w:snapToGrid w:val="0"/>
        </w:rPr>
        <w:tab/>
      </w:r>
      <w:r>
        <w:rPr>
          <w:snapToGrid w:val="0"/>
        </w:rPr>
        <w:tab/>
        <w:t>Section 10 (3) of the principal Act is amended — </w:t>
      </w:r>
    </w:p>
    <w:p>
      <w:pPr>
        <w:pStyle w:val="Indenta"/>
        <w:rPr>
          <w:snapToGrid w:val="0"/>
        </w:rPr>
      </w:pPr>
      <w:r>
        <w:rPr>
          <w:snapToGrid w:val="0"/>
        </w:rPr>
        <w:tab/>
        <w:t>(a)</w:t>
      </w:r>
      <w:r>
        <w:rPr>
          <w:snapToGrid w:val="0"/>
        </w:rPr>
        <w:tab/>
        <w:t>by deleting paragraph (a); and</w:t>
      </w:r>
    </w:p>
    <w:p>
      <w:pPr>
        <w:pStyle w:val="Indenta"/>
        <w:rPr>
          <w:snapToGrid w:val="0"/>
        </w:rPr>
      </w:pPr>
      <w:r>
        <w:rPr>
          <w:snapToGrid w:val="0"/>
        </w:rPr>
        <w:tab/>
        <w:t>(b)</w:t>
      </w:r>
      <w:r>
        <w:rPr>
          <w:snapToGrid w:val="0"/>
        </w:rPr>
        <w:tab/>
        <w:t>by deleting paragraph (c) and substituting the following paragraph — </w:t>
      </w:r>
    </w:p>
    <w:p>
      <w:pPr>
        <w:pStyle w:val="MiscOpen"/>
        <w:rPr>
          <w:snapToGrid w:val="0"/>
        </w:rPr>
      </w:pPr>
      <w:r>
        <w:rPr>
          <w:snapToGrid w:val="0"/>
        </w:rPr>
        <w:t>“</w:t>
      </w:r>
    </w:p>
    <w:p>
      <w:pPr>
        <w:pStyle w:val="zIndenta"/>
        <w:rPr>
          <w:snapToGrid w:val="0"/>
        </w:rPr>
      </w:pPr>
      <w:r>
        <w:rPr>
          <w:snapToGrid w:val="0"/>
        </w:rPr>
        <w:tab/>
        <w:t>(c)</w:t>
      </w:r>
      <w:r>
        <w:rPr>
          <w:snapToGrid w:val="0"/>
        </w:rPr>
        <w:tab/>
        <w:t>the regulations in force under this Act apply in respect of any port, fishing boat harbour or mooring control area referred to in a proclamation made under paragraph (b), only insofar as they relate to a provision of this Act that is applicable in respect of that port, fishing boat harbour or mooring control area.</w:t>
      </w:r>
    </w:p>
    <w:p>
      <w:pPr>
        <w:pStyle w:val="MiscClose"/>
        <w:rPr>
          <w:snapToGrid w:val="0"/>
        </w:rPr>
      </w:pPr>
      <w:r>
        <w:rPr>
          <w:snapToGrid w:val="0"/>
        </w:rPr>
        <w:t>”.</w:t>
      </w:r>
    </w:p>
    <w:p>
      <w:pPr>
        <w:pStyle w:val="Heading5"/>
        <w:rPr>
          <w:snapToGrid w:val="0"/>
        </w:rPr>
      </w:pPr>
      <w:bookmarkStart w:id="44" w:name="_Toc459693986"/>
      <w:r>
        <w:rPr>
          <w:rStyle w:val="CharSectno"/>
        </w:rPr>
        <w:t>45</w:t>
      </w:r>
      <w:r>
        <w:rPr>
          <w:snapToGrid w:val="0"/>
        </w:rPr>
        <w:t>.</w:t>
      </w:r>
      <w:r>
        <w:rPr>
          <w:snapToGrid w:val="0"/>
        </w:rPr>
        <w:tab/>
        <w:t>Schedule amended</w:t>
      </w:r>
      <w:bookmarkEnd w:id="44"/>
      <w:r>
        <w:rPr>
          <w:snapToGrid w:val="0"/>
        </w:rPr>
        <w:t xml:space="preserve"> </w:t>
      </w:r>
    </w:p>
    <w:p>
      <w:pPr>
        <w:pStyle w:val="Subsection"/>
        <w:rPr>
          <w:snapToGrid w:val="0"/>
        </w:rPr>
      </w:pPr>
      <w:r>
        <w:rPr>
          <w:snapToGrid w:val="0"/>
        </w:rPr>
        <w:tab/>
      </w:r>
      <w:r>
        <w:rPr>
          <w:snapToGrid w:val="0"/>
        </w:rPr>
        <w:tab/>
        <w:t>The Schedule to the principal Act is amended by deleting the following ports:</w:t>
      </w:r>
    </w:p>
    <w:p>
      <w:pPr>
        <w:pStyle w:val="MiscellaneousBody"/>
        <w:ind w:left="1174"/>
        <w:rPr>
          <w:i/>
          <w:snapToGrid w:val="0"/>
        </w:rPr>
      </w:pPr>
      <w:r>
        <w:rPr>
          <w:i/>
          <w:snapToGrid w:val="0"/>
        </w:rPr>
        <w:t>Albany.</w:t>
      </w:r>
    </w:p>
    <w:p>
      <w:pPr>
        <w:pStyle w:val="MiscellaneousBody"/>
        <w:spacing w:before="0"/>
        <w:ind w:left="1174"/>
        <w:rPr>
          <w:i/>
          <w:snapToGrid w:val="0"/>
        </w:rPr>
      </w:pPr>
      <w:r>
        <w:rPr>
          <w:i/>
          <w:snapToGrid w:val="0"/>
        </w:rPr>
        <w:t>Bunbury.</w:t>
      </w:r>
    </w:p>
    <w:p>
      <w:pPr>
        <w:pStyle w:val="MiscellaneousBody"/>
        <w:spacing w:before="0"/>
        <w:ind w:left="1174"/>
        <w:rPr>
          <w:i/>
          <w:snapToGrid w:val="0"/>
        </w:rPr>
      </w:pPr>
      <w:r>
        <w:rPr>
          <w:i/>
          <w:snapToGrid w:val="0"/>
        </w:rPr>
        <w:t>Dampier.</w:t>
      </w:r>
    </w:p>
    <w:p>
      <w:pPr>
        <w:pStyle w:val="MiscellaneousBody"/>
        <w:spacing w:before="0"/>
        <w:ind w:left="1174"/>
        <w:rPr>
          <w:i/>
          <w:snapToGrid w:val="0"/>
        </w:rPr>
      </w:pPr>
      <w:r>
        <w:rPr>
          <w:i/>
          <w:snapToGrid w:val="0"/>
        </w:rPr>
        <w:t>Esperance.</w:t>
      </w:r>
    </w:p>
    <w:p>
      <w:pPr>
        <w:pStyle w:val="MiscellaneousBody"/>
        <w:spacing w:before="0"/>
        <w:ind w:left="1174"/>
        <w:rPr>
          <w:i/>
          <w:snapToGrid w:val="0"/>
        </w:rPr>
      </w:pPr>
      <w:r>
        <w:rPr>
          <w:i/>
          <w:snapToGrid w:val="0"/>
        </w:rPr>
        <w:t>Fremantle.</w:t>
      </w:r>
    </w:p>
    <w:p>
      <w:pPr>
        <w:pStyle w:val="MiscellaneousBody"/>
        <w:spacing w:before="0"/>
        <w:ind w:left="1174"/>
        <w:rPr>
          <w:i/>
          <w:snapToGrid w:val="0"/>
        </w:rPr>
      </w:pPr>
      <w:r>
        <w:rPr>
          <w:i/>
          <w:snapToGrid w:val="0"/>
        </w:rPr>
        <w:t>Geraldton.</w:t>
      </w:r>
    </w:p>
    <w:p>
      <w:pPr>
        <w:pStyle w:val="MiscellaneousBody"/>
        <w:spacing w:before="0"/>
        <w:ind w:left="1174"/>
        <w:rPr>
          <w:i/>
          <w:snapToGrid w:val="0"/>
        </w:rPr>
      </w:pPr>
      <w:r>
        <w:rPr>
          <w:i/>
          <w:snapToGrid w:val="0"/>
        </w:rPr>
        <w:t xml:space="preserve">Port Hedland. </w:t>
      </w:r>
    </w:p>
    <w:p>
      <w:pPr>
        <w:pStyle w:val="Heading2"/>
      </w:pPr>
      <w:r>
        <w:rPr>
          <w:rStyle w:val="CharPartNo"/>
        </w:rPr>
        <w:t>Part 5</w:t>
      </w:r>
      <w:r>
        <w:rPr>
          <w:rStyle w:val="CharDivNo"/>
        </w:rPr>
        <w:t> </w:t>
      </w:r>
      <w:r>
        <w:t>—</w:t>
      </w:r>
      <w:r>
        <w:rPr>
          <w:rStyle w:val="CharDivText"/>
        </w:rPr>
        <w:t> </w:t>
      </w:r>
      <w:r>
        <w:rPr>
          <w:rStyle w:val="CharPartText"/>
        </w:rPr>
        <w:t xml:space="preserve">Miscellaneous </w:t>
      </w:r>
    </w:p>
    <w:p>
      <w:pPr>
        <w:pStyle w:val="Heading5"/>
        <w:rPr>
          <w:snapToGrid w:val="0"/>
        </w:rPr>
      </w:pPr>
      <w:bookmarkStart w:id="45" w:name="_Toc459693987"/>
      <w:r>
        <w:rPr>
          <w:rStyle w:val="CharSectno"/>
        </w:rPr>
        <w:t>46</w:t>
      </w:r>
      <w:r>
        <w:rPr>
          <w:snapToGrid w:val="0"/>
        </w:rPr>
        <w:t>.</w:t>
      </w:r>
      <w:r>
        <w:rPr>
          <w:snapToGrid w:val="0"/>
        </w:rPr>
        <w:tab/>
        <w:t>Consequential and minor amendments</w:t>
      </w:r>
      <w:bookmarkEnd w:id="45"/>
      <w:r>
        <w:rPr>
          <w:snapToGrid w:val="0"/>
        </w:rPr>
        <w:t xml:space="preserve"> </w:t>
      </w:r>
    </w:p>
    <w:p>
      <w:pPr>
        <w:pStyle w:val="Subsection"/>
        <w:rPr>
          <w:snapToGrid w:val="0"/>
        </w:rPr>
      </w:pPr>
      <w:r>
        <w:rPr>
          <w:snapToGrid w:val="0"/>
        </w:rPr>
        <w:tab/>
      </w:r>
      <w:r>
        <w:rPr>
          <w:snapToGrid w:val="0"/>
        </w:rPr>
        <w:tab/>
        <w:t>The Acts referred to in Schedule 1 are amended in the manner set out in that Schedule.</w:t>
      </w:r>
    </w:p>
    <w:p>
      <w:pPr>
        <w:pStyle w:val="Heading5"/>
        <w:rPr>
          <w:snapToGrid w:val="0"/>
        </w:rPr>
      </w:pPr>
      <w:bookmarkStart w:id="46" w:name="_Toc459693988"/>
      <w:r>
        <w:rPr>
          <w:rStyle w:val="CharSectno"/>
        </w:rPr>
        <w:t>47</w:t>
      </w:r>
      <w:r>
        <w:rPr>
          <w:snapToGrid w:val="0"/>
        </w:rPr>
        <w:t>.</w:t>
      </w:r>
      <w:r>
        <w:rPr>
          <w:snapToGrid w:val="0"/>
        </w:rPr>
        <w:tab/>
        <w:t>Validation (Port Hedland)</w:t>
      </w:r>
      <w:bookmarkEnd w:id="46"/>
      <w:r>
        <w:rPr>
          <w:snapToGrid w:val="0"/>
        </w:rPr>
        <w:t xml:space="preserve"> </w:t>
      </w:r>
    </w:p>
    <w:p>
      <w:pPr>
        <w:pStyle w:val="Subsection"/>
        <w:rPr>
          <w:snapToGrid w:val="0"/>
        </w:rPr>
      </w:pPr>
      <w:r>
        <w:rPr>
          <w:snapToGrid w:val="0"/>
        </w:rPr>
        <w:tab/>
      </w:r>
      <w:r>
        <w:rPr>
          <w:snapToGrid w:val="0"/>
        </w:rPr>
        <w:tab/>
        <w:t>For the avoidance of doubt, any business arrangement (as defined in section 13 (4)) entered into by the Port Hedland Port Authority before the coming into operation of section 13 that it would have been empowered to enter into if that section had then been in force is validated.</w:t>
      </w:r>
    </w:p>
    <w:p>
      <w:pPr>
        <w:pStyle w:val="Heading5"/>
        <w:rPr>
          <w:snapToGrid w:val="0"/>
        </w:rPr>
      </w:pPr>
      <w:bookmarkStart w:id="47" w:name="_Toc459693989"/>
      <w:r>
        <w:rPr>
          <w:rStyle w:val="CharSectno"/>
        </w:rPr>
        <w:t>48</w:t>
      </w:r>
      <w:r>
        <w:rPr>
          <w:snapToGrid w:val="0"/>
        </w:rPr>
        <w:t>.</w:t>
      </w:r>
      <w:r>
        <w:rPr>
          <w:snapToGrid w:val="0"/>
        </w:rPr>
        <w:tab/>
        <w:t>Harbour masters (transitional)</w:t>
      </w:r>
      <w:bookmarkEnd w:id="47"/>
      <w:r>
        <w:rPr>
          <w:snapToGrid w:val="0"/>
        </w:rPr>
        <w:t xml:space="preserve"> </w:t>
      </w:r>
    </w:p>
    <w:p>
      <w:pPr>
        <w:pStyle w:val="Subsection"/>
        <w:rPr>
          <w:snapToGrid w:val="0"/>
        </w:rPr>
      </w:pPr>
      <w:r>
        <w:rPr>
          <w:snapToGrid w:val="0"/>
        </w:rPr>
        <w:tab/>
      </w:r>
      <w:r>
        <w:rPr>
          <w:snapToGrid w:val="0"/>
        </w:rPr>
        <w:tab/>
        <w:t>On the commencement of section 22, a person who immediately before then was appointed under a port authority Act (as defined in section 3) to be a harbour master of a port, becomes, by force of this section, appointed under section 22 as the harbour master of that port.</w:t>
      </w:r>
    </w:p>
    <w:p>
      <w:pPr>
        <w:pStyle w:val="Heading5"/>
        <w:rPr>
          <w:snapToGrid w:val="0"/>
        </w:rPr>
      </w:pPr>
      <w:bookmarkStart w:id="48" w:name="_Toc459693990"/>
      <w:r>
        <w:rPr>
          <w:rStyle w:val="CharSectno"/>
        </w:rPr>
        <w:t>49</w:t>
      </w:r>
      <w:r>
        <w:rPr>
          <w:snapToGrid w:val="0"/>
        </w:rPr>
        <w:t>.</w:t>
      </w:r>
      <w:r>
        <w:rPr>
          <w:snapToGrid w:val="0"/>
        </w:rPr>
        <w:tab/>
        <w:t>Dampier pilotage services agreements (transitional)</w:t>
      </w:r>
      <w:bookmarkEnd w:id="48"/>
      <w:r>
        <w:rPr>
          <w:snapToGrid w:val="0"/>
        </w:rPr>
        <w:t xml:space="preserve"> </w:t>
      </w:r>
    </w:p>
    <w:p>
      <w:pPr>
        <w:pStyle w:val="Subsection"/>
        <w:rPr>
          <w:snapToGrid w:val="0"/>
        </w:rPr>
      </w:pPr>
      <w:r>
        <w:rPr>
          <w:snapToGrid w:val="0"/>
        </w:rPr>
        <w:tab/>
      </w:r>
      <w:r>
        <w:rPr>
          <w:snapToGrid w:val="0"/>
        </w:rPr>
        <w:tab/>
        <w:t xml:space="preserve">On the commencement of Part 2, an agreement for the provision of pilotage services entered into under section 41 (3) of the </w:t>
      </w:r>
      <w:r>
        <w:rPr>
          <w:i/>
          <w:snapToGrid w:val="0"/>
        </w:rPr>
        <w:t>Dampier Port Authority Act 1985</w:t>
      </w:r>
      <w:r>
        <w:rPr>
          <w:snapToGrid w:val="0"/>
        </w:rPr>
        <w:t xml:space="preserve"> and in force immediately before then is, by force of this section, to be taken as being made under section 13 in respect of pilotage services.</w:t>
      </w:r>
    </w:p>
    <w:p>
      <w:pPr>
        <w:pStyle w:val="Heading5"/>
        <w:rPr>
          <w:snapToGrid w:val="0"/>
        </w:rPr>
      </w:pPr>
      <w:bookmarkStart w:id="49" w:name="_Toc459693991"/>
      <w:r>
        <w:rPr>
          <w:rStyle w:val="CharSectno"/>
        </w:rPr>
        <w:t>50</w:t>
      </w:r>
      <w:r>
        <w:rPr>
          <w:snapToGrid w:val="0"/>
        </w:rPr>
        <w:t>.</w:t>
      </w:r>
      <w:r>
        <w:rPr>
          <w:snapToGrid w:val="0"/>
        </w:rPr>
        <w:tab/>
        <w:t>Existing port authority regulations (saving)</w:t>
      </w:r>
      <w:bookmarkEnd w:id="49"/>
      <w:r>
        <w:rPr>
          <w:snapToGrid w:val="0"/>
        </w:rPr>
        <w:t xml:space="preserve"> </w:t>
      </w:r>
    </w:p>
    <w:p>
      <w:pPr>
        <w:pStyle w:val="Subsection"/>
        <w:rPr>
          <w:snapToGrid w:val="0"/>
        </w:rPr>
      </w:pPr>
      <w:r>
        <w:rPr>
          <w:snapToGrid w:val="0"/>
        </w:rPr>
        <w:tab/>
      </w:r>
      <w:r>
        <w:rPr>
          <w:snapToGrid w:val="0"/>
        </w:rPr>
        <w:tab/>
        <w:t>Where this Act repeals a provision of a port authority Act (as defined in section 3) and enacts a provision in substitution therefor, regulations made under or in respect of the repealed provision and in operation immediately before the commencement of this Act shall, so far as they are consistent with this Act, continue in operation and have effect for all purposes as if made under the port authority Act as read with this Act.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r>
        <w:t>Schedule </w:t>
      </w:r>
      <w:r>
        <w:rPr>
          <w:rStyle w:val="CharSchNo"/>
        </w:rPr>
        <w:t>1</w:t>
      </w:r>
      <w:r>
        <w:t xml:space="preserve"> </w:t>
      </w:r>
    </w:p>
    <w:p>
      <w:pPr>
        <w:pStyle w:val="yShoulderClause"/>
        <w:rPr>
          <w:snapToGrid w:val="0"/>
        </w:rPr>
      </w:pPr>
      <w:r>
        <w:rPr>
          <w:snapToGrid w:val="0"/>
        </w:rPr>
        <w:t>[s. 46]</w:t>
      </w:r>
    </w:p>
    <w:p>
      <w:pPr>
        <w:pStyle w:val="MiscellaneousHeading"/>
        <w:spacing w:after="160"/>
        <w:outlineLvl w:val="0"/>
        <w:rPr>
          <w:b/>
          <w:snapToGrid w:val="0"/>
        </w:rPr>
      </w:pPr>
      <w:r>
        <w:rPr>
          <w:b/>
          <w:snapToGrid w:val="0"/>
        </w:rPr>
        <w:t>CONSEQUENTIAL AND MINOR AMENDMENTS</w:t>
      </w:r>
    </w:p>
    <w:p>
      <w:pPr>
        <w:pStyle w:val="yHeading2"/>
        <w:spacing w:after="160"/>
        <w:outlineLvl w:val="9"/>
      </w:pPr>
      <w:r>
        <w:t>PART 1 — </w:t>
      </w:r>
      <w:r>
        <w:rPr>
          <w:i/>
        </w:rPr>
        <w:t>ALBANY PORT AUTHORITY ACT 1926</w:t>
      </w:r>
      <w:r>
        <w:t>*</w:t>
      </w:r>
    </w:p>
    <w:tbl>
      <w:tblPr>
        <w:tblW w:w="0" w:type="auto"/>
        <w:tblInd w:w="8" w:type="dxa"/>
        <w:tblLayout w:type="fixed"/>
        <w:tblCellMar>
          <w:left w:w="0" w:type="dxa"/>
          <w:right w:w="0" w:type="dxa"/>
        </w:tblCellMar>
        <w:tblLook w:val="0000" w:firstRow="0" w:lastRow="0" w:firstColumn="0" w:lastColumn="0" w:noHBand="0" w:noVBand="0"/>
      </w:tblPr>
      <w:tblGrid>
        <w:gridCol w:w="1246"/>
        <w:gridCol w:w="5842"/>
      </w:tblGrid>
      <w:tr>
        <w:tc>
          <w:tcPr>
            <w:tcW w:w="1246" w:type="dxa"/>
          </w:tcPr>
          <w:p>
            <w:pPr>
              <w:pStyle w:val="yTable"/>
            </w:pPr>
            <w:r>
              <w:t xml:space="preserve">s. 2 </w:t>
            </w:r>
          </w:p>
        </w:tc>
        <w:tc>
          <w:tcPr>
            <w:tcW w:w="5842" w:type="dxa"/>
          </w:tcPr>
          <w:p>
            <w:pPr>
              <w:pStyle w:val="yTable"/>
              <w:ind w:left="84"/>
            </w:pPr>
            <w:r>
              <w:t>Delete the definition of “Berthing master”.</w:t>
            </w:r>
          </w:p>
          <w:p>
            <w:pPr>
              <w:pStyle w:val="yTable"/>
              <w:ind w:left="84"/>
            </w:pPr>
            <w:r>
              <w:t>Delete the definition of “Harbour master”.</w:t>
            </w:r>
          </w:p>
        </w:tc>
      </w:tr>
      <w:tr>
        <w:tc>
          <w:tcPr>
            <w:tcW w:w="1246" w:type="dxa"/>
          </w:tcPr>
          <w:p>
            <w:pPr>
              <w:pStyle w:val="yTable"/>
            </w:pPr>
            <w:r>
              <w:t>s. 9</w:t>
            </w:r>
          </w:p>
        </w:tc>
        <w:tc>
          <w:tcPr>
            <w:tcW w:w="5842" w:type="dxa"/>
          </w:tcPr>
          <w:p>
            <w:pPr>
              <w:pStyle w:val="yTable"/>
              <w:ind w:left="84"/>
            </w:pPr>
            <w:r>
              <w:t>Delete paragraph (d) and the proviso and substitute the following paragraph — </w:t>
            </w:r>
          </w:p>
          <w:p>
            <w:pPr>
              <w:pStyle w:val="yTable"/>
              <w:ind w:left="84"/>
            </w:pPr>
            <w:r>
              <w:t>“</w:t>
            </w:r>
          </w:p>
          <w:p>
            <w:pPr>
              <w:pStyle w:val="yTable"/>
              <w:tabs>
                <w:tab w:val="left" w:pos="739"/>
              </w:tabs>
              <w:ind w:left="739" w:hanging="655"/>
            </w:pPr>
            <w:r>
              <w:tab/>
              <w:t xml:space="preserve">if he fails to comply with section 10 of the </w:t>
            </w:r>
            <w:r>
              <w:rPr>
                <w:i/>
                <w:iCs/>
              </w:rPr>
              <w:t>Ports (Functions) Act 1993</w:t>
            </w:r>
            <w:r>
              <w:t>.</w:t>
            </w:r>
          </w:p>
          <w:p>
            <w:pPr>
              <w:pStyle w:val="yTable"/>
              <w:ind w:left="84"/>
              <w:jc w:val="right"/>
            </w:pPr>
            <w:r>
              <w:t>”.</w:t>
            </w:r>
          </w:p>
        </w:tc>
      </w:tr>
      <w:tr>
        <w:tc>
          <w:tcPr>
            <w:tcW w:w="1246" w:type="dxa"/>
          </w:tcPr>
          <w:p>
            <w:pPr>
              <w:pStyle w:val="yTable"/>
            </w:pPr>
            <w:r>
              <w:t>s. 18 (1)</w:t>
            </w:r>
          </w:p>
        </w:tc>
        <w:tc>
          <w:tcPr>
            <w:tcW w:w="5842" w:type="dxa"/>
          </w:tcPr>
          <w:p>
            <w:pPr>
              <w:pStyle w:val="yTable"/>
              <w:ind w:left="84"/>
            </w:pPr>
            <w:r>
              <w:t>Delete “, berthing master (who shall be the person appointed as harbour master of the port) and wharf manager”.</w:t>
            </w:r>
          </w:p>
          <w:p>
            <w:pPr>
              <w:pStyle w:val="yTable"/>
              <w:ind w:left="84"/>
            </w:pPr>
            <w:r>
              <w:t>Delete “, berthing master or wharf manager”.</w:t>
            </w:r>
          </w:p>
        </w:tc>
      </w:tr>
      <w:tr>
        <w:tc>
          <w:tcPr>
            <w:tcW w:w="1246" w:type="dxa"/>
          </w:tcPr>
          <w:p>
            <w:pPr>
              <w:pStyle w:val="yTable"/>
            </w:pPr>
            <w:r>
              <w:t xml:space="preserve">s. 18 (4) </w:t>
            </w:r>
          </w:p>
        </w:tc>
        <w:tc>
          <w:tcPr>
            <w:tcW w:w="5842" w:type="dxa"/>
          </w:tcPr>
          <w:p>
            <w:pPr>
              <w:pStyle w:val="yTable"/>
              <w:ind w:left="84"/>
            </w:pPr>
            <w:r>
              <w:t>Delete “, berthing master or wharf manager”.</w:t>
            </w:r>
          </w:p>
        </w:tc>
      </w:tr>
      <w:tr>
        <w:tc>
          <w:tcPr>
            <w:tcW w:w="1246" w:type="dxa"/>
          </w:tcPr>
          <w:p>
            <w:pPr>
              <w:pStyle w:val="yTable"/>
            </w:pPr>
            <w:r>
              <w:t>s. 22</w:t>
            </w:r>
          </w:p>
        </w:tc>
        <w:tc>
          <w:tcPr>
            <w:tcW w:w="5842" w:type="dxa"/>
          </w:tcPr>
          <w:p>
            <w:pPr>
              <w:pStyle w:val="yTable"/>
              <w:ind w:left="84"/>
            </w:pPr>
            <w:r>
              <w:t>Delete “section 28A,” and substitute the following — </w:t>
            </w:r>
          </w:p>
          <w:p>
            <w:pPr>
              <w:pStyle w:val="yTable"/>
              <w:ind w:left="84"/>
            </w:pPr>
            <w:r>
              <w:t>“</w:t>
            </w:r>
            <w:r>
              <w:t> </w:t>
            </w:r>
            <w:r>
              <w:t> </w:t>
            </w:r>
            <w:r>
              <w:t xml:space="preserve">section 6 of the </w:t>
            </w:r>
            <w:r>
              <w:rPr>
                <w:i/>
                <w:iCs/>
              </w:rPr>
              <w:t>Ports (Functions) Act 1993</w:t>
            </w:r>
            <w:r>
              <w:t>,</w:t>
            </w:r>
            <w:r>
              <w:t> </w:t>
            </w:r>
            <w:r>
              <w:t> </w:t>
            </w:r>
            <w:r>
              <w:t>”.</w:t>
            </w:r>
          </w:p>
        </w:tc>
      </w:tr>
      <w:tr>
        <w:tc>
          <w:tcPr>
            <w:tcW w:w="1246" w:type="dxa"/>
          </w:tcPr>
          <w:p>
            <w:pPr>
              <w:pStyle w:val="yTable"/>
            </w:pPr>
            <w:r>
              <w:t>s. 24</w:t>
            </w:r>
          </w:p>
        </w:tc>
        <w:tc>
          <w:tcPr>
            <w:tcW w:w="5842" w:type="dxa"/>
          </w:tcPr>
          <w:p>
            <w:pPr>
              <w:pStyle w:val="yTable"/>
              <w:ind w:left="84"/>
            </w:pPr>
            <w:r>
              <w:t>Repeal the section.</w:t>
            </w:r>
          </w:p>
        </w:tc>
      </w:tr>
      <w:tr>
        <w:tc>
          <w:tcPr>
            <w:tcW w:w="1246" w:type="dxa"/>
          </w:tcPr>
          <w:p>
            <w:pPr>
              <w:pStyle w:val="yTable"/>
            </w:pPr>
            <w:r>
              <w:t>s. 25</w:t>
            </w:r>
          </w:p>
        </w:tc>
        <w:tc>
          <w:tcPr>
            <w:tcW w:w="5842" w:type="dxa"/>
          </w:tcPr>
          <w:p>
            <w:pPr>
              <w:pStyle w:val="yTable"/>
              <w:ind w:left="84"/>
            </w:pPr>
            <w:r>
              <w:t>Repeal the section.</w:t>
            </w:r>
          </w:p>
        </w:tc>
      </w:tr>
      <w:tr>
        <w:tc>
          <w:tcPr>
            <w:tcW w:w="1246" w:type="dxa"/>
          </w:tcPr>
          <w:p>
            <w:pPr>
              <w:pStyle w:val="yTable"/>
            </w:pPr>
            <w:r>
              <w:t>s. 26</w:t>
            </w:r>
          </w:p>
        </w:tc>
        <w:tc>
          <w:tcPr>
            <w:tcW w:w="5842" w:type="dxa"/>
          </w:tcPr>
          <w:p>
            <w:pPr>
              <w:pStyle w:val="yTable"/>
              <w:ind w:left="84"/>
            </w:pPr>
            <w:r>
              <w:t>Repeal the section.</w:t>
            </w:r>
          </w:p>
        </w:tc>
      </w:tr>
      <w:tr>
        <w:tc>
          <w:tcPr>
            <w:tcW w:w="1246" w:type="dxa"/>
          </w:tcPr>
          <w:p>
            <w:pPr>
              <w:pStyle w:val="yTable"/>
            </w:pPr>
            <w:r>
              <w:t>s. 28A</w:t>
            </w:r>
          </w:p>
        </w:tc>
        <w:tc>
          <w:tcPr>
            <w:tcW w:w="5842" w:type="dxa"/>
          </w:tcPr>
          <w:p>
            <w:pPr>
              <w:pStyle w:val="yTable"/>
              <w:ind w:left="84"/>
            </w:pPr>
            <w:r>
              <w:t>Repeal the section.</w:t>
            </w:r>
          </w:p>
        </w:tc>
      </w:tr>
      <w:tr>
        <w:tc>
          <w:tcPr>
            <w:tcW w:w="1246" w:type="dxa"/>
          </w:tcPr>
          <w:p>
            <w:pPr>
              <w:pStyle w:val="yTable"/>
            </w:pPr>
            <w:r>
              <w:t>s. 29</w:t>
            </w:r>
          </w:p>
        </w:tc>
        <w:tc>
          <w:tcPr>
            <w:tcW w:w="5842" w:type="dxa"/>
          </w:tcPr>
          <w:p>
            <w:pPr>
              <w:pStyle w:val="yTable"/>
              <w:ind w:left="84"/>
            </w:pPr>
            <w:r>
              <w:t>Repeal the section and the heading “Pilotage.” before it.</w:t>
            </w:r>
          </w:p>
        </w:tc>
      </w:tr>
      <w:tr>
        <w:tc>
          <w:tcPr>
            <w:tcW w:w="1246" w:type="dxa"/>
          </w:tcPr>
          <w:p>
            <w:pPr>
              <w:pStyle w:val="yTable"/>
            </w:pPr>
            <w:r>
              <w:t xml:space="preserve">s. 32 </w:t>
            </w:r>
          </w:p>
        </w:tc>
        <w:tc>
          <w:tcPr>
            <w:tcW w:w="5842" w:type="dxa"/>
          </w:tcPr>
          <w:p>
            <w:pPr>
              <w:pStyle w:val="yTable"/>
              <w:ind w:left="84"/>
            </w:pPr>
            <w:r>
              <w:t>Repeal the section and in the heading before it delete “Wrecks, Obstructions, and”.</w:t>
            </w:r>
          </w:p>
        </w:tc>
      </w:tr>
      <w:tr>
        <w:tc>
          <w:tcPr>
            <w:tcW w:w="1246" w:type="dxa"/>
          </w:tcPr>
          <w:p>
            <w:pPr>
              <w:pStyle w:val="yTable"/>
            </w:pPr>
            <w:r>
              <w:t>s. 36</w:t>
            </w:r>
          </w:p>
        </w:tc>
        <w:tc>
          <w:tcPr>
            <w:tcW w:w="5842" w:type="dxa"/>
          </w:tcPr>
          <w:p>
            <w:pPr>
              <w:pStyle w:val="yTable"/>
              <w:ind w:left="84"/>
            </w:pPr>
            <w:r>
              <w:t>Repeal the section and delete the heading “Action against Port Authority and Officers.” before it.</w:t>
            </w:r>
          </w:p>
        </w:tc>
      </w:tr>
      <w:tr>
        <w:tc>
          <w:tcPr>
            <w:tcW w:w="1246" w:type="dxa"/>
          </w:tcPr>
          <w:p>
            <w:pPr>
              <w:pStyle w:val="yTable"/>
            </w:pPr>
            <w:r>
              <w:t>s. 54I (1)</w:t>
            </w:r>
          </w:p>
        </w:tc>
        <w:tc>
          <w:tcPr>
            <w:tcW w:w="5842" w:type="dxa"/>
          </w:tcPr>
          <w:p>
            <w:pPr>
              <w:pStyle w:val="yTable"/>
              <w:ind w:left="84"/>
            </w:pPr>
            <w:r>
              <w:t>Insert after “Port Authority” where it first occurs the following —</w:t>
            </w:r>
          </w:p>
          <w:p>
            <w:pPr>
              <w:pStyle w:val="yTable"/>
              <w:ind w:left="84"/>
            </w:pPr>
            <w:r>
              <w:t>“</w:t>
            </w:r>
          </w:p>
          <w:p>
            <w:pPr>
              <w:pStyle w:val="yTable"/>
              <w:ind w:left="84"/>
            </w:pPr>
            <w:r>
              <w:t>shall act in accordance with prudent commercial principles and</w:t>
            </w:r>
          </w:p>
          <w:p>
            <w:pPr>
              <w:pStyle w:val="yTable"/>
              <w:ind w:left="84"/>
              <w:jc w:val="right"/>
            </w:pPr>
            <w:r>
              <w:t>”.</w:t>
            </w:r>
          </w:p>
        </w:tc>
      </w:tr>
      <w:tr>
        <w:tc>
          <w:tcPr>
            <w:tcW w:w="1246" w:type="dxa"/>
          </w:tcPr>
          <w:p>
            <w:pPr>
              <w:pStyle w:val="yTable"/>
            </w:pPr>
            <w:r>
              <w:t>s. 54I (2)</w:t>
            </w:r>
          </w:p>
        </w:tc>
        <w:tc>
          <w:tcPr>
            <w:tcW w:w="5842" w:type="dxa"/>
          </w:tcPr>
          <w:p>
            <w:pPr>
              <w:pStyle w:val="yTable"/>
              <w:ind w:left="84"/>
            </w:pPr>
            <w:r>
              <w:t>Repeal the subsection.</w:t>
            </w:r>
          </w:p>
        </w:tc>
      </w:tr>
      <w:tr>
        <w:tc>
          <w:tcPr>
            <w:tcW w:w="1246" w:type="dxa"/>
          </w:tcPr>
          <w:p>
            <w:pPr>
              <w:pStyle w:val="yTable"/>
            </w:pPr>
            <w:r>
              <w:t>s. 55</w:t>
            </w:r>
          </w:p>
        </w:tc>
        <w:tc>
          <w:tcPr>
            <w:tcW w:w="5842" w:type="dxa"/>
          </w:tcPr>
          <w:p>
            <w:pPr>
              <w:pStyle w:val="yTable"/>
              <w:ind w:left="84"/>
            </w:pPr>
            <w:r>
              <w:t>Repeal the section.</w:t>
            </w:r>
          </w:p>
        </w:tc>
      </w:tr>
      <w:tr>
        <w:tc>
          <w:tcPr>
            <w:tcW w:w="1246" w:type="dxa"/>
          </w:tcPr>
          <w:p>
            <w:pPr>
              <w:pStyle w:val="yTable"/>
            </w:pPr>
            <w:r>
              <w:t>s. 61</w:t>
            </w:r>
          </w:p>
        </w:tc>
        <w:tc>
          <w:tcPr>
            <w:tcW w:w="5842" w:type="dxa"/>
          </w:tcPr>
          <w:p>
            <w:pPr>
              <w:pStyle w:val="yTable"/>
              <w:ind w:left="84"/>
            </w:pPr>
            <w:r>
              <w:t>Delete paragraphs (11), (12) and (23).</w:t>
            </w:r>
          </w:p>
        </w:tc>
      </w:tr>
      <w:tr>
        <w:tc>
          <w:tcPr>
            <w:tcW w:w="1246" w:type="dxa"/>
          </w:tcPr>
          <w:p>
            <w:pPr>
              <w:pStyle w:val="yTable"/>
            </w:pPr>
            <w:r>
              <w:t xml:space="preserve">s. 66 </w:t>
            </w:r>
          </w:p>
        </w:tc>
        <w:tc>
          <w:tcPr>
            <w:tcW w:w="5842" w:type="dxa"/>
          </w:tcPr>
          <w:p>
            <w:pPr>
              <w:pStyle w:val="yTable"/>
              <w:ind w:left="84"/>
            </w:pPr>
            <w:r>
              <w:t>Repeal the section.</w:t>
            </w:r>
          </w:p>
        </w:tc>
      </w:tr>
      <w:tr>
        <w:tc>
          <w:tcPr>
            <w:tcW w:w="1246" w:type="dxa"/>
          </w:tcPr>
          <w:p>
            <w:pPr>
              <w:pStyle w:val="yTable"/>
            </w:pPr>
            <w:r>
              <w:t xml:space="preserve">s. 71 (c) </w:t>
            </w:r>
          </w:p>
        </w:tc>
        <w:tc>
          <w:tcPr>
            <w:tcW w:w="5842" w:type="dxa"/>
          </w:tcPr>
          <w:p>
            <w:pPr>
              <w:pStyle w:val="yTable"/>
              <w:ind w:left="84"/>
            </w:pPr>
            <w:r>
              <w:t>Delete “berthing master” and substitute the following — </w:t>
            </w:r>
          </w:p>
          <w:p>
            <w:pPr>
              <w:pStyle w:val="yTable"/>
              <w:ind w:left="84"/>
            </w:pPr>
            <w:r>
              <w:t>“</w:t>
            </w:r>
            <w:r>
              <w:t> </w:t>
            </w:r>
            <w:r>
              <w:t> </w:t>
            </w:r>
            <w:r>
              <w:t>harbour master</w:t>
            </w:r>
            <w:r>
              <w:t> </w:t>
            </w:r>
            <w:r>
              <w:t> </w:t>
            </w:r>
            <w:r>
              <w:t>”.</w:t>
            </w:r>
          </w:p>
        </w:tc>
      </w:tr>
    </w:tbl>
    <w:p>
      <w:pPr>
        <w:pStyle w:val="yHeading2"/>
        <w:spacing w:after="160"/>
        <w:outlineLvl w:val="0"/>
      </w:pPr>
      <w:r>
        <w:t>PART 2 — </w:t>
      </w:r>
      <w:r>
        <w:rPr>
          <w:i/>
        </w:rPr>
        <w:t>BUNBURY PORT AUTHORITY ACT 1909</w:t>
      </w:r>
      <w:r>
        <w:t>*</w:t>
      </w:r>
    </w:p>
    <w:tbl>
      <w:tblPr>
        <w:tblW w:w="0" w:type="auto"/>
        <w:tblInd w:w="8" w:type="dxa"/>
        <w:tblLayout w:type="fixed"/>
        <w:tblCellMar>
          <w:left w:w="0" w:type="dxa"/>
          <w:right w:w="0" w:type="dxa"/>
        </w:tblCellMar>
        <w:tblLook w:val="0000" w:firstRow="0" w:lastRow="0" w:firstColumn="0" w:lastColumn="0" w:noHBand="0" w:noVBand="0"/>
      </w:tblPr>
      <w:tblGrid>
        <w:gridCol w:w="1246"/>
        <w:gridCol w:w="5842"/>
      </w:tblGrid>
      <w:tr>
        <w:tc>
          <w:tcPr>
            <w:tcW w:w="1246" w:type="dxa"/>
          </w:tcPr>
          <w:p>
            <w:pPr>
              <w:pStyle w:val="yTable"/>
            </w:pPr>
            <w:r>
              <w:t xml:space="preserve">s. 2 </w:t>
            </w:r>
          </w:p>
        </w:tc>
        <w:tc>
          <w:tcPr>
            <w:tcW w:w="5842" w:type="dxa"/>
          </w:tcPr>
          <w:p>
            <w:pPr>
              <w:pStyle w:val="yTable"/>
              <w:ind w:left="56"/>
            </w:pPr>
            <w:r>
              <w:t>Delete the definition of “Berthing master”.</w:t>
            </w:r>
          </w:p>
          <w:p>
            <w:pPr>
              <w:pStyle w:val="yTable"/>
              <w:ind w:left="56"/>
            </w:pPr>
          </w:p>
          <w:p>
            <w:pPr>
              <w:pStyle w:val="yTable"/>
              <w:ind w:left="56"/>
            </w:pPr>
            <w:r>
              <w:t>Delete the definition of “Harbour master”.</w:t>
            </w:r>
          </w:p>
        </w:tc>
      </w:tr>
      <w:tr>
        <w:tc>
          <w:tcPr>
            <w:tcW w:w="1246" w:type="dxa"/>
          </w:tcPr>
          <w:p>
            <w:pPr>
              <w:pStyle w:val="yTable"/>
            </w:pPr>
            <w:r>
              <w:t>s. 9</w:t>
            </w:r>
          </w:p>
        </w:tc>
        <w:tc>
          <w:tcPr>
            <w:tcW w:w="5842" w:type="dxa"/>
          </w:tcPr>
          <w:p>
            <w:pPr>
              <w:pStyle w:val="yTable"/>
              <w:ind w:left="56"/>
            </w:pPr>
            <w:r>
              <w:t>Delete paragraph (d) and the proviso and substitute the following paragraph — </w:t>
            </w:r>
          </w:p>
          <w:p>
            <w:pPr>
              <w:pStyle w:val="yTable"/>
              <w:ind w:left="56"/>
            </w:pPr>
            <w:r>
              <w:t>“</w:t>
            </w:r>
          </w:p>
          <w:p>
            <w:pPr>
              <w:pStyle w:val="yTable"/>
              <w:tabs>
                <w:tab w:val="left" w:pos="455"/>
                <w:tab w:val="left" w:pos="1022"/>
              </w:tabs>
              <w:ind w:left="1022" w:hanging="966"/>
            </w:pPr>
            <w:r>
              <w:tab/>
              <w:t>(d)</w:t>
            </w:r>
            <w:r>
              <w:tab/>
              <w:t xml:space="preserve">if he fails to comply with section 10 of the </w:t>
            </w:r>
            <w:r>
              <w:rPr>
                <w:i/>
                <w:iCs/>
              </w:rPr>
              <w:t>Ports (Functions) Act 1993</w:t>
            </w:r>
            <w:r>
              <w:t>.</w:t>
            </w:r>
          </w:p>
          <w:p>
            <w:pPr>
              <w:pStyle w:val="yTable"/>
              <w:ind w:left="56"/>
              <w:jc w:val="right"/>
            </w:pPr>
            <w:r>
              <w:t>”.</w:t>
            </w:r>
          </w:p>
        </w:tc>
      </w:tr>
      <w:tr>
        <w:tc>
          <w:tcPr>
            <w:tcW w:w="1246" w:type="dxa"/>
          </w:tcPr>
          <w:p>
            <w:pPr>
              <w:pStyle w:val="yTable"/>
            </w:pPr>
            <w:r>
              <w:t xml:space="preserve">s. 18 (1) </w:t>
            </w:r>
          </w:p>
        </w:tc>
        <w:tc>
          <w:tcPr>
            <w:tcW w:w="5842" w:type="dxa"/>
          </w:tcPr>
          <w:p>
            <w:pPr>
              <w:pStyle w:val="yTable"/>
              <w:ind w:left="56"/>
            </w:pPr>
            <w:r>
              <w:t>Delete “, berthing master (who shall be the person appointed as harbour master of the port), and wharf manager”.</w:t>
            </w:r>
          </w:p>
          <w:p>
            <w:pPr>
              <w:pStyle w:val="yTable"/>
              <w:ind w:left="56"/>
            </w:pPr>
          </w:p>
          <w:p>
            <w:pPr>
              <w:pStyle w:val="yTable"/>
              <w:ind w:left="56"/>
            </w:pPr>
            <w:r>
              <w:t>Delete “, berthing master or wharf manager”.</w:t>
            </w:r>
          </w:p>
        </w:tc>
      </w:tr>
      <w:tr>
        <w:tc>
          <w:tcPr>
            <w:tcW w:w="1246" w:type="dxa"/>
          </w:tcPr>
          <w:p>
            <w:pPr>
              <w:pStyle w:val="yTable"/>
            </w:pPr>
            <w:r>
              <w:t>s. 22</w:t>
            </w:r>
          </w:p>
        </w:tc>
        <w:tc>
          <w:tcPr>
            <w:tcW w:w="5842" w:type="dxa"/>
          </w:tcPr>
          <w:p>
            <w:pPr>
              <w:pStyle w:val="yTable"/>
              <w:ind w:left="56"/>
            </w:pPr>
            <w:r>
              <w:t>Delete “section 28A,” and substitute the following — </w:t>
            </w:r>
          </w:p>
          <w:p>
            <w:pPr>
              <w:pStyle w:val="yTable"/>
              <w:ind w:left="56"/>
            </w:pPr>
            <w:r>
              <w:t>“</w:t>
            </w:r>
            <w:r>
              <w:t> </w:t>
            </w:r>
            <w:r>
              <w:t> </w:t>
            </w:r>
            <w:r>
              <w:t xml:space="preserve">section 6 of the </w:t>
            </w:r>
            <w:r>
              <w:rPr>
                <w:i/>
                <w:iCs/>
              </w:rPr>
              <w:t>Ports (Functions) Act 1993</w:t>
            </w:r>
            <w:r>
              <w:t>,</w:t>
            </w:r>
            <w:r>
              <w:t> </w:t>
            </w:r>
            <w:r>
              <w:t> </w:t>
            </w:r>
            <w:r>
              <w:t>”.</w:t>
            </w:r>
          </w:p>
        </w:tc>
      </w:tr>
      <w:tr>
        <w:tc>
          <w:tcPr>
            <w:tcW w:w="1246" w:type="dxa"/>
          </w:tcPr>
          <w:p>
            <w:pPr>
              <w:pStyle w:val="yTable"/>
            </w:pPr>
            <w:r>
              <w:t>s. 24</w:t>
            </w:r>
          </w:p>
        </w:tc>
        <w:tc>
          <w:tcPr>
            <w:tcW w:w="5842" w:type="dxa"/>
          </w:tcPr>
          <w:p>
            <w:pPr>
              <w:pStyle w:val="yTable"/>
              <w:ind w:left="56"/>
            </w:pPr>
            <w:r>
              <w:t>Repeal the section.</w:t>
            </w:r>
          </w:p>
        </w:tc>
      </w:tr>
      <w:tr>
        <w:tc>
          <w:tcPr>
            <w:tcW w:w="1246" w:type="dxa"/>
          </w:tcPr>
          <w:p>
            <w:pPr>
              <w:pStyle w:val="yTable"/>
            </w:pPr>
            <w:r>
              <w:t>s. 25</w:t>
            </w:r>
          </w:p>
        </w:tc>
        <w:tc>
          <w:tcPr>
            <w:tcW w:w="5842" w:type="dxa"/>
          </w:tcPr>
          <w:p>
            <w:pPr>
              <w:pStyle w:val="yTable"/>
              <w:ind w:left="56"/>
            </w:pPr>
            <w:r>
              <w:t>Repeal the section.</w:t>
            </w:r>
          </w:p>
        </w:tc>
      </w:tr>
      <w:tr>
        <w:tc>
          <w:tcPr>
            <w:tcW w:w="1246" w:type="dxa"/>
          </w:tcPr>
          <w:p>
            <w:pPr>
              <w:pStyle w:val="yTable"/>
            </w:pPr>
            <w:r>
              <w:t>s. 25A</w:t>
            </w:r>
          </w:p>
        </w:tc>
        <w:tc>
          <w:tcPr>
            <w:tcW w:w="5842" w:type="dxa"/>
          </w:tcPr>
          <w:p>
            <w:pPr>
              <w:pStyle w:val="yTable"/>
              <w:ind w:left="56"/>
            </w:pPr>
            <w:r>
              <w:t>Repeal the section.</w:t>
            </w:r>
          </w:p>
        </w:tc>
      </w:tr>
      <w:tr>
        <w:tc>
          <w:tcPr>
            <w:tcW w:w="1246" w:type="dxa"/>
          </w:tcPr>
          <w:p>
            <w:pPr>
              <w:pStyle w:val="yTable"/>
            </w:pPr>
            <w:r>
              <w:t>s. 26</w:t>
            </w:r>
          </w:p>
        </w:tc>
        <w:tc>
          <w:tcPr>
            <w:tcW w:w="5842" w:type="dxa"/>
          </w:tcPr>
          <w:p>
            <w:pPr>
              <w:pStyle w:val="yTable"/>
              <w:ind w:left="56"/>
            </w:pPr>
            <w:r>
              <w:t>Repeal the section.</w:t>
            </w:r>
          </w:p>
        </w:tc>
      </w:tr>
      <w:tr>
        <w:tc>
          <w:tcPr>
            <w:tcW w:w="1246" w:type="dxa"/>
          </w:tcPr>
          <w:p>
            <w:pPr>
              <w:pStyle w:val="yTable"/>
            </w:pPr>
            <w:r>
              <w:t>s. 28A</w:t>
            </w:r>
          </w:p>
        </w:tc>
        <w:tc>
          <w:tcPr>
            <w:tcW w:w="5842" w:type="dxa"/>
          </w:tcPr>
          <w:p>
            <w:pPr>
              <w:pStyle w:val="yTable"/>
              <w:ind w:left="56"/>
            </w:pPr>
            <w:r>
              <w:t>Repeal the section.</w:t>
            </w:r>
          </w:p>
        </w:tc>
      </w:tr>
      <w:tr>
        <w:tc>
          <w:tcPr>
            <w:tcW w:w="1246" w:type="dxa"/>
          </w:tcPr>
          <w:p>
            <w:pPr>
              <w:pStyle w:val="yTable"/>
            </w:pPr>
            <w:r>
              <w:t>s. 29</w:t>
            </w:r>
          </w:p>
        </w:tc>
        <w:tc>
          <w:tcPr>
            <w:tcW w:w="5842" w:type="dxa"/>
          </w:tcPr>
          <w:p>
            <w:pPr>
              <w:pStyle w:val="yTable"/>
              <w:ind w:left="56"/>
            </w:pPr>
            <w:r>
              <w:t>Repeal the section and the heading “Pilotage” before it.</w:t>
            </w:r>
          </w:p>
        </w:tc>
      </w:tr>
      <w:tr>
        <w:tc>
          <w:tcPr>
            <w:tcW w:w="1246" w:type="dxa"/>
          </w:tcPr>
          <w:p>
            <w:pPr>
              <w:pStyle w:val="yTable"/>
            </w:pPr>
            <w:r>
              <w:t xml:space="preserve">s. 32 </w:t>
            </w:r>
          </w:p>
        </w:tc>
        <w:tc>
          <w:tcPr>
            <w:tcW w:w="5842" w:type="dxa"/>
          </w:tcPr>
          <w:p>
            <w:pPr>
              <w:pStyle w:val="yTable"/>
              <w:ind w:left="56"/>
            </w:pPr>
            <w:r>
              <w:t>Repeal the section and in the heading before it delete “Wrecks, Obstructions, and”.</w:t>
            </w:r>
          </w:p>
        </w:tc>
      </w:tr>
      <w:tr>
        <w:tc>
          <w:tcPr>
            <w:tcW w:w="1246" w:type="dxa"/>
          </w:tcPr>
          <w:p>
            <w:pPr>
              <w:pStyle w:val="yTable"/>
            </w:pPr>
            <w:r>
              <w:t>s. 36</w:t>
            </w:r>
          </w:p>
        </w:tc>
        <w:tc>
          <w:tcPr>
            <w:tcW w:w="5842" w:type="dxa"/>
          </w:tcPr>
          <w:p>
            <w:pPr>
              <w:pStyle w:val="yTable"/>
              <w:ind w:left="56"/>
            </w:pPr>
            <w:r>
              <w:t>Repeal the section and delete the heading “Actions against Port Authority and Officers” before it.</w:t>
            </w:r>
          </w:p>
        </w:tc>
      </w:tr>
      <w:tr>
        <w:tc>
          <w:tcPr>
            <w:tcW w:w="1246" w:type="dxa"/>
          </w:tcPr>
          <w:p>
            <w:pPr>
              <w:pStyle w:val="yTable"/>
            </w:pPr>
            <w:r>
              <w:t>s. 54I (1)</w:t>
            </w:r>
          </w:p>
        </w:tc>
        <w:tc>
          <w:tcPr>
            <w:tcW w:w="5842" w:type="dxa"/>
          </w:tcPr>
          <w:p>
            <w:pPr>
              <w:pStyle w:val="yTable"/>
              <w:ind w:left="56"/>
            </w:pPr>
            <w:r>
              <w:t>Insert after “Port Authority” where it first occurs the following —</w:t>
            </w:r>
          </w:p>
          <w:p>
            <w:pPr>
              <w:pStyle w:val="yTable"/>
              <w:ind w:left="56"/>
            </w:pPr>
            <w:r>
              <w:t>“</w:t>
            </w:r>
          </w:p>
          <w:p>
            <w:pPr>
              <w:pStyle w:val="yTable"/>
              <w:ind w:left="56"/>
            </w:pPr>
            <w:r>
              <w:t>shall act in accordance with prudent commercial principles and</w:t>
            </w:r>
          </w:p>
          <w:p>
            <w:pPr>
              <w:pStyle w:val="yTable"/>
              <w:ind w:left="56"/>
              <w:jc w:val="right"/>
            </w:pPr>
            <w:r>
              <w:t>”.</w:t>
            </w:r>
          </w:p>
        </w:tc>
      </w:tr>
      <w:tr>
        <w:tc>
          <w:tcPr>
            <w:tcW w:w="1246" w:type="dxa"/>
          </w:tcPr>
          <w:p>
            <w:pPr>
              <w:pStyle w:val="yTable"/>
            </w:pPr>
            <w:r>
              <w:t>s. 54I (2)</w:t>
            </w:r>
          </w:p>
        </w:tc>
        <w:tc>
          <w:tcPr>
            <w:tcW w:w="5842" w:type="dxa"/>
          </w:tcPr>
          <w:p>
            <w:pPr>
              <w:pStyle w:val="yTable"/>
              <w:ind w:left="56"/>
            </w:pPr>
            <w:r>
              <w:t>Repeal the subsection.</w:t>
            </w:r>
          </w:p>
        </w:tc>
      </w:tr>
      <w:tr>
        <w:tc>
          <w:tcPr>
            <w:tcW w:w="1246" w:type="dxa"/>
          </w:tcPr>
          <w:p>
            <w:pPr>
              <w:pStyle w:val="yTable"/>
            </w:pPr>
            <w:r>
              <w:t>s. 55</w:t>
            </w:r>
          </w:p>
        </w:tc>
        <w:tc>
          <w:tcPr>
            <w:tcW w:w="5842" w:type="dxa"/>
          </w:tcPr>
          <w:p>
            <w:pPr>
              <w:pStyle w:val="yTable"/>
              <w:ind w:left="56"/>
            </w:pPr>
            <w:r>
              <w:t>Repeal the section.</w:t>
            </w:r>
          </w:p>
        </w:tc>
      </w:tr>
      <w:tr>
        <w:tc>
          <w:tcPr>
            <w:tcW w:w="1246" w:type="dxa"/>
          </w:tcPr>
          <w:p>
            <w:pPr>
              <w:pStyle w:val="yTable"/>
            </w:pPr>
            <w:r>
              <w:t>s. 61</w:t>
            </w:r>
          </w:p>
        </w:tc>
        <w:tc>
          <w:tcPr>
            <w:tcW w:w="5842" w:type="dxa"/>
          </w:tcPr>
          <w:p>
            <w:pPr>
              <w:pStyle w:val="yTable"/>
              <w:ind w:left="56"/>
            </w:pPr>
            <w:r>
              <w:t>Delete paragraphs (11), (12) and (23).</w:t>
            </w:r>
          </w:p>
        </w:tc>
      </w:tr>
      <w:tr>
        <w:tc>
          <w:tcPr>
            <w:tcW w:w="1246" w:type="dxa"/>
          </w:tcPr>
          <w:p>
            <w:pPr>
              <w:pStyle w:val="yTable"/>
            </w:pPr>
            <w:r>
              <w:t xml:space="preserve">s. 66 </w:t>
            </w:r>
          </w:p>
        </w:tc>
        <w:tc>
          <w:tcPr>
            <w:tcW w:w="5842" w:type="dxa"/>
          </w:tcPr>
          <w:p>
            <w:pPr>
              <w:pStyle w:val="yTable"/>
              <w:ind w:left="56"/>
            </w:pPr>
            <w:r>
              <w:t>Repeal the section.</w:t>
            </w:r>
          </w:p>
        </w:tc>
      </w:tr>
      <w:tr>
        <w:tc>
          <w:tcPr>
            <w:tcW w:w="1246" w:type="dxa"/>
          </w:tcPr>
          <w:p>
            <w:pPr>
              <w:pStyle w:val="yTable"/>
            </w:pPr>
            <w:r>
              <w:t xml:space="preserve">s. 71 (c) </w:t>
            </w:r>
          </w:p>
          <w:p>
            <w:pPr>
              <w:pStyle w:val="yTable"/>
            </w:pPr>
          </w:p>
        </w:tc>
        <w:tc>
          <w:tcPr>
            <w:tcW w:w="5842" w:type="dxa"/>
          </w:tcPr>
          <w:p>
            <w:pPr>
              <w:pStyle w:val="yTable"/>
              <w:ind w:left="56"/>
            </w:pPr>
            <w:r>
              <w:t>Delete “berthing master” and substitute the following — </w:t>
            </w:r>
          </w:p>
          <w:p>
            <w:pPr>
              <w:pStyle w:val="yTable"/>
              <w:ind w:left="56"/>
            </w:pPr>
            <w:r>
              <w:t>“</w:t>
            </w:r>
            <w:r>
              <w:t> </w:t>
            </w:r>
            <w:r>
              <w:t> </w:t>
            </w:r>
            <w:r>
              <w:t>harbour master</w:t>
            </w:r>
            <w:r>
              <w:t> </w:t>
            </w:r>
            <w:r>
              <w:t> </w:t>
            </w:r>
            <w:r>
              <w:t>”.</w:t>
            </w:r>
          </w:p>
        </w:tc>
      </w:tr>
    </w:tbl>
    <w:p>
      <w:pPr>
        <w:pStyle w:val="yHeading2"/>
        <w:spacing w:after="160"/>
        <w:outlineLvl w:val="0"/>
      </w:pPr>
      <w:r>
        <w:t>PART 3 — </w:t>
      </w:r>
      <w:r>
        <w:rPr>
          <w:i/>
        </w:rPr>
        <w:t>DAMPIER PORT AUTHORITY ACT 1985</w:t>
      </w:r>
      <w:r>
        <w:t>*</w:t>
      </w:r>
    </w:p>
    <w:tbl>
      <w:tblPr>
        <w:tblW w:w="0" w:type="auto"/>
        <w:tblInd w:w="8" w:type="dxa"/>
        <w:tblLayout w:type="fixed"/>
        <w:tblCellMar>
          <w:left w:w="0" w:type="dxa"/>
          <w:right w:w="0" w:type="dxa"/>
        </w:tblCellMar>
        <w:tblLook w:val="0000" w:firstRow="0" w:lastRow="0" w:firstColumn="0" w:lastColumn="0" w:noHBand="0" w:noVBand="0"/>
      </w:tblPr>
      <w:tblGrid>
        <w:gridCol w:w="1246"/>
        <w:gridCol w:w="5842"/>
      </w:tblGrid>
      <w:tr>
        <w:tc>
          <w:tcPr>
            <w:tcW w:w="1246" w:type="dxa"/>
          </w:tcPr>
          <w:p>
            <w:pPr>
              <w:pStyle w:val="yTable"/>
            </w:pPr>
            <w:r>
              <w:t xml:space="preserve">s. 3 (1) </w:t>
            </w:r>
          </w:p>
        </w:tc>
        <w:tc>
          <w:tcPr>
            <w:tcW w:w="5842" w:type="dxa"/>
          </w:tcPr>
          <w:p>
            <w:pPr>
              <w:pStyle w:val="yTable"/>
              <w:ind w:left="84"/>
            </w:pPr>
            <w:r>
              <w:t>Delete the definition of “approved pilot”.</w:t>
            </w:r>
          </w:p>
        </w:tc>
      </w:tr>
      <w:tr>
        <w:tc>
          <w:tcPr>
            <w:tcW w:w="1246" w:type="dxa"/>
          </w:tcPr>
          <w:p>
            <w:pPr>
              <w:pStyle w:val="yTable"/>
            </w:pPr>
          </w:p>
        </w:tc>
        <w:tc>
          <w:tcPr>
            <w:tcW w:w="5842" w:type="dxa"/>
          </w:tcPr>
          <w:p>
            <w:pPr>
              <w:pStyle w:val="yTable"/>
              <w:ind w:left="84"/>
            </w:pPr>
            <w:r>
              <w:t>Delete the definition of “Harbour Master” and substitute the following definition — </w:t>
            </w:r>
          </w:p>
        </w:tc>
      </w:tr>
      <w:tr>
        <w:tc>
          <w:tcPr>
            <w:tcW w:w="1246" w:type="dxa"/>
          </w:tcPr>
          <w:p>
            <w:pPr>
              <w:pStyle w:val="yTable"/>
            </w:pPr>
          </w:p>
        </w:tc>
        <w:tc>
          <w:tcPr>
            <w:tcW w:w="5842" w:type="dxa"/>
          </w:tcPr>
          <w:p>
            <w:pPr>
              <w:pStyle w:val="yTable"/>
              <w:ind w:left="84"/>
            </w:pPr>
            <w:r>
              <w:t>“</w:t>
            </w:r>
          </w:p>
          <w:p>
            <w:pPr>
              <w:pStyle w:val="yTable"/>
              <w:tabs>
                <w:tab w:val="left" w:pos="455"/>
              </w:tabs>
              <w:ind w:left="1022" w:hanging="938"/>
            </w:pPr>
            <w:r>
              <w:rPr>
                <w:b/>
              </w:rPr>
              <w:tab/>
              <w:t>“Harbour Master”</w:t>
            </w:r>
            <w:r>
              <w:t xml:space="preserve"> means person appointed as harbour master of the Port under section 22 of the </w:t>
            </w:r>
            <w:r>
              <w:rPr>
                <w:i/>
              </w:rPr>
              <w:t>Ports (Functions) Act 1993</w:t>
            </w:r>
            <w:r>
              <w:t>;</w:t>
            </w:r>
          </w:p>
          <w:p>
            <w:pPr>
              <w:pStyle w:val="yTable"/>
              <w:ind w:left="84"/>
              <w:jc w:val="right"/>
            </w:pPr>
            <w:r>
              <w:t>”.</w:t>
            </w:r>
          </w:p>
        </w:tc>
      </w:tr>
      <w:tr>
        <w:tc>
          <w:tcPr>
            <w:tcW w:w="1246" w:type="dxa"/>
          </w:tcPr>
          <w:p>
            <w:pPr>
              <w:pStyle w:val="yTable"/>
            </w:pPr>
          </w:p>
        </w:tc>
        <w:tc>
          <w:tcPr>
            <w:tcW w:w="5842" w:type="dxa"/>
          </w:tcPr>
          <w:p>
            <w:pPr>
              <w:pStyle w:val="yTable"/>
              <w:ind w:left="84"/>
            </w:pPr>
            <w:r>
              <w:t>Delete the definition of “pilotage services”.</w:t>
            </w:r>
          </w:p>
        </w:tc>
      </w:tr>
      <w:tr>
        <w:tc>
          <w:tcPr>
            <w:tcW w:w="1246" w:type="dxa"/>
          </w:tcPr>
          <w:p>
            <w:pPr>
              <w:pStyle w:val="yTable"/>
            </w:pPr>
          </w:p>
        </w:tc>
        <w:tc>
          <w:tcPr>
            <w:tcW w:w="5842" w:type="dxa"/>
          </w:tcPr>
          <w:p>
            <w:pPr>
              <w:pStyle w:val="yTable"/>
              <w:ind w:left="84"/>
            </w:pPr>
            <w:r>
              <w:t>Delete the definition of “port charges” and substitute the following definition — </w:t>
            </w:r>
          </w:p>
        </w:tc>
      </w:tr>
      <w:tr>
        <w:trPr>
          <w:cantSplit/>
          <w:trHeight w:val="2610"/>
        </w:trPr>
        <w:tc>
          <w:tcPr>
            <w:tcW w:w="1246" w:type="dxa"/>
            <w:tcBorders>
              <w:bottom w:val="nil"/>
            </w:tcBorders>
          </w:tcPr>
          <w:p>
            <w:pPr>
              <w:pStyle w:val="yTable"/>
            </w:pPr>
          </w:p>
        </w:tc>
        <w:tc>
          <w:tcPr>
            <w:tcW w:w="5842" w:type="dxa"/>
          </w:tcPr>
          <w:p>
            <w:pPr>
              <w:pStyle w:val="yTable"/>
              <w:ind w:left="84"/>
            </w:pPr>
            <w:r>
              <w:t>“</w:t>
            </w:r>
          </w:p>
          <w:p>
            <w:pPr>
              <w:pStyle w:val="yTable"/>
              <w:tabs>
                <w:tab w:val="left" w:pos="455"/>
              </w:tabs>
              <w:ind w:left="84"/>
            </w:pPr>
            <w:r>
              <w:rPr>
                <w:b/>
              </w:rPr>
              <w:tab/>
              <w:t>“port charges”</w:t>
            </w:r>
            <w:r>
              <w:t xml:space="preserve"> means — </w:t>
            </w:r>
          </w:p>
          <w:p>
            <w:pPr>
              <w:pStyle w:val="yTable"/>
              <w:tabs>
                <w:tab w:val="left" w:pos="739"/>
                <w:tab w:val="left" w:pos="1306"/>
              </w:tabs>
              <w:ind w:left="1306" w:hanging="1222"/>
            </w:pPr>
            <w:r>
              <w:tab/>
              <w:t>(a)</w:t>
            </w:r>
            <w:r>
              <w:tab/>
              <w:t>port dues and wharfage charges; or</w:t>
            </w:r>
          </w:p>
          <w:p>
            <w:pPr>
              <w:pStyle w:val="yTable"/>
              <w:tabs>
                <w:tab w:val="left" w:pos="739"/>
                <w:tab w:val="left" w:pos="1306"/>
              </w:tabs>
              <w:ind w:left="1306" w:hanging="1222"/>
            </w:pPr>
            <w:r>
              <w:tab/>
              <w:t>(b)</w:t>
            </w:r>
            <w:r>
              <w:tab/>
              <w:t>port improvement rates,</w:t>
            </w:r>
          </w:p>
          <w:p>
            <w:pPr>
              <w:pStyle w:val="yTable"/>
              <w:tabs>
                <w:tab w:val="left" w:pos="455"/>
              </w:tabs>
              <w:ind w:left="455" w:hanging="371"/>
            </w:pPr>
            <w:r>
              <w:tab/>
              <w:t xml:space="preserve">Levied under regulations made under section 99 for the purposes of section 48, and includes charges for pilotage and other services provided under Part 2 of the </w:t>
            </w:r>
            <w:r>
              <w:rPr>
                <w:i/>
              </w:rPr>
              <w:t>Ports (Functions) Act 1993</w:t>
            </w:r>
            <w:r>
              <w:t>;</w:t>
            </w:r>
          </w:p>
          <w:p>
            <w:pPr>
              <w:pStyle w:val="yTable"/>
              <w:ind w:left="84"/>
              <w:jc w:val="right"/>
            </w:pPr>
            <w:r>
              <w:t>”.</w:t>
            </w:r>
          </w:p>
        </w:tc>
      </w:tr>
      <w:tr>
        <w:tc>
          <w:tcPr>
            <w:tcW w:w="1246" w:type="dxa"/>
          </w:tcPr>
          <w:p>
            <w:pPr>
              <w:pStyle w:val="yTable"/>
            </w:pPr>
          </w:p>
        </w:tc>
        <w:tc>
          <w:tcPr>
            <w:tcW w:w="5842" w:type="dxa"/>
          </w:tcPr>
          <w:p>
            <w:pPr>
              <w:pStyle w:val="yTable"/>
              <w:ind w:left="84"/>
            </w:pPr>
            <w:r>
              <w:t>In the definition of “the Account” delete “(a) (ii)”.</w:t>
            </w:r>
          </w:p>
        </w:tc>
      </w:tr>
      <w:tr>
        <w:tc>
          <w:tcPr>
            <w:tcW w:w="1246" w:type="dxa"/>
          </w:tcPr>
          <w:p>
            <w:pPr>
              <w:pStyle w:val="yTable"/>
            </w:pPr>
            <w:r>
              <w:t>s. 9 (4)</w:t>
            </w:r>
          </w:p>
        </w:tc>
        <w:tc>
          <w:tcPr>
            <w:tcW w:w="5842" w:type="dxa"/>
          </w:tcPr>
          <w:p>
            <w:pPr>
              <w:pStyle w:val="yTable"/>
              <w:ind w:left="84"/>
            </w:pPr>
            <w:r>
              <w:t>Delete “section 11 (1) or 14 (11)” and substitute the following — </w:t>
            </w:r>
          </w:p>
        </w:tc>
      </w:tr>
      <w:tr>
        <w:tc>
          <w:tcPr>
            <w:tcW w:w="1246" w:type="dxa"/>
          </w:tcPr>
          <w:p>
            <w:pPr>
              <w:pStyle w:val="yTable"/>
            </w:pPr>
          </w:p>
        </w:tc>
        <w:tc>
          <w:tcPr>
            <w:tcW w:w="5842" w:type="dxa"/>
          </w:tcPr>
          <w:p>
            <w:pPr>
              <w:pStyle w:val="yTable"/>
              <w:ind w:left="84"/>
            </w:pPr>
            <w:r>
              <w:t>“</w:t>
            </w:r>
            <w:r>
              <w:t> </w:t>
            </w:r>
            <w:r>
              <w:t> </w:t>
            </w:r>
            <w:r>
              <w:t xml:space="preserve">section 10 of the </w:t>
            </w:r>
            <w:r>
              <w:rPr>
                <w:i/>
              </w:rPr>
              <w:t>Ports (Functions) Act 1993</w:t>
            </w:r>
            <w:r>
              <w:t> </w:t>
            </w:r>
            <w:r>
              <w:t> ”.</w:t>
            </w:r>
          </w:p>
        </w:tc>
      </w:tr>
      <w:tr>
        <w:tc>
          <w:tcPr>
            <w:tcW w:w="1246" w:type="dxa"/>
          </w:tcPr>
          <w:p>
            <w:pPr>
              <w:pStyle w:val="yTable"/>
            </w:pPr>
            <w:r>
              <w:t>s. 11</w:t>
            </w:r>
          </w:p>
        </w:tc>
        <w:tc>
          <w:tcPr>
            <w:tcW w:w="5842" w:type="dxa"/>
          </w:tcPr>
          <w:p>
            <w:pPr>
              <w:pStyle w:val="yTable"/>
              <w:ind w:left="84"/>
            </w:pPr>
            <w:r>
              <w:t>Repeal the section and substitute the following section — </w:t>
            </w:r>
          </w:p>
        </w:tc>
      </w:tr>
      <w:tr>
        <w:trPr>
          <w:cantSplit/>
          <w:trHeight w:val="3615"/>
        </w:trPr>
        <w:tc>
          <w:tcPr>
            <w:tcW w:w="1246" w:type="dxa"/>
            <w:tcBorders>
              <w:bottom w:val="nil"/>
            </w:tcBorders>
          </w:tcPr>
          <w:p>
            <w:pPr>
              <w:pStyle w:val="yTable"/>
            </w:pPr>
          </w:p>
        </w:tc>
        <w:tc>
          <w:tcPr>
            <w:tcW w:w="5842" w:type="dxa"/>
          </w:tcPr>
          <w:p>
            <w:pPr>
              <w:pStyle w:val="yTable"/>
              <w:ind w:left="84"/>
            </w:pPr>
            <w:r>
              <w:t>“</w:t>
            </w:r>
          </w:p>
          <w:p>
            <w:pPr>
              <w:pStyle w:val="yTable"/>
              <w:tabs>
                <w:tab w:val="left" w:pos="739"/>
              </w:tabs>
              <w:ind w:left="84"/>
              <w:rPr>
                <w:b/>
              </w:rPr>
            </w:pPr>
            <w:r>
              <w:rPr>
                <w:b/>
              </w:rPr>
              <w:t>11.</w:t>
            </w:r>
            <w:r>
              <w:rPr>
                <w:b/>
              </w:rPr>
              <w:tab/>
              <w:t>Disclosure by members</w:t>
            </w:r>
          </w:p>
          <w:p>
            <w:pPr>
              <w:pStyle w:val="yTable"/>
              <w:tabs>
                <w:tab w:val="left" w:pos="739"/>
              </w:tabs>
              <w:ind w:left="739" w:hanging="655"/>
            </w:pPr>
            <w:r>
              <w:tab/>
              <w:t xml:space="preserve">Section 10 of the </w:t>
            </w:r>
            <w:r>
              <w:rPr>
                <w:i/>
              </w:rPr>
              <w:t>Ports (Functions) Act 1993</w:t>
            </w:r>
            <w:r>
              <w:t xml:space="preserve"> does not apply — </w:t>
            </w:r>
          </w:p>
          <w:p>
            <w:pPr>
              <w:pStyle w:val="yTable"/>
              <w:tabs>
                <w:tab w:val="left" w:pos="1022"/>
                <w:tab w:val="left" w:pos="1589"/>
              </w:tabs>
              <w:ind w:left="1589" w:hanging="1505"/>
            </w:pPr>
            <w:r>
              <w:tab/>
              <w:t>(a)</w:t>
            </w:r>
            <w:r>
              <w:tab/>
              <w:t>to the Company member in respect of a pecuniary interest of the member that consists only of being an employee of the Company;</w:t>
            </w:r>
          </w:p>
          <w:p>
            <w:pPr>
              <w:pStyle w:val="yTable"/>
              <w:tabs>
                <w:tab w:val="left" w:pos="1022"/>
                <w:tab w:val="left" w:pos="1589"/>
              </w:tabs>
              <w:ind w:left="1589" w:hanging="1505"/>
            </w:pPr>
            <w:r>
              <w:tab/>
              <w:t>(b)</w:t>
            </w:r>
            <w:r>
              <w:tab/>
              <w:t>to the Joint Venturers member in respect of a pecuniary interest of the member that consists only of being an employee of one of the Joint Venturers.</w:t>
            </w:r>
          </w:p>
          <w:p>
            <w:pPr>
              <w:pStyle w:val="yTable"/>
              <w:ind w:left="84"/>
              <w:jc w:val="right"/>
            </w:pPr>
            <w:r>
              <w:t>”.</w:t>
            </w:r>
          </w:p>
        </w:tc>
      </w:tr>
      <w:tr>
        <w:tc>
          <w:tcPr>
            <w:tcW w:w="1246" w:type="dxa"/>
          </w:tcPr>
          <w:p>
            <w:pPr>
              <w:pStyle w:val="yTable"/>
            </w:pPr>
            <w:r>
              <w:t>s. 14 (11)</w:t>
            </w:r>
          </w:p>
        </w:tc>
        <w:tc>
          <w:tcPr>
            <w:tcW w:w="5842" w:type="dxa"/>
          </w:tcPr>
          <w:p>
            <w:pPr>
              <w:pStyle w:val="yTable"/>
              <w:ind w:left="84"/>
            </w:pPr>
            <w:r>
              <w:t>Repeal the subsection.</w:t>
            </w:r>
          </w:p>
        </w:tc>
      </w:tr>
      <w:tr>
        <w:tc>
          <w:tcPr>
            <w:tcW w:w="1246" w:type="dxa"/>
          </w:tcPr>
          <w:p>
            <w:pPr>
              <w:pStyle w:val="yTable"/>
            </w:pPr>
            <w:r>
              <w:t>s. 17 (1) (a)</w:t>
            </w:r>
          </w:p>
        </w:tc>
        <w:tc>
          <w:tcPr>
            <w:tcW w:w="5842" w:type="dxa"/>
          </w:tcPr>
          <w:p>
            <w:pPr>
              <w:pStyle w:val="yTable"/>
              <w:ind w:left="84"/>
            </w:pPr>
            <w:r>
              <w:t>Delete “and a Harbour Master”.</w:t>
            </w:r>
          </w:p>
        </w:tc>
      </w:tr>
      <w:tr>
        <w:tc>
          <w:tcPr>
            <w:tcW w:w="1246" w:type="dxa"/>
          </w:tcPr>
          <w:p>
            <w:pPr>
              <w:pStyle w:val="yTable"/>
            </w:pPr>
            <w:r>
              <w:t xml:space="preserve">s. 17 (2) </w:t>
            </w:r>
          </w:p>
        </w:tc>
        <w:tc>
          <w:tcPr>
            <w:tcW w:w="5842" w:type="dxa"/>
          </w:tcPr>
          <w:p>
            <w:pPr>
              <w:pStyle w:val="yTable"/>
              <w:ind w:left="84"/>
            </w:pPr>
            <w:r>
              <w:t>Repeal the subsection.</w:t>
            </w:r>
          </w:p>
        </w:tc>
      </w:tr>
      <w:tr>
        <w:tc>
          <w:tcPr>
            <w:tcW w:w="1246" w:type="dxa"/>
          </w:tcPr>
          <w:p>
            <w:pPr>
              <w:pStyle w:val="yTable"/>
            </w:pPr>
            <w:r>
              <w:t>s. 24</w:t>
            </w:r>
          </w:p>
        </w:tc>
        <w:tc>
          <w:tcPr>
            <w:tcW w:w="5842" w:type="dxa"/>
          </w:tcPr>
          <w:p>
            <w:pPr>
              <w:pStyle w:val="yTable"/>
              <w:ind w:left="84"/>
            </w:pPr>
            <w:r>
              <w:t>Repeal the section.</w:t>
            </w:r>
          </w:p>
        </w:tc>
      </w:tr>
      <w:tr>
        <w:tc>
          <w:tcPr>
            <w:tcW w:w="1246" w:type="dxa"/>
          </w:tcPr>
          <w:p>
            <w:pPr>
              <w:pStyle w:val="yTable"/>
            </w:pPr>
            <w:r>
              <w:t>s. 25</w:t>
            </w:r>
          </w:p>
        </w:tc>
        <w:tc>
          <w:tcPr>
            <w:tcW w:w="5842" w:type="dxa"/>
          </w:tcPr>
          <w:p>
            <w:pPr>
              <w:pStyle w:val="yTable"/>
              <w:ind w:left="84"/>
            </w:pPr>
            <w:r>
              <w:t>Repeal the section.</w:t>
            </w:r>
          </w:p>
        </w:tc>
      </w:tr>
      <w:tr>
        <w:tc>
          <w:tcPr>
            <w:tcW w:w="1246" w:type="dxa"/>
          </w:tcPr>
          <w:p>
            <w:pPr>
              <w:pStyle w:val="yTable"/>
            </w:pPr>
            <w:r>
              <w:t>s. 26</w:t>
            </w:r>
          </w:p>
        </w:tc>
        <w:tc>
          <w:tcPr>
            <w:tcW w:w="5842" w:type="dxa"/>
          </w:tcPr>
          <w:p>
            <w:pPr>
              <w:pStyle w:val="yTable"/>
              <w:ind w:left="84"/>
            </w:pPr>
            <w:r>
              <w:t>Repeal the section.</w:t>
            </w:r>
          </w:p>
        </w:tc>
      </w:tr>
      <w:tr>
        <w:tc>
          <w:tcPr>
            <w:tcW w:w="1246" w:type="dxa"/>
          </w:tcPr>
          <w:p>
            <w:pPr>
              <w:pStyle w:val="yTable"/>
            </w:pPr>
            <w:r>
              <w:t>s. 31 (1) (c)</w:t>
            </w:r>
          </w:p>
        </w:tc>
        <w:tc>
          <w:tcPr>
            <w:tcW w:w="5842" w:type="dxa"/>
          </w:tcPr>
          <w:p>
            <w:pPr>
              <w:pStyle w:val="yTable"/>
              <w:ind w:left="84"/>
            </w:pPr>
            <w:r>
              <w:t>Delete the paragraph.</w:t>
            </w:r>
          </w:p>
        </w:tc>
      </w:tr>
      <w:tr>
        <w:tc>
          <w:tcPr>
            <w:tcW w:w="1246" w:type="dxa"/>
          </w:tcPr>
          <w:p>
            <w:pPr>
              <w:pStyle w:val="yTable"/>
            </w:pPr>
            <w:r>
              <w:t>s. 34</w:t>
            </w:r>
          </w:p>
        </w:tc>
        <w:tc>
          <w:tcPr>
            <w:tcW w:w="5842" w:type="dxa"/>
          </w:tcPr>
          <w:p>
            <w:pPr>
              <w:pStyle w:val="yTable"/>
              <w:ind w:left="84"/>
            </w:pPr>
            <w:r>
              <w:t>Repeal the section.</w:t>
            </w:r>
          </w:p>
        </w:tc>
      </w:tr>
      <w:tr>
        <w:tc>
          <w:tcPr>
            <w:tcW w:w="1246" w:type="dxa"/>
          </w:tcPr>
          <w:p>
            <w:pPr>
              <w:pStyle w:val="yTable"/>
            </w:pPr>
            <w:r>
              <w:t>s. 35</w:t>
            </w:r>
          </w:p>
        </w:tc>
        <w:tc>
          <w:tcPr>
            <w:tcW w:w="5842" w:type="dxa"/>
          </w:tcPr>
          <w:p>
            <w:pPr>
              <w:pStyle w:val="yTable"/>
              <w:ind w:left="84"/>
            </w:pPr>
            <w:r>
              <w:t>Repeal the section.</w:t>
            </w:r>
          </w:p>
        </w:tc>
      </w:tr>
      <w:tr>
        <w:tc>
          <w:tcPr>
            <w:tcW w:w="1246" w:type="dxa"/>
          </w:tcPr>
          <w:p>
            <w:pPr>
              <w:pStyle w:val="yTable"/>
            </w:pPr>
            <w:r>
              <w:t>s. 36 (4)</w:t>
            </w:r>
          </w:p>
        </w:tc>
        <w:tc>
          <w:tcPr>
            <w:tcW w:w="5842" w:type="dxa"/>
          </w:tcPr>
          <w:p>
            <w:pPr>
              <w:pStyle w:val="yTable"/>
              <w:ind w:left="84"/>
            </w:pPr>
            <w:r>
              <w:t>Repeal the subsection.</w:t>
            </w:r>
          </w:p>
        </w:tc>
      </w:tr>
      <w:tr>
        <w:tc>
          <w:tcPr>
            <w:tcW w:w="1246" w:type="dxa"/>
          </w:tcPr>
          <w:p>
            <w:pPr>
              <w:pStyle w:val="yTable"/>
            </w:pPr>
            <w:r>
              <w:t>s. 37 (1)</w:t>
            </w:r>
          </w:p>
        </w:tc>
        <w:tc>
          <w:tcPr>
            <w:tcW w:w="5842" w:type="dxa"/>
          </w:tcPr>
          <w:p>
            <w:pPr>
              <w:pStyle w:val="yTable"/>
              <w:ind w:left="84"/>
            </w:pPr>
            <w:r>
              <w:t>Repeal the subsection.</w:t>
            </w:r>
          </w:p>
        </w:tc>
      </w:tr>
      <w:tr>
        <w:tc>
          <w:tcPr>
            <w:tcW w:w="1246" w:type="dxa"/>
          </w:tcPr>
          <w:p>
            <w:pPr>
              <w:pStyle w:val="yTable"/>
            </w:pPr>
            <w:r>
              <w:t>s. 37 (2)</w:t>
            </w:r>
          </w:p>
        </w:tc>
        <w:tc>
          <w:tcPr>
            <w:tcW w:w="5842" w:type="dxa"/>
          </w:tcPr>
          <w:p>
            <w:pPr>
              <w:pStyle w:val="yTable"/>
              <w:ind w:left="84"/>
            </w:pPr>
            <w:r>
              <w:t>Repeal the subsection.</w:t>
            </w:r>
          </w:p>
        </w:tc>
      </w:tr>
      <w:tr>
        <w:tc>
          <w:tcPr>
            <w:tcW w:w="1246" w:type="dxa"/>
          </w:tcPr>
          <w:p>
            <w:pPr>
              <w:pStyle w:val="yTable"/>
            </w:pPr>
            <w:r>
              <w:t xml:space="preserve">s. 39 </w:t>
            </w:r>
          </w:p>
        </w:tc>
        <w:tc>
          <w:tcPr>
            <w:tcW w:w="5842" w:type="dxa"/>
          </w:tcPr>
          <w:p>
            <w:pPr>
              <w:pStyle w:val="yTable"/>
              <w:ind w:left="84"/>
            </w:pPr>
            <w:r>
              <w:t>Repeal the section and substitute the following section — </w:t>
            </w:r>
          </w:p>
        </w:tc>
      </w:tr>
      <w:tr>
        <w:trPr>
          <w:cantSplit/>
          <w:trHeight w:val="5010"/>
        </w:trPr>
        <w:tc>
          <w:tcPr>
            <w:tcW w:w="1246" w:type="dxa"/>
            <w:tcBorders>
              <w:bottom w:val="nil"/>
            </w:tcBorders>
          </w:tcPr>
          <w:p>
            <w:pPr>
              <w:pStyle w:val="yTable"/>
            </w:pPr>
          </w:p>
        </w:tc>
        <w:tc>
          <w:tcPr>
            <w:tcW w:w="5842" w:type="dxa"/>
          </w:tcPr>
          <w:p>
            <w:pPr>
              <w:pStyle w:val="yTable"/>
              <w:ind w:left="84"/>
            </w:pPr>
            <w:r>
              <w:t>“</w:t>
            </w:r>
          </w:p>
          <w:p>
            <w:pPr>
              <w:pStyle w:val="yTable"/>
              <w:tabs>
                <w:tab w:val="left" w:pos="1022"/>
              </w:tabs>
              <w:ind w:left="84"/>
              <w:rPr>
                <w:b/>
              </w:rPr>
            </w:pPr>
            <w:r>
              <w:rPr>
                <w:b/>
              </w:rPr>
              <w:t>39.</w:t>
            </w:r>
            <w:r>
              <w:rPr>
                <w:b/>
              </w:rPr>
              <w:tab/>
              <w:t>Pilotage services agreements</w:t>
            </w:r>
          </w:p>
          <w:p>
            <w:pPr>
              <w:pStyle w:val="yTable"/>
              <w:tabs>
                <w:tab w:val="left" w:pos="455"/>
                <w:tab w:val="left" w:pos="1022"/>
              </w:tabs>
              <w:ind w:left="1022" w:hanging="938"/>
            </w:pPr>
            <w:r>
              <w:tab/>
              <w:t>(1)</w:t>
            </w:r>
            <w:r>
              <w:tab/>
              <w:t xml:space="preserve">Having entered into an agreement with the Port Authority under section 13 of the </w:t>
            </w:r>
            <w:r>
              <w:rPr>
                <w:i/>
              </w:rPr>
              <w:t>Ports (Functions) Act 1993</w:t>
            </w:r>
            <w:r>
              <w:t xml:space="preserve"> for the provision of pilotage services — </w:t>
            </w:r>
          </w:p>
          <w:p>
            <w:pPr>
              <w:pStyle w:val="yTable"/>
              <w:tabs>
                <w:tab w:val="left" w:pos="1022"/>
                <w:tab w:val="left" w:pos="1589"/>
              </w:tabs>
              <w:ind w:left="1589" w:hanging="1505"/>
            </w:pPr>
            <w:r>
              <w:tab/>
              <w:t>(a)</w:t>
            </w:r>
            <w:r>
              <w:tab/>
              <w:t>the Company may for its own requirements under the Iron Ore (Hamersley Range) Agreement;</w:t>
            </w:r>
          </w:p>
          <w:p>
            <w:pPr>
              <w:pStyle w:val="yTable"/>
              <w:tabs>
                <w:tab w:val="left" w:pos="1022"/>
                <w:tab w:val="left" w:pos="1589"/>
              </w:tabs>
              <w:ind w:left="1589" w:hanging="1505"/>
            </w:pPr>
            <w:r>
              <w:tab/>
              <w:t>(b)</w:t>
            </w:r>
            <w:r>
              <w:tab/>
              <w:t>the Salt Company may for its own requirements under the Dampier Solar Salt Industry Agreement; and</w:t>
            </w:r>
          </w:p>
          <w:p>
            <w:pPr>
              <w:pStyle w:val="yTable"/>
              <w:tabs>
                <w:tab w:val="left" w:pos="1022"/>
                <w:tab w:val="left" w:pos="1589"/>
              </w:tabs>
              <w:ind w:left="1589" w:hanging="1505"/>
            </w:pPr>
            <w:r>
              <w:tab/>
              <w:t>(c)</w:t>
            </w:r>
            <w:r>
              <w:tab/>
              <w:t>the Joint Venturers may for their own requirements under the North West Gas Development (Woodside) Agreement,</w:t>
            </w:r>
          </w:p>
          <w:p>
            <w:pPr>
              <w:pStyle w:val="yTable"/>
              <w:tabs>
                <w:tab w:val="left" w:pos="455"/>
                <w:tab w:val="left" w:pos="1022"/>
              </w:tabs>
              <w:ind w:left="1022" w:hanging="938"/>
            </w:pPr>
            <w:r>
              <w:tab/>
            </w:r>
            <w:r>
              <w:tab/>
              <w:t>provide its own or their own pilotage services in the Port in accordance with that agreement.</w:t>
            </w:r>
          </w:p>
          <w:p>
            <w:pPr>
              <w:pStyle w:val="yTable"/>
              <w:ind w:left="84"/>
              <w:jc w:val="right"/>
            </w:pPr>
            <w:r>
              <w:t>”.</w:t>
            </w:r>
          </w:p>
        </w:tc>
      </w:tr>
      <w:tr>
        <w:tc>
          <w:tcPr>
            <w:tcW w:w="1246" w:type="dxa"/>
          </w:tcPr>
          <w:p>
            <w:pPr>
              <w:pStyle w:val="yTable"/>
            </w:pPr>
            <w:r>
              <w:t>Part VI</w:t>
            </w:r>
          </w:p>
        </w:tc>
        <w:tc>
          <w:tcPr>
            <w:tcW w:w="5842" w:type="dxa"/>
          </w:tcPr>
          <w:p>
            <w:pPr>
              <w:pStyle w:val="yTable"/>
              <w:ind w:left="84"/>
            </w:pPr>
            <w:r>
              <w:t>Repeal the Part.</w:t>
            </w:r>
          </w:p>
        </w:tc>
      </w:tr>
      <w:tr>
        <w:tc>
          <w:tcPr>
            <w:tcW w:w="1246" w:type="dxa"/>
          </w:tcPr>
          <w:p>
            <w:pPr>
              <w:pStyle w:val="yTable"/>
            </w:pPr>
            <w:r>
              <w:t>Part VII</w:t>
            </w:r>
          </w:p>
        </w:tc>
        <w:tc>
          <w:tcPr>
            <w:tcW w:w="5842" w:type="dxa"/>
          </w:tcPr>
          <w:p>
            <w:pPr>
              <w:pStyle w:val="yTable"/>
              <w:ind w:left="84"/>
            </w:pPr>
            <w:r>
              <w:t>In the Part heading delete “WRECKS, OBSTRUCTIONS AND”.</w:t>
            </w:r>
          </w:p>
        </w:tc>
      </w:tr>
      <w:tr>
        <w:tc>
          <w:tcPr>
            <w:tcW w:w="1246" w:type="dxa"/>
          </w:tcPr>
          <w:p>
            <w:pPr>
              <w:pStyle w:val="yTable"/>
            </w:pPr>
            <w:r>
              <w:t xml:space="preserve">s. 44 </w:t>
            </w:r>
          </w:p>
        </w:tc>
        <w:tc>
          <w:tcPr>
            <w:tcW w:w="5842" w:type="dxa"/>
          </w:tcPr>
          <w:p>
            <w:pPr>
              <w:pStyle w:val="yTable"/>
              <w:ind w:left="84"/>
            </w:pPr>
            <w:r>
              <w:t>Repeal the section.</w:t>
            </w:r>
          </w:p>
        </w:tc>
      </w:tr>
      <w:tr>
        <w:tc>
          <w:tcPr>
            <w:tcW w:w="1246" w:type="dxa"/>
          </w:tcPr>
          <w:p>
            <w:pPr>
              <w:pStyle w:val="yTable"/>
            </w:pPr>
            <w:r>
              <w:t xml:space="preserve">s. 45 </w:t>
            </w:r>
          </w:p>
        </w:tc>
        <w:tc>
          <w:tcPr>
            <w:tcW w:w="5842" w:type="dxa"/>
          </w:tcPr>
          <w:p>
            <w:pPr>
              <w:pStyle w:val="yTable"/>
              <w:ind w:left="84"/>
            </w:pPr>
            <w:r>
              <w:t>Repeal the section.</w:t>
            </w:r>
          </w:p>
        </w:tc>
      </w:tr>
      <w:tr>
        <w:tc>
          <w:tcPr>
            <w:tcW w:w="1246" w:type="dxa"/>
          </w:tcPr>
          <w:p>
            <w:pPr>
              <w:pStyle w:val="yTable"/>
            </w:pPr>
            <w:r>
              <w:t>s. 48 (1)</w:t>
            </w:r>
          </w:p>
        </w:tc>
        <w:tc>
          <w:tcPr>
            <w:tcW w:w="5842" w:type="dxa"/>
          </w:tcPr>
          <w:p>
            <w:pPr>
              <w:pStyle w:val="yTable"/>
              <w:ind w:left="84"/>
            </w:pPr>
            <w:r>
              <w:t>In paragraph (a) delete “and service”.</w:t>
            </w:r>
          </w:p>
        </w:tc>
      </w:tr>
      <w:tr>
        <w:tc>
          <w:tcPr>
            <w:tcW w:w="1246" w:type="dxa"/>
          </w:tcPr>
          <w:p>
            <w:pPr>
              <w:pStyle w:val="yTable"/>
            </w:pPr>
          </w:p>
        </w:tc>
        <w:tc>
          <w:tcPr>
            <w:tcW w:w="5842" w:type="dxa"/>
          </w:tcPr>
          <w:p>
            <w:pPr>
              <w:pStyle w:val="yTable"/>
              <w:ind w:left="84"/>
            </w:pPr>
            <w:r>
              <w:t>After paragraph (a) insert the following — </w:t>
            </w:r>
          </w:p>
          <w:p>
            <w:pPr>
              <w:pStyle w:val="yTable"/>
              <w:ind w:left="84"/>
            </w:pPr>
            <w:r>
              <w:t>“</w:t>
            </w:r>
            <w:r>
              <w:t> </w:t>
            </w:r>
            <w:r>
              <w:t> </w:t>
            </w:r>
            <w:r>
              <w:t>and</w:t>
            </w:r>
            <w:r>
              <w:t> </w:t>
            </w:r>
            <w:r>
              <w:t> </w:t>
            </w:r>
            <w:r>
              <w:t>”.</w:t>
            </w:r>
          </w:p>
        </w:tc>
      </w:tr>
      <w:tr>
        <w:tc>
          <w:tcPr>
            <w:tcW w:w="1246" w:type="dxa"/>
          </w:tcPr>
          <w:p>
            <w:pPr>
              <w:pStyle w:val="yTable"/>
            </w:pPr>
          </w:p>
        </w:tc>
        <w:tc>
          <w:tcPr>
            <w:tcW w:w="5842" w:type="dxa"/>
          </w:tcPr>
          <w:p>
            <w:pPr>
              <w:pStyle w:val="yTable"/>
              <w:ind w:left="84"/>
            </w:pPr>
            <w:r>
              <w:t>Delete “; and” after paragraph (b) and substitute a fullstop.</w:t>
            </w:r>
          </w:p>
        </w:tc>
      </w:tr>
      <w:tr>
        <w:tc>
          <w:tcPr>
            <w:tcW w:w="1246" w:type="dxa"/>
          </w:tcPr>
          <w:p>
            <w:pPr>
              <w:pStyle w:val="yTable"/>
            </w:pPr>
          </w:p>
        </w:tc>
        <w:tc>
          <w:tcPr>
            <w:tcW w:w="5842" w:type="dxa"/>
          </w:tcPr>
          <w:p>
            <w:pPr>
              <w:pStyle w:val="yTable"/>
              <w:ind w:left="84"/>
            </w:pPr>
            <w:r>
              <w:t>Delete paragraph (c).</w:t>
            </w:r>
          </w:p>
        </w:tc>
      </w:tr>
      <w:tr>
        <w:tc>
          <w:tcPr>
            <w:tcW w:w="1246" w:type="dxa"/>
          </w:tcPr>
          <w:p>
            <w:pPr>
              <w:pStyle w:val="yTable"/>
            </w:pPr>
            <w:r>
              <w:t>s. 48 (5)</w:t>
            </w:r>
          </w:p>
        </w:tc>
        <w:tc>
          <w:tcPr>
            <w:tcW w:w="5842" w:type="dxa"/>
          </w:tcPr>
          <w:p>
            <w:pPr>
              <w:pStyle w:val="yTable"/>
              <w:ind w:left="84"/>
            </w:pPr>
            <w:r>
              <w:t>Repeal the subsection.</w:t>
            </w:r>
          </w:p>
        </w:tc>
      </w:tr>
      <w:tr>
        <w:tc>
          <w:tcPr>
            <w:tcW w:w="1246" w:type="dxa"/>
          </w:tcPr>
          <w:p>
            <w:pPr>
              <w:pStyle w:val="yTable"/>
            </w:pPr>
            <w:r>
              <w:t>s. 48 (7)</w:t>
            </w:r>
          </w:p>
        </w:tc>
        <w:tc>
          <w:tcPr>
            <w:tcW w:w="5842" w:type="dxa"/>
          </w:tcPr>
          <w:p>
            <w:pPr>
              <w:pStyle w:val="yTable"/>
              <w:ind w:left="84"/>
            </w:pPr>
            <w:r>
              <w:t>Repeal the subsection and substitute the following subsection — </w:t>
            </w:r>
          </w:p>
        </w:tc>
      </w:tr>
      <w:tr>
        <w:tc>
          <w:tcPr>
            <w:tcW w:w="1246" w:type="dxa"/>
          </w:tcPr>
          <w:p>
            <w:pPr>
              <w:pStyle w:val="yTable"/>
            </w:pPr>
          </w:p>
        </w:tc>
        <w:tc>
          <w:tcPr>
            <w:tcW w:w="5842" w:type="dxa"/>
          </w:tcPr>
          <w:p>
            <w:pPr>
              <w:pStyle w:val="yTable"/>
              <w:ind w:left="84"/>
            </w:pPr>
            <w:r>
              <w:t>“</w:t>
            </w:r>
          </w:p>
          <w:p>
            <w:pPr>
              <w:pStyle w:val="yTable"/>
              <w:tabs>
                <w:tab w:val="left" w:pos="455"/>
                <w:tab w:val="left" w:pos="1022"/>
              </w:tabs>
              <w:ind w:left="1022" w:hanging="938"/>
            </w:pPr>
            <w:r>
              <w:tab/>
              <w:t>(7)</w:t>
            </w:r>
            <w:r>
              <w:tab/>
              <w:t xml:space="preserve">Charges under Part 2 of the </w:t>
            </w:r>
            <w:r>
              <w:rPr>
                <w:i/>
              </w:rPr>
              <w:t>Ports (Functions) Act 1993</w:t>
            </w:r>
            <w:r>
              <w:t xml:space="preserve"> for services provided by the Port Authority and for pilotage services shall each be separately charged.</w:t>
            </w:r>
          </w:p>
          <w:p>
            <w:pPr>
              <w:pStyle w:val="yTable"/>
              <w:ind w:left="84"/>
              <w:jc w:val="right"/>
            </w:pPr>
            <w:r>
              <w:t>”.</w:t>
            </w:r>
          </w:p>
        </w:tc>
      </w:tr>
      <w:tr>
        <w:tc>
          <w:tcPr>
            <w:tcW w:w="1246" w:type="dxa"/>
          </w:tcPr>
          <w:p>
            <w:pPr>
              <w:pStyle w:val="yTable"/>
            </w:pPr>
            <w:r>
              <w:t>s. 62</w:t>
            </w:r>
          </w:p>
        </w:tc>
        <w:tc>
          <w:tcPr>
            <w:tcW w:w="5842" w:type="dxa"/>
          </w:tcPr>
          <w:p>
            <w:pPr>
              <w:pStyle w:val="yTable"/>
              <w:ind w:left="84"/>
            </w:pPr>
            <w:r>
              <w:t>Repeal the section.</w:t>
            </w:r>
          </w:p>
        </w:tc>
      </w:tr>
      <w:tr>
        <w:tc>
          <w:tcPr>
            <w:tcW w:w="1246" w:type="dxa"/>
          </w:tcPr>
          <w:p>
            <w:pPr>
              <w:pStyle w:val="yTable"/>
            </w:pPr>
            <w:r>
              <w:t>s. 67</w:t>
            </w:r>
          </w:p>
        </w:tc>
        <w:tc>
          <w:tcPr>
            <w:tcW w:w="5842" w:type="dxa"/>
          </w:tcPr>
          <w:p>
            <w:pPr>
              <w:pStyle w:val="yTable"/>
              <w:ind w:left="84"/>
            </w:pPr>
            <w:r>
              <w:t>Insert after the section designation “</w:t>
            </w:r>
            <w:r>
              <w:rPr>
                <w:b/>
              </w:rPr>
              <w:t>67.</w:t>
            </w:r>
            <w:r>
              <w:t>” the subsection designation “(1)”.</w:t>
            </w:r>
          </w:p>
        </w:tc>
      </w:tr>
      <w:tr>
        <w:tc>
          <w:tcPr>
            <w:tcW w:w="1246" w:type="dxa"/>
          </w:tcPr>
          <w:p>
            <w:pPr>
              <w:pStyle w:val="yTable"/>
            </w:pPr>
          </w:p>
        </w:tc>
        <w:tc>
          <w:tcPr>
            <w:tcW w:w="5842" w:type="dxa"/>
          </w:tcPr>
          <w:p>
            <w:pPr>
              <w:pStyle w:val="yTable"/>
              <w:ind w:left="84"/>
            </w:pPr>
            <w:r>
              <w:t>Insert the following subsection — </w:t>
            </w:r>
          </w:p>
        </w:tc>
      </w:tr>
      <w:tr>
        <w:tc>
          <w:tcPr>
            <w:tcW w:w="1246" w:type="dxa"/>
          </w:tcPr>
          <w:p>
            <w:pPr>
              <w:pStyle w:val="yTable"/>
            </w:pPr>
          </w:p>
        </w:tc>
        <w:tc>
          <w:tcPr>
            <w:tcW w:w="5842" w:type="dxa"/>
          </w:tcPr>
          <w:p>
            <w:pPr>
              <w:pStyle w:val="yTable"/>
              <w:ind w:left="84"/>
            </w:pPr>
            <w:r>
              <w:t>“</w:t>
            </w:r>
          </w:p>
          <w:p>
            <w:pPr>
              <w:pStyle w:val="yTable"/>
              <w:tabs>
                <w:tab w:val="left" w:pos="455"/>
                <w:tab w:val="left" w:pos="1022"/>
              </w:tabs>
              <w:ind w:left="1022" w:hanging="938"/>
            </w:pPr>
            <w:r>
              <w:tab/>
              <w:t>(2)</w:t>
            </w:r>
            <w:r>
              <w:tab/>
              <w:t>Such moneys as are paid to the Port authority under an agreement under subsection (1) shall be applied only to the purposes specified in the agreement.</w:t>
            </w:r>
          </w:p>
          <w:p>
            <w:pPr>
              <w:pStyle w:val="yTable"/>
              <w:ind w:left="84"/>
              <w:jc w:val="right"/>
            </w:pPr>
            <w:r>
              <w:t>”.</w:t>
            </w:r>
          </w:p>
        </w:tc>
      </w:tr>
      <w:tr>
        <w:tc>
          <w:tcPr>
            <w:tcW w:w="1246" w:type="dxa"/>
          </w:tcPr>
          <w:p>
            <w:pPr>
              <w:pStyle w:val="yTable"/>
            </w:pPr>
            <w:r>
              <w:t xml:space="preserve">Part X </w:t>
            </w:r>
          </w:p>
        </w:tc>
        <w:tc>
          <w:tcPr>
            <w:tcW w:w="5842" w:type="dxa"/>
          </w:tcPr>
          <w:p>
            <w:pPr>
              <w:pStyle w:val="yTable"/>
              <w:ind w:left="84"/>
            </w:pPr>
            <w:r>
              <w:t>Repeal the Part.</w:t>
            </w:r>
          </w:p>
        </w:tc>
      </w:tr>
      <w:tr>
        <w:tc>
          <w:tcPr>
            <w:tcW w:w="1246" w:type="dxa"/>
          </w:tcPr>
          <w:p>
            <w:pPr>
              <w:pStyle w:val="yTable"/>
            </w:pPr>
            <w:r>
              <w:t xml:space="preserve">s. 89 </w:t>
            </w:r>
          </w:p>
        </w:tc>
        <w:tc>
          <w:tcPr>
            <w:tcW w:w="5842" w:type="dxa"/>
          </w:tcPr>
          <w:p>
            <w:pPr>
              <w:pStyle w:val="yTable"/>
              <w:ind w:left="84"/>
            </w:pPr>
            <w:r>
              <w:t>Repeal the section.</w:t>
            </w:r>
          </w:p>
        </w:tc>
      </w:tr>
      <w:tr>
        <w:tc>
          <w:tcPr>
            <w:tcW w:w="1246" w:type="dxa"/>
          </w:tcPr>
          <w:p>
            <w:pPr>
              <w:pStyle w:val="yTable"/>
            </w:pPr>
            <w:r>
              <w:t xml:space="preserve">s. 102 </w:t>
            </w:r>
          </w:p>
        </w:tc>
        <w:tc>
          <w:tcPr>
            <w:tcW w:w="5842" w:type="dxa"/>
          </w:tcPr>
          <w:p>
            <w:pPr>
              <w:pStyle w:val="yTable"/>
              <w:ind w:left="84"/>
            </w:pPr>
            <w:r>
              <w:t>Repeal the section.</w:t>
            </w:r>
          </w:p>
        </w:tc>
      </w:tr>
      <w:tr>
        <w:tc>
          <w:tcPr>
            <w:tcW w:w="1246" w:type="dxa"/>
          </w:tcPr>
          <w:p>
            <w:pPr>
              <w:pStyle w:val="yTable"/>
            </w:pPr>
            <w:r>
              <w:t>Schedule III</w:t>
            </w:r>
          </w:p>
        </w:tc>
        <w:tc>
          <w:tcPr>
            <w:tcW w:w="5842" w:type="dxa"/>
          </w:tcPr>
          <w:p>
            <w:pPr>
              <w:pStyle w:val="yTable"/>
              <w:ind w:left="84"/>
            </w:pPr>
            <w:r>
              <w:t>Delete items 10, 14, 18, 30, 31, 32, 33, 34, 35, 44, 45, 46, 47, 48, 49, 50, 51, 52 and 54.</w:t>
            </w:r>
          </w:p>
        </w:tc>
      </w:tr>
      <w:tr>
        <w:tc>
          <w:tcPr>
            <w:tcW w:w="1246" w:type="dxa"/>
          </w:tcPr>
          <w:p>
            <w:pPr>
              <w:pStyle w:val="yTable"/>
            </w:pPr>
          </w:p>
        </w:tc>
        <w:tc>
          <w:tcPr>
            <w:tcW w:w="5842" w:type="dxa"/>
          </w:tcPr>
          <w:p>
            <w:pPr>
              <w:pStyle w:val="yTable"/>
              <w:ind w:left="84"/>
            </w:pPr>
            <w:r>
              <w:t>In item 11, delete “items 9 and 10” and substitute the following — </w:t>
            </w:r>
          </w:p>
        </w:tc>
      </w:tr>
      <w:tr>
        <w:tc>
          <w:tcPr>
            <w:tcW w:w="1246" w:type="dxa"/>
          </w:tcPr>
          <w:p>
            <w:pPr>
              <w:pStyle w:val="yTable"/>
            </w:pPr>
          </w:p>
        </w:tc>
        <w:tc>
          <w:tcPr>
            <w:tcW w:w="5842" w:type="dxa"/>
          </w:tcPr>
          <w:p>
            <w:pPr>
              <w:pStyle w:val="yTable"/>
              <w:ind w:left="84"/>
            </w:pPr>
            <w:r>
              <w:t>“</w:t>
            </w:r>
            <w:r>
              <w:t> </w:t>
            </w:r>
            <w:r>
              <w:t> </w:t>
            </w:r>
            <w:r>
              <w:t>item 9</w:t>
            </w:r>
            <w:r>
              <w:t> </w:t>
            </w:r>
            <w:r>
              <w:t> </w:t>
            </w:r>
            <w:r>
              <w:t>”.</w:t>
            </w:r>
          </w:p>
        </w:tc>
      </w:tr>
    </w:tbl>
    <w:p>
      <w:pPr>
        <w:pStyle w:val="yHeading2"/>
        <w:spacing w:after="160"/>
        <w:outlineLvl w:val="0"/>
      </w:pPr>
      <w:r>
        <w:t>PART 4 — </w:t>
      </w:r>
      <w:r>
        <w:rPr>
          <w:i/>
        </w:rPr>
        <w:t>ESPERANCE PORT AUTHORITY ACT 1968</w:t>
      </w:r>
      <w:r>
        <w:t>*</w:t>
      </w:r>
    </w:p>
    <w:tbl>
      <w:tblPr>
        <w:tblW w:w="0" w:type="auto"/>
        <w:tblInd w:w="8" w:type="dxa"/>
        <w:tblLayout w:type="fixed"/>
        <w:tblCellMar>
          <w:left w:w="0" w:type="dxa"/>
          <w:right w:w="0" w:type="dxa"/>
        </w:tblCellMar>
        <w:tblLook w:val="0000" w:firstRow="0" w:lastRow="0" w:firstColumn="0" w:lastColumn="0" w:noHBand="0" w:noVBand="0"/>
      </w:tblPr>
      <w:tblGrid>
        <w:gridCol w:w="1246"/>
        <w:gridCol w:w="5842"/>
      </w:tblGrid>
      <w:tr>
        <w:tc>
          <w:tcPr>
            <w:tcW w:w="1246" w:type="dxa"/>
          </w:tcPr>
          <w:p>
            <w:pPr>
              <w:pStyle w:val="yTable"/>
            </w:pPr>
            <w:r>
              <w:t>s. 3</w:t>
            </w:r>
          </w:p>
        </w:tc>
        <w:tc>
          <w:tcPr>
            <w:tcW w:w="5842" w:type="dxa"/>
          </w:tcPr>
          <w:p>
            <w:pPr>
              <w:pStyle w:val="yTable"/>
              <w:ind w:left="126"/>
            </w:pPr>
            <w:r>
              <w:t>Repeal the section.</w:t>
            </w:r>
          </w:p>
        </w:tc>
      </w:tr>
      <w:tr>
        <w:tc>
          <w:tcPr>
            <w:tcW w:w="1246" w:type="dxa"/>
          </w:tcPr>
          <w:p>
            <w:pPr>
              <w:pStyle w:val="yTable"/>
            </w:pPr>
            <w:r>
              <w:t xml:space="preserve">s. 5 </w:t>
            </w:r>
          </w:p>
        </w:tc>
        <w:tc>
          <w:tcPr>
            <w:tcW w:w="5842" w:type="dxa"/>
          </w:tcPr>
          <w:p>
            <w:pPr>
              <w:pStyle w:val="yTable"/>
              <w:ind w:left="126"/>
            </w:pPr>
            <w:r>
              <w:t>Delete the definition of “berthing master”.</w:t>
            </w:r>
          </w:p>
        </w:tc>
      </w:tr>
      <w:tr>
        <w:tc>
          <w:tcPr>
            <w:tcW w:w="1246" w:type="dxa"/>
          </w:tcPr>
          <w:p>
            <w:pPr>
              <w:pStyle w:val="yTable"/>
            </w:pPr>
          </w:p>
        </w:tc>
        <w:tc>
          <w:tcPr>
            <w:tcW w:w="5842" w:type="dxa"/>
          </w:tcPr>
          <w:p>
            <w:pPr>
              <w:pStyle w:val="yTable"/>
              <w:ind w:left="126"/>
            </w:pPr>
            <w:r>
              <w:t>Delete the definition of “harbour master”.</w:t>
            </w:r>
          </w:p>
        </w:tc>
      </w:tr>
      <w:tr>
        <w:tc>
          <w:tcPr>
            <w:tcW w:w="1246" w:type="dxa"/>
          </w:tcPr>
          <w:p>
            <w:pPr>
              <w:pStyle w:val="yTable"/>
            </w:pPr>
          </w:p>
        </w:tc>
        <w:tc>
          <w:tcPr>
            <w:tcW w:w="5842" w:type="dxa"/>
          </w:tcPr>
          <w:p>
            <w:pPr>
              <w:pStyle w:val="yTable"/>
              <w:ind w:left="126"/>
            </w:pPr>
            <w:r>
              <w:t>In the definition of “the Account”, delete “kept at the Treasury pursuant to” and substitute the following — </w:t>
            </w:r>
          </w:p>
        </w:tc>
      </w:tr>
      <w:tr>
        <w:tc>
          <w:tcPr>
            <w:tcW w:w="1246" w:type="dxa"/>
          </w:tcPr>
          <w:p>
            <w:pPr>
              <w:pStyle w:val="yTable"/>
            </w:pPr>
          </w:p>
        </w:tc>
        <w:tc>
          <w:tcPr>
            <w:tcW w:w="5842" w:type="dxa"/>
          </w:tcPr>
          <w:p>
            <w:pPr>
              <w:pStyle w:val="yTable"/>
              <w:ind w:left="126"/>
            </w:pPr>
            <w:r>
              <w:t>“</w:t>
            </w:r>
            <w:r>
              <w:t> </w:t>
            </w:r>
            <w:r>
              <w:t> </w:t>
            </w:r>
            <w:r>
              <w:t>referred to in</w:t>
            </w:r>
            <w:r>
              <w:t> </w:t>
            </w:r>
            <w:r>
              <w:t> </w:t>
            </w:r>
            <w:r>
              <w:t>”.</w:t>
            </w:r>
          </w:p>
        </w:tc>
      </w:tr>
      <w:tr>
        <w:tc>
          <w:tcPr>
            <w:tcW w:w="1246" w:type="dxa"/>
          </w:tcPr>
          <w:p>
            <w:pPr>
              <w:pStyle w:val="yTable"/>
            </w:pPr>
            <w:r>
              <w:t>s. 11</w:t>
            </w:r>
          </w:p>
        </w:tc>
        <w:tc>
          <w:tcPr>
            <w:tcW w:w="5842" w:type="dxa"/>
          </w:tcPr>
          <w:p>
            <w:pPr>
              <w:pStyle w:val="yTable"/>
              <w:ind w:left="126"/>
            </w:pPr>
            <w:r>
              <w:t>Repeal the section.</w:t>
            </w:r>
          </w:p>
        </w:tc>
      </w:tr>
      <w:tr>
        <w:tc>
          <w:tcPr>
            <w:tcW w:w="1246" w:type="dxa"/>
          </w:tcPr>
          <w:p>
            <w:pPr>
              <w:pStyle w:val="yTable"/>
            </w:pPr>
            <w:r>
              <w:t>s. 12 (c)</w:t>
            </w:r>
          </w:p>
        </w:tc>
        <w:tc>
          <w:tcPr>
            <w:tcW w:w="5842" w:type="dxa"/>
          </w:tcPr>
          <w:p>
            <w:pPr>
              <w:pStyle w:val="yTable"/>
              <w:ind w:left="126"/>
            </w:pPr>
            <w:r>
              <w:t>Before “is absent” insert the following — </w:t>
            </w:r>
          </w:p>
        </w:tc>
      </w:tr>
      <w:tr>
        <w:tc>
          <w:tcPr>
            <w:tcW w:w="1246" w:type="dxa"/>
          </w:tcPr>
          <w:p>
            <w:pPr>
              <w:pStyle w:val="yTable"/>
            </w:pPr>
          </w:p>
        </w:tc>
        <w:tc>
          <w:tcPr>
            <w:tcW w:w="5842" w:type="dxa"/>
          </w:tcPr>
          <w:p>
            <w:pPr>
              <w:pStyle w:val="yTable"/>
              <w:ind w:left="126"/>
            </w:pPr>
            <w:r>
              <w:t>“</w:t>
            </w:r>
            <w:r>
              <w:t> </w:t>
            </w:r>
            <w:r>
              <w:t> </w:t>
            </w:r>
            <w:r>
              <w:t>if he</w:t>
            </w:r>
            <w:r>
              <w:t> </w:t>
            </w:r>
            <w:r>
              <w:t> </w:t>
            </w:r>
            <w:r>
              <w:t>”.</w:t>
            </w:r>
          </w:p>
        </w:tc>
      </w:tr>
      <w:tr>
        <w:tc>
          <w:tcPr>
            <w:tcW w:w="1246" w:type="dxa"/>
          </w:tcPr>
          <w:p>
            <w:pPr>
              <w:pStyle w:val="yTable"/>
            </w:pPr>
            <w:r>
              <w:t>s. 12 (d)</w:t>
            </w:r>
          </w:p>
        </w:tc>
        <w:tc>
          <w:tcPr>
            <w:tcW w:w="5842" w:type="dxa"/>
          </w:tcPr>
          <w:p>
            <w:pPr>
              <w:pStyle w:val="yTable"/>
              <w:ind w:left="126"/>
            </w:pPr>
            <w:r>
              <w:t>Delete the paragraph and substitute the following paragraph — </w:t>
            </w:r>
          </w:p>
        </w:tc>
      </w:tr>
      <w:tr>
        <w:tc>
          <w:tcPr>
            <w:tcW w:w="1246" w:type="dxa"/>
          </w:tcPr>
          <w:p>
            <w:pPr>
              <w:pStyle w:val="yTable"/>
            </w:pPr>
          </w:p>
        </w:tc>
        <w:tc>
          <w:tcPr>
            <w:tcW w:w="5842" w:type="dxa"/>
          </w:tcPr>
          <w:p>
            <w:pPr>
              <w:pStyle w:val="yTable"/>
              <w:ind w:left="126"/>
            </w:pPr>
            <w:r>
              <w:t>“</w:t>
            </w:r>
          </w:p>
          <w:p>
            <w:pPr>
              <w:pStyle w:val="yTable"/>
              <w:tabs>
                <w:tab w:val="left" w:pos="739"/>
                <w:tab w:val="left" w:pos="1306"/>
              </w:tabs>
              <w:ind w:left="1306" w:hanging="1180"/>
            </w:pPr>
            <w:r>
              <w:tab/>
              <w:t>(d)</w:t>
            </w:r>
            <w:r>
              <w:tab/>
              <w:t xml:space="preserve">if he fails to comply with section 10 of the </w:t>
            </w:r>
            <w:r>
              <w:rPr>
                <w:i/>
              </w:rPr>
              <w:t>Ports (Functions) Act 1993</w:t>
            </w:r>
            <w:r>
              <w:t>.</w:t>
            </w:r>
          </w:p>
          <w:p>
            <w:pPr>
              <w:pStyle w:val="yTable"/>
              <w:ind w:left="126"/>
              <w:jc w:val="right"/>
            </w:pPr>
            <w:r>
              <w:t>”.</w:t>
            </w:r>
          </w:p>
        </w:tc>
      </w:tr>
      <w:tr>
        <w:tc>
          <w:tcPr>
            <w:tcW w:w="1246" w:type="dxa"/>
          </w:tcPr>
          <w:p>
            <w:pPr>
              <w:pStyle w:val="yTable"/>
            </w:pPr>
            <w:r>
              <w:t>s. 18 (1)</w:t>
            </w:r>
          </w:p>
        </w:tc>
        <w:tc>
          <w:tcPr>
            <w:tcW w:w="5842" w:type="dxa"/>
          </w:tcPr>
          <w:p>
            <w:pPr>
              <w:pStyle w:val="yTable"/>
              <w:ind w:left="126"/>
            </w:pPr>
            <w:r>
              <w:t>Delete “, berthing master (who shall be the person appointed as harbour master of the port), and wharf manager”.</w:t>
            </w:r>
          </w:p>
        </w:tc>
      </w:tr>
      <w:tr>
        <w:tc>
          <w:tcPr>
            <w:tcW w:w="1246" w:type="dxa"/>
          </w:tcPr>
          <w:p>
            <w:pPr>
              <w:pStyle w:val="yTable"/>
            </w:pPr>
          </w:p>
        </w:tc>
        <w:tc>
          <w:tcPr>
            <w:tcW w:w="5842" w:type="dxa"/>
          </w:tcPr>
          <w:p>
            <w:pPr>
              <w:pStyle w:val="yTable"/>
              <w:ind w:left="126"/>
            </w:pPr>
            <w:r>
              <w:t>Delete “, berthing master or wharf manager”.</w:t>
            </w:r>
          </w:p>
        </w:tc>
      </w:tr>
      <w:tr>
        <w:tc>
          <w:tcPr>
            <w:tcW w:w="1246" w:type="dxa"/>
          </w:tcPr>
          <w:p>
            <w:pPr>
              <w:pStyle w:val="yTable"/>
            </w:pPr>
            <w:r>
              <w:t>s. 18 (4)</w:t>
            </w:r>
          </w:p>
        </w:tc>
        <w:tc>
          <w:tcPr>
            <w:tcW w:w="5842" w:type="dxa"/>
          </w:tcPr>
          <w:p>
            <w:pPr>
              <w:pStyle w:val="yTable"/>
              <w:ind w:left="126"/>
            </w:pPr>
            <w:r>
              <w:t>Delete “berthing master or wharf manager,”.</w:t>
            </w:r>
          </w:p>
        </w:tc>
      </w:tr>
      <w:tr>
        <w:tc>
          <w:tcPr>
            <w:tcW w:w="1246" w:type="dxa"/>
          </w:tcPr>
          <w:p>
            <w:pPr>
              <w:pStyle w:val="yTable"/>
            </w:pPr>
            <w:r>
              <w:t>s. 23</w:t>
            </w:r>
          </w:p>
        </w:tc>
        <w:tc>
          <w:tcPr>
            <w:tcW w:w="5842" w:type="dxa"/>
          </w:tcPr>
          <w:p>
            <w:pPr>
              <w:pStyle w:val="yTable"/>
              <w:ind w:left="126"/>
            </w:pPr>
            <w:r>
              <w:t>Delete “section 30A,” and substitute the following — </w:t>
            </w:r>
          </w:p>
        </w:tc>
      </w:tr>
      <w:tr>
        <w:tc>
          <w:tcPr>
            <w:tcW w:w="1246" w:type="dxa"/>
          </w:tcPr>
          <w:p>
            <w:pPr>
              <w:pStyle w:val="yTable"/>
            </w:pPr>
          </w:p>
        </w:tc>
        <w:tc>
          <w:tcPr>
            <w:tcW w:w="5842" w:type="dxa"/>
          </w:tcPr>
          <w:p>
            <w:pPr>
              <w:pStyle w:val="yTable"/>
              <w:ind w:left="126"/>
            </w:pPr>
            <w:r>
              <w:t>“</w:t>
            </w:r>
            <w:r>
              <w:t> </w:t>
            </w:r>
            <w:r>
              <w:t> </w:t>
            </w:r>
            <w:r>
              <w:t xml:space="preserve">section 6 of the </w:t>
            </w:r>
            <w:r>
              <w:rPr>
                <w:i/>
              </w:rPr>
              <w:t>Ports (Functions) Act 1993</w:t>
            </w:r>
            <w:r>
              <w:t>,</w:t>
            </w:r>
            <w:r>
              <w:t> </w:t>
            </w:r>
            <w:r>
              <w:t> </w:t>
            </w:r>
            <w:r>
              <w:t>”.</w:t>
            </w:r>
          </w:p>
        </w:tc>
      </w:tr>
      <w:tr>
        <w:tc>
          <w:tcPr>
            <w:tcW w:w="1246" w:type="dxa"/>
          </w:tcPr>
          <w:p>
            <w:pPr>
              <w:pStyle w:val="yTable"/>
            </w:pPr>
            <w:r>
              <w:t>s. 25</w:t>
            </w:r>
          </w:p>
        </w:tc>
        <w:tc>
          <w:tcPr>
            <w:tcW w:w="5842" w:type="dxa"/>
          </w:tcPr>
          <w:p>
            <w:pPr>
              <w:pStyle w:val="yTable"/>
              <w:ind w:left="126"/>
            </w:pPr>
            <w:r>
              <w:t>Repeal the section.</w:t>
            </w:r>
          </w:p>
        </w:tc>
      </w:tr>
      <w:tr>
        <w:tc>
          <w:tcPr>
            <w:tcW w:w="1246" w:type="dxa"/>
          </w:tcPr>
          <w:p>
            <w:pPr>
              <w:pStyle w:val="yTable"/>
            </w:pPr>
            <w:r>
              <w:t>s. 26</w:t>
            </w:r>
          </w:p>
        </w:tc>
        <w:tc>
          <w:tcPr>
            <w:tcW w:w="5842" w:type="dxa"/>
          </w:tcPr>
          <w:p>
            <w:pPr>
              <w:pStyle w:val="yTable"/>
              <w:ind w:left="126"/>
            </w:pPr>
            <w:r>
              <w:t>Repeal the section.</w:t>
            </w:r>
          </w:p>
        </w:tc>
      </w:tr>
      <w:tr>
        <w:tc>
          <w:tcPr>
            <w:tcW w:w="1246" w:type="dxa"/>
          </w:tcPr>
          <w:p>
            <w:pPr>
              <w:pStyle w:val="yTable"/>
            </w:pPr>
            <w:r>
              <w:t>s. 27</w:t>
            </w:r>
          </w:p>
        </w:tc>
        <w:tc>
          <w:tcPr>
            <w:tcW w:w="5842" w:type="dxa"/>
          </w:tcPr>
          <w:p>
            <w:pPr>
              <w:pStyle w:val="yTable"/>
              <w:ind w:left="126"/>
            </w:pPr>
            <w:r>
              <w:t>Repeal the section.</w:t>
            </w:r>
          </w:p>
        </w:tc>
      </w:tr>
      <w:tr>
        <w:tc>
          <w:tcPr>
            <w:tcW w:w="1246" w:type="dxa"/>
          </w:tcPr>
          <w:p>
            <w:pPr>
              <w:pStyle w:val="yTable"/>
            </w:pPr>
            <w:r>
              <w:t>s. 30A</w:t>
            </w:r>
          </w:p>
        </w:tc>
        <w:tc>
          <w:tcPr>
            <w:tcW w:w="5842" w:type="dxa"/>
          </w:tcPr>
          <w:p>
            <w:pPr>
              <w:pStyle w:val="yTable"/>
              <w:ind w:left="126"/>
            </w:pPr>
            <w:r>
              <w:t>Repeal the section.</w:t>
            </w:r>
          </w:p>
        </w:tc>
      </w:tr>
      <w:tr>
        <w:tc>
          <w:tcPr>
            <w:tcW w:w="1246" w:type="dxa"/>
          </w:tcPr>
          <w:p>
            <w:pPr>
              <w:pStyle w:val="yTable"/>
            </w:pPr>
            <w:r>
              <w:t>Part III</w:t>
            </w:r>
          </w:p>
        </w:tc>
        <w:tc>
          <w:tcPr>
            <w:tcW w:w="5842" w:type="dxa"/>
          </w:tcPr>
          <w:p>
            <w:pPr>
              <w:pStyle w:val="yTable"/>
              <w:ind w:left="126"/>
            </w:pPr>
            <w:r>
              <w:t>Repeal the Part.</w:t>
            </w:r>
          </w:p>
        </w:tc>
      </w:tr>
      <w:tr>
        <w:tc>
          <w:tcPr>
            <w:tcW w:w="1246" w:type="dxa"/>
          </w:tcPr>
          <w:p>
            <w:pPr>
              <w:pStyle w:val="yTable"/>
            </w:pPr>
            <w:r>
              <w:t xml:space="preserve">Part V </w:t>
            </w:r>
          </w:p>
        </w:tc>
        <w:tc>
          <w:tcPr>
            <w:tcW w:w="5842" w:type="dxa"/>
          </w:tcPr>
          <w:p>
            <w:pPr>
              <w:pStyle w:val="yTable"/>
              <w:ind w:left="126"/>
            </w:pPr>
            <w:r>
              <w:t>In the Part heading delete “WRECKS, OBSTRUCTIONS, AND”.</w:t>
            </w:r>
          </w:p>
        </w:tc>
      </w:tr>
      <w:tr>
        <w:tc>
          <w:tcPr>
            <w:tcW w:w="1246" w:type="dxa"/>
          </w:tcPr>
          <w:p>
            <w:pPr>
              <w:pStyle w:val="yTable"/>
            </w:pPr>
            <w:r>
              <w:t xml:space="preserve">s. 34 </w:t>
            </w:r>
          </w:p>
        </w:tc>
        <w:tc>
          <w:tcPr>
            <w:tcW w:w="5842" w:type="dxa"/>
          </w:tcPr>
          <w:p>
            <w:pPr>
              <w:pStyle w:val="yTable"/>
              <w:ind w:left="126"/>
            </w:pPr>
            <w:r>
              <w:t>Repeal the section.</w:t>
            </w:r>
          </w:p>
        </w:tc>
      </w:tr>
      <w:tr>
        <w:tc>
          <w:tcPr>
            <w:tcW w:w="1246" w:type="dxa"/>
          </w:tcPr>
          <w:p>
            <w:pPr>
              <w:pStyle w:val="yTable"/>
            </w:pPr>
            <w:r>
              <w:t>s. 37</w:t>
            </w:r>
          </w:p>
        </w:tc>
        <w:tc>
          <w:tcPr>
            <w:tcW w:w="5842" w:type="dxa"/>
          </w:tcPr>
          <w:p>
            <w:pPr>
              <w:pStyle w:val="yTable"/>
              <w:ind w:left="126"/>
            </w:pPr>
            <w:r>
              <w:t>Repeal the section.</w:t>
            </w:r>
          </w:p>
        </w:tc>
      </w:tr>
      <w:tr>
        <w:tc>
          <w:tcPr>
            <w:tcW w:w="1246" w:type="dxa"/>
          </w:tcPr>
          <w:p>
            <w:pPr>
              <w:pStyle w:val="yTable"/>
            </w:pPr>
            <w:r>
              <w:t>s. 61 (1)</w:t>
            </w:r>
          </w:p>
        </w:tc>
        <w:tc>
          <w:tcPr>
            <w:tcW w:w="5842" w:type="dxa"/>
          </w:tcPr>
          <w:p>
            <w:pPr>
              <w:pStyle w:val="yTable"/>
              <w:ind w:left="126"/>
            </w:pPr>
            <w:r>
              <w:t>Insert after “Port Authority” where it first occurs the following — </w:t>
            </w:r>
          </w:p>
          <w:p>
            <w:pPr>
              <w:pStyle w:val="yTable"/>
              <w:ind w:left="126"/>
            </w:pPr>
            <w:r>
              <w:t>“</w:t>
            </w:r>
          </w:p>
          <w:p>
            <w:pPr>
              <w:pStyle w:val="yTable"/>
              <w:ind w:left="126"/>
            </w:pPr>
            <w:r>
              <w:t>shall act in accordance with prudent commercial principles and</w:t>
            </w:r>
          </w:p>
          <w:p>
            <w:pPr>
              <w:pStyle w:val="yTable"/>
              <w:ind w:left="126"/>
              <w:jc w:val="right"/>
            </w:pPr>
            <w:r>
              <w:t>”.</w:t>
            </w:r>
          </w:p>
        </w:tc>
      </w:tr>
      <w:tr>
        <w:tc>
          <w:tcPr>
            <w:tcW w:w="1246" w:type="dxa"/>
          </w:tcPr>
          <w:p>
            <w:pPr>
              <w:pStyle w:val="yTable"/>
            </w:pPr>
            <w:r>
              <w:t>s. 61 (2)</w:t>
            </w:r>
          </w:p>
        </w:tc>
        <w:tc>
          <w:tcPr>
            <w:tcW w:w="5842" w:type="dxa"/>
          </w:tcPr>
          <w:p>
            <w:pPr>
              <w:pStyle w:val="yTable"/>
              <w:ind w:left="126"/>
            </w:pPr>
            <w:r>
              <w:t>Repeal the subsection.</w:t>
            </w:r>
          </w:p>
        </w:tc>
      </w:tr>
      <w:tr>
        <w:tc>
          <w:tcPr>
            <w:tcW w:w="1246" w:type="dxa"/>
          </w:tcPr>
          <w:p>
            <w:pPr>
              <w:pStyle w:val="yTable"/>
            </w:pPr>
            <w:r>
              <w:t>s. 63</w:t>
            </w:r>
          </w:p>
        </w:tc>
        <w:tc>
          <w:tcPr>
            <w:tcW w:w="5842" w:type="dxa"/>
          </w:tcPr>
          <w:p>
            <w:pPr>
              <w:pStyle w:val="yTable"/>
              <w:ind w:left="126"/>
            </w:pPr>
            <w:r>
              <w:t>Repeal the section.</w:t>
            </w:r>
          </w:p>
        </w:tc>
      </w:tr>
      <w:tr>
        <w:tc>
          <w:tcPr>
            <w:tcW w:w="1246" w:type="dxa"/>
          </w:tcPr>
          <w:p>
            <w:pPr>
              <w:pStyle w:val="yTable"/>
            </w:pPr>
            <w:r>
              <w:t xml:space="preserve">s. 71 </w:t>
            </w:r>
          </w:p>
        </w:tc>
        <w:tc>
          <w:tcPr>
            <w:tcW w:w="5842" w:type="dxa"/>
          </w:tcPr>
          <w:p>
            <w:pPr>
              <w:pStyle w:val="yTable"/>
              <w:ind w:left="126"/>
            </w:pPr>
            <w:r>
              <w:t>Repeal the section.</w:t>
            </w:r>
          </w:p>
        </w:tc>
      </w:tr>
      <w:tr>
        <w:tc>
          <w:tcPr>
            <w:tcW w:w="1246" w:type="dxa"/>
          </w:tcPr>
          <w:p>
            <w:pPr>
              <w:pStyle w:val="yTable"/>
            </w:pPr>
            <w:r>
              <w:t xml:space="preserve">s. 75 </w:t>
            </w:r>
          </w:p>
        </w:tc>
        <w:tc>
          <w:tcPr>
            <w:tcW w:w="5842" w:type="dxa"/>
          </w:tcPr>
          <w:p>
            <w:pPr>
              <w:pStyle w:val="yTable"/>
              <w:ind w:left="126"/>
            </w:pPr>
            <w:r>
              <w:t>Repeal the section.</w:t>
            </w:r>
          </w:p>
        </w:tc>
      </w:tr>
      <w:tr>
        <w:tc>
          <w:tcPr>
            <w:tcW w:w="1246" w:type="dxa"/>
          </w:tcPr>
          <w:p>
            <w:pPr>
              <w:pStyle w:val="yTable"/>
            </w:pPr>
            <w:r>
              <w:t xml:space="preserve">s. 82 </w:t>
            </w:r>
          </w:p>
        </w:tc>
        <w:tc>
          <w:tcPr>
            <w:tcW w:w="5842" w:type="dxa"/>
          </w:tcPr>
          <w:p>
            <w:pPr>
              <w:pStyle w:val="yTable"/>
              <w:ind w:left="126"/>
            </w:pPr>
            <w:r>
              <w:t>Delete “managing secretary to” and substitute the following — </w:t>
            </w:r>
          </w:p>
          <w:p>
            <w:pPr>
              <w:pStyle w:val="yTable"/>
              <w:ind w:left="126"/>
            </w:pPr>
            <w:r>
              <w:t>“</w:t>
            </w:r>
            <w:r>
              <w:t> </w:t>
            </w:r>
            <w:r>
              <w:t> </w:t>
            </w:r>
            <w:r>
              <w:t>general manager of</w:t>
            </w:r>
            <w:r>
              <w:t> </w:t>
            </w:r>
            <w:r>
              <w:t> </w:t>
            </w:r>
            <w:r>
              <w:t>”.</w:t>
            </w:r>
          </w:p>
        </w:tc>
      </w:tr>
      <w:tr>
        <w:tc>
          <w:tcPr>
            <w:tcW w:w="1246" w:type="dxa"/>
          </w:tcPr>
          <w:p>
            <w:pPr>
              <w:pStyle w:val="yTable"/>
            </w:pPr>
            <w:r>
              <w:t>s. 84 (2)</w:t>
            </w:r>
          </w:p>
        </w:tc>
        <w:tc>
          <w:tcPr>
            <w:tcW w:w="5842" w:type="dxa"/>
          </w:tcPr>
          <w:p>
            <w:pPr>
              <w:pStyle w:val="yTable"/>
              <w:ind w:left="126"/>
            </w:pPr>
            <w:r>
              <w:t>Delete paragraphs (i), (j) and (u).</w:t>
            </w:r>
          </w:p>
        </w:tc>
      </w:tr>
    </w:tbl>
    <w:p>
      <w:pPr>
        <w:pStyle w:val="yHeading2"/>
        <w:spacing w:after="160"/>
        <w:outlineLvl w:val="0"/>
      </w:pPr>
      <w:r>
        <w:t>PART 5 — </w:t>
      </w:r>
      <w:r>
        <w:rPr>
          <w:i/>
        </w:rPr>
        <w:t>FREMANTLE PORT AUTHORITY ACT 1902</w:t>
      </w:r>
      <w:r>
        <w:t>*</w:t>
      </w:r>
    </w:p>
    <w:tbl>
      <w:tblPr>
        <w:tblW w:w="0" w:type="auto"/>
        <w:tblInd w:w="8" w:type="dxa"/>
        <w:tblLayout w:type="fixed"/>
        <w:tblCellMar>
          <w:left w:w="0" w:type="dxa"/>
          <w:right w:w="0" w:type="dxa"/>
        </w:tblCellMar>
        <w:tblLook w:val="0000" w:firstRow="0" w:lastRow="0" w:firstColumn="0" w:lastColumn="0" w:noHBand="0" w:noVBand="0"/>
      </w:tblPr>
      <w:tblGrid>
        <w:gridCol w:w="1246"/>
        <w:gridCol w:w="5842"/>
      </w:tblGrid>
      <w:tr>
        <w:tc>
          <w:tcPr>
            <w:tcW w:w="1246" w:type="dxa"/>
          </w:tcPr>
          <w:p>
            <w:pPr>
              <w:pStyle w:val="yTable"/>
            </w:pPr>
            <w:r>
              <w:t xml:space="preserve">s. 2 </w:t>
            </w:r>
          </w:p>
        </w:tc>
        <w:tc>
          <w:tcPr>
            <w:tcW w:w="5842" w:type="dxa"/>
          </w:tcPr>
          <w:p>
            <w:pPr>
              <w:pStyle w:val="yTable"/>
              <w:ind w:left="98"/>
            </w:pPr>
            <w:r>
              <w:t>Delete the definition of “Harbour master”.</w:t>
            </w:r>
          </w:p>
        </w:tc>
      </w:tr>
      <w:tr>
        <w:tc>
          <w:tcPr>
            <w:tcW w:w="1246" w:type="dxa"/>
          </w:tcPr>
          <w:p>
            <w:pPr>
              <w:pStyle w:val="yTable"/>
            </w:pPr>
            <w:r>
              <w:t>s. 4 (2)</w:t>
            </w:r>
          </w:p>
        </w:tc>
        <w:tc>
          <w:tcPr>
            <w:tcW w:w="5842" w:type="dxa"/>
          </w:tcPr>
          <w:p>
            <w:pPr>
              <w:pStyle w:val="yTable"/>
              <w:ind w:left="98"/>
            </w:pPr>
            <w:r>
              <w:t>Repeal the subsection and substitute the following subsection — </w:t>
            </w:r>
          </w:p>
        </w:tc>
      </w:tr>
      <w:tr>
        <w:trPr>
          <w:cantSplit/>
          <w:trHeight w:val="3105"/>
        </w:trPr>
        <w:tc>
          <w:tcPr>
            <w:tcW w:w="1246" w:type="dxa"/>
            <w:tcBorders>
              <w:bottom w:val="nil"/>
            </w:tcBorders>
          </w:tcPr>
          <w:p>
            <w:pPr>
              <w:pStyle w:val="yTable"/>
            </w:pPr>
          </w:p>
        </w:tc>
        <w:tc>
          <w:tcPr>
            <w:tcW w:w="5842" w:type="dxa"/>
          </w:tcPr>
          <w:p>
            <w:pPr>
              <w:pStyle w:val="yTable"/>
              <w:ind w:left="98"/>
            </w:pPr>
            <w:r>
              <w:t>“</w:t>
            </w:r>
          </w:p>
          <w:p>
            <w:pPr>
              <w:pStyle w:val="yTable"/>
              <w:tabs>
                <w:tab w:val="left" w:pos="455"/>
                <w:tab w:val="left" w:pos="1022"/>
              </w:tabs>
              <w:ind w:left="1022" w:hanging="924"/>
            </w:pPr>
            <w:r>
              <w:tab/>
              <w:t>(2)</w:t>
            </w:r>
            <w:r>
              <w:tab/>
              <w:t>The Governor shall appoint — </w:t>
            </w:r>
          </w:p>
          <w:p>
            <w:pPr>
              <w:pStyle w:val="yTable"/>
              <w:tabs>
                <w:tab w:val="left" w:pos="1022"/>
                <w:tab w:val="left" w:pos="1589"/>
              </w:tabs>
              <w:ind w:left="1589" w:hanging="1491"/>
            </w:pPr>
            <w:r>
              <w:tab/>
              <w:t>(a)</w:t>
            </w:r>
            <w:r>
              <w:tab/>
              <w:t>one of the commissioners as chairman; and</w:t>
            </w:r>
          </w:p>
          <w:p>
            <w:pPr>
              <w:pStyle w:val="yTable"/>
              <w:tabs>
                <w:tab w:val="left" w:pos="1022"/>
                <w:tab w:val="left" w:pos="1589"/>
              </w:tabs>
              <w:ind w:left="1589" w:hanging="1491"/>
            </w:pPr>
            <w:r>
              <w:tab/>
              <w:t>(b)</w:t>
            </w:r>
            <w:r>
              <w:tab/>
              <w:t>another of the commissioners as deputy chairman,</w:t>
            </w:r>
          </w:p>
          <w:p>
            <w:pPr>
              <w:pStyle w:val="yTable"/>
              <w:tabs>
                <w:tab w:val="left" w:pos="455"/>
                <w:tab w:val="left" w:pos="1022"/>
              </w:tabs>
              <w:ind w:left="1022" w:hanging="924"/>
            </w:pPr>
            <w:r>
              <w:tab/>
            </w:r>
            <w:r>
              <w:tab/>
              <w:t>of the Port Authority for such period as is specified in the instrument of appointment, but the period shall not exceed the remainder of the period of office of the commissioner being appointed.</w:t>
            </w:r>
          </w:p>
          <w:p>
            <w:pPr>
              <w:pStyle w:val="yTable"/>
              <w:ind w:left="98"/>
              <w:jc w:val="right"/>
            </w:pPr>
            <w:r>
              <w:t>”.</w:t>
            </w:r>
          </w:p>
        </w:tc>
      </w:tr>
      <w:tr>
        <w:tc>
          <w:tcPr>
            <w:tcW w:w="1246" w:type="dxa"/>
          </w:tcPr>
          <w:p>
            <w:pPr>
              <w:pStyle w:val="yTable"/>
            </w:pPr>
            <w:r>
              <w:t>s. 9 (1)</w:t>
            </w:r>
          </w:p>
        </w:tc>
        <w:tc>
          <w:tcPr>
            <w:tcW w:w="5842" w:type="dxa"/>
          </w:tcPr>
          <w:p>
            <w:pPr>
              <w:pStyle w:val="yTable"/>
              <w:ind w:left="98"/>
            </w:pPr>
            <w:r>
              <w:t>Delete paragraph (d) and the proviso to the subsection and substitute the following paragraph — </w:t>
            </w:r>
          </w:p>
        </w:tc>
      </w:tr>
      <w:tr>
        <w:tc>
          <w:tcPr>
            <w:tcW w:w="1246" w:type="dxa"/>
          </w:tcPr>
          <w:p>
            <w:pPr>
              <w:pStyle w:val="yTable"/>
            </w:pPr>
          </w:p>
        </w:tc>
        <w:tc>
          <w:tcPr>
            <w:tcW w:w="5842" w:type="dxa"/>
          </w:tcPr>
          <w:p>
            <w:pPr>
              <w:pStyle w:val="yTable"/>
              <w:ind w:left="98"/>
            </w:pPr>
            <w:r>
              <w:t>“</w:t>
            </w:r>
          </w:p>
          <w:p>
            <w:pPr>
              <w:pStyle w:val="yTable"/>
              <w:tabs>
                <w:tab w:val="left" w:pos="455"/>
                <w:tab w:val="left" w:pos="1022"/>
              </w:tabs>
              <w:ind w:left="1022" w:hanging="924"/>
            </w:pPr>
            <w:r>
              <w:tab/>
              <w:t>(d)</w:t>
            </w:r>
            <w:r>
              <w:tab/>
              <w:t xml:space="preserve">if he fails to comply with section 10 of the </w:t>
            </w:r>
            <w:r>
              <w:rPr>
                <w:i/>
                <w:iCs/>
              </w:rPr>
              <w:t>Ports (Functions) Act 1993</w:t>
            </w:r>
            <w:r>
              <w:t>.</w:t>
            </w:r>
          </w:p>
          <w:p>
            <w:pPr>
              <w:pStyle w:val="yTable"/>
              <w:ind w:left="98"/>
            </w:pPr>
            <w:r>
              <w:t>”.</w:t>
            </w:r>
          </w:p>
        </w:tc>
      </w:tr>
      <w:tr>
        <w:tc>
          <w:tcPr>
            <w:tcW w:w="1246" w:type="dxa"/>
          </w:tcPr>
          <w:p>
            <w:pPr>
              <w:pStyle w:val="yTable"/>
            </w:pPr>
            <w:r>
              <w:t>s. 14</w:t>
            </w:r>
          </w:p>
        </w:tc>
        <w:tc>
          <w:tcPr>
            <w:tcW w:w="5842" w:type="dxa"/>
          </w:tcPr>
          <w:p>
            <w:pPr>
              <w:pStyle w:val="yTable"/>
              <w:ind w:left="98"/>
            </w:pPr>
            <w:r>
              <w:t>Repeal the section and substitute the following section — </w:t>
            </w:r>
          </w:p>
        </w:tc>
      </w:tr>
      <w:tr>
        <w:tc>
          <w:tcPr>
            <w:tcW w:w="1246" w:type="dxa"/>
          </w:tcPr>
          <w:p>
            <w:pPr>
              <w:pStyle w:val="yTable"/>
            </w:pPr>
          </w:p>
        </w:tc>
        <w:tc>
          <w:tcPr>
            <w:tcW w:w="5842" w:type="dxa"/>
          </w:tcPr>
          <w:p>
            <w:pPr>
              <w:pStyle w:val="yTable"/>
              <w:ind w:left="98"/>
            </w:pPr>
            <w:r>
              <w:t>“</w:t>
            </w:r>
          </w:p>
          <w:p>
            <w:pPr>
              <w:pStyle w:val="yTable"/>
              <w:tabs>
                <w:tab w:val="left" w:pos="1022"/>
              </w:tabs>
              <w:ind w:left="98"/>
              <w:rPr>
                <w:b/>
                <w:bCs/>
              </w:rPr>
            </w:pPr>
            <w:r>
              <w:rPr>
                <w:b/>
                <w:bCs/>
              </w:rPr>
              <w:t>14.</w:t>
            </w:r>
            <w:r>
              <w:rPr>
                <w:b/>
                <w:bCs/>
              </w:rPr>
              <w:tab/>
              <w:t>Acting chairman</w:t>
            </w:r>
          </w:p>
          <w:p>
            <w:pPr>
              <w:pStyle w:val="yTable"/>
              <w:tabs>
                <w:tab w:val="left" w:pos="1022"/>
              </w:tabs>
              <w:ind w:left="1022" w:hanging="924"/>
            </w:pPr>
            <w:r>
              <w:tab/>
              <w:t>If neither the chairman nor the deputy chairman is able to preside at a meeting or at a part of a meeting of the Port Authority, the commissioners present may elect one of their number to be acting chairman for the meeting or the part of the meeting as the case may be.</w:t>
            </w:r>
          </w:p>
          <w:p>
            <w:pPr>
              <w:pStyle w:val="yTable"/>
              <w:ind w:left="98"/>
              <w:jc w:val="right"/>
            </w:pPr>
            <w:r>
              <w:t>”.</w:t>
            </w:r>
          </w:p>
        </w:tc>
      </w:tr>
      <w:tr>
        <w:tc>
          <w:tcPr>
            <w:tcW w:w="1246" w:type="dxa"/>
          </w:tcPr>
          <w:p>
            <w:pPr>
              <w:pStyle w:val="yTable"/>
            </w:pPr>
            <w:r>
              <w:t>s. 15</w:t>
            </w:r>
          </w:p>
        </w:tc>
        <w:tc>
          <w:tcPr>
            <w:tcW w:w="5842" w:type="dxa"/>
          </w:tcPr>
          <w:p>
            <w:pPr>
              <w:pStyle w:val="yTable"/>
              <w:ind w:left="98"/>
            </w:pPr>
            <w:r>
              <w:t>Delete “chairman or acting chairman” and substitute the following — </w:t>
            </w:r>
          </w:p>
          <w:p>
            <w:pPr>
              <w:pStyle w:val="yTable"/>
              <w:ind w:left="98"/>
            </w:pPr>
            <w:r>
              <w:t>“</w:t>
            </w:r>
            <w:r>
              <w:t> </w:t>
            </w:r>
            <w:r>
              <w:t> </w:t>
            </w:r>
            <w:r>
              <w:t>person presiding</w:t>
            </w:r>
            <w:r>
              <w:t> </w:t>
            </w:r>
            <w:r>
              <w:t> </w:t>
            </w:r>
            <w:r>
              <w:t>”.</w:t>
            </w:r>
          </w:p>
        </w:tc>
      </w:tr>
      <w:tr>
        <w:tc>
          <w:tcPr>
            <w:tcW w:w="1246" w:type="dxa"/>
          </w:tcPr>
          <w:p>
            <w:pPr>
              <w:pStyle w:val="yTable"/>
            </w:pPr>
            <w:r>
              <w:t xml:space="preserve">s. 19 (1) </w:t>
            </w:r>
          </w:p>
        </w:tc>
        <w:tc>
          <w:tcPr>
            <w:tcW w:w="5842" w:type="dxa"/>
          </w:tcPr>
          <w:p>
            <w:pPr>
              <w:pStyle w:val="yTable"/>
              <w:ind w:left="98"/>
            </w:pPr>
            <w:r>
              <w:t>Delete “, a wharf manager, a harbour master,”.</w:t>
            </w:r>
          </w:p>
        </w:tc>
      </w:tr>
      <w:tr>
        <w:tc>
          <w:tcPr>
            <w:tcW w:w="1246" w:type="dxa"/>
          </w:tcPr>
          <w:p>
            <w:pPr>
              <w:pStyle w:val="yTable"/>
            </w:pPr>
            <w:r>
              <w:t xml:space="preserve">s. 19 (2a) </w:t>
            </w:r>
          </w:p>
        </w:tc>
        <w:tc>
          <w:tcPr>
            <w:tcW w:w="5842" w:type="dxa"/>
          </w:tcPr>
          <w:p>
            <w:pPr>
              <w:pStyle w:val="yTable"/>
              <w:ind w:left="98"/>
            </w:pPr>
            <w:r>
              <w:t>Delete “, wharf manager, harbour master”.</w:t>
            </w:r>
          </w:p>
        </w:tc>
      </w:tr>
      <w:tr>
        <w:tc>
          <w:tcPr>
            <w:tcW w:w="1246" w:type="dxa"/>
          </w:tcPr>
          <w:p>
            <w:pPr>
              <w:pStyle w:val="yTable"/>
            </w:pPr>
            <w:r>
              <w:t xml:space="preserve">s. 21 </w:t>
            </w:r>
          </w:p>
        </w:tc>
        <w:tc>
          <w:tcPr>
            <w:tcW w:w="5842" w:type="dxa"/>
          </w:tcPr>
          <w:p>
            <w:pPr>
              <w:pStyle w:val="yTable"/>
              <w:ind w:left="98"/>
            </w:pPr>
            <w:r>
              <w:t>Repeal the section.</w:t>
            </w:r>
          </w:p>
        </w:tc>
      </w:tr>
      <w:tr>
        <w:tc>
          <w:tcPr>
            <w:tcW w:w="1246" w:type="dxa"/>
          </w:tcPr>
          <w:p>
            <w:pPr>
              <w:pStyle w:val="yTable"/>
            </w:pPr>
            <w:r>
              <w:t>s. 24</w:t>
            </w:r>
          </w:p>
        </w:tc>
        <w:tc>
          <w:tcPr>
            <w:tcW w:w="5842" w:type="dxa"/>
          </w:tcPr>
          <w:p>
            <w:pPr>
              <w:pStyle w:val="yTable"/>
              <w:ind w:left="98"/>
            </w:pPr>
            <w:r>
              <w:t>Delete “section 30A,” and substitute the following — </w:t>
            </w:r>
          </w:p>
          <w:p>
            <w:pPr>
              <w:pStyle w:val="yTable"/>
              <w:ind w:left="98"/>
            </w:pPr>
            <w:r>
              <w:t>“</w:t>
            </w:r>
            <w:r>
              <w:t> </w:t>
            </w:r>
            <w:r>
              <w:t> </w:t>
            </w:r>
            <w:r>
              <w:t>section 6 of the Ports (Functions) Act 1993,</w:t>
            </w:r>
            <w:r>
              <w:t> </w:t>
            </w:r>
            <w:r>
              <w:t> </w:t>
            </w:r>
            <w:r>
              <w:t>”.</w:t>
            </w:r>
          </w:p>
        </w:tc>
      </w:tr>
      <w:tr>
        <w:tc>
          <w:tcPr>
            <w:tcW w:w="1246" w:type="dxa"/>
          </w:tcPr>
          <w:p>
            <w:pPr>
              <w:pStyle w:val="yTable"/>
            </w:pPr>
            <w:r>
              <w:t>s. 26</w:t>
            </w:r>
          </w:p>
        </w:tc>
        <w:tc>
          <w:tcPr>
            <w:tcW w:w="5842" w:type="dxa"/>
          </w:tcPr>
          <w:p>
            <w:pPr>
              <w:pStyle w:val="yTable"/>
              <w:ind w:left="98"/>
            </w:pPr>
            <w:r>
              <w:t>Repeal the section.</w:t>
            </w:r>
          </w:p>
        </w:tc>
      </w:tr>
      <w:tr>
        <w:tc>
          <w:tcPr>
            <w:tcW w:w="1246" w:type="dxa"/>
          </w:tcPr>
          <w:p>
            <w:pPr>
              <w:pStyle w:val="yTable"/>
            </w:pPr>
            <w:r>
              <w:t>s. 27</w:t>
            </w:r>
          </w:p>
        </w:tc>
        <w:tc>
          <w:tcPr>
            <w:tcW w:w="5842" w:type="dxa"/>
          </w:tcPr>
          <w:p>
            <w:pPr>
              <w:pStyle w:val="yTable"/>
              <w:ind w:left="98"/>
            </w:pPr>
            <w:r>
              <w:t>Repeal the section.</w:t>
            </w:r>
          </w:p>
        </w:tc>
      </w:tr>
      <w:tr>
        <w:tc>
          <w:tcPr>
            <w:tcW w:w="1246" w:type="dxa"/>
          </w:tcPr>
          <w:p>
            <w:pPr>
              <w:pStyle w:val="yTable"/>
            </w:pPr>
            <w:r>
              <w:t>s. 27B</w:t>
            </w:r>
          </w:p>
        </w:tc>
        <w:tc>
          <w:tcPr>
            <w:tcW w:w="5842" w:type="dxa"/>
          </w:tcPr>
          <w:p>
            <w:pPr>
              <w:pStyle w:val="yTable"/>
              <w:ind w:left="98"/>
            </w:pPr>
            <w:r>
              <w:t>Repeal the section.</w:t>
            </w:r>
          </w:p>
        </w:tc>
      </w:tr>
      <w:tr>
        <w:tc>
          <w:tcPr>
            <w:tcW w:w="1246" w:type="dxa"/>
          </w:tcPr>
          <w:p>
            <w:pPr>
              <w:pStyle w:val="yTable"/>
            </w:pPr>
            <w:r>
              <w:t>s. 27C</w:t>
            </w:r>
          </w:p>
        </w:tc>
        <w:tc>
          <w:tcPr>
            <w:tcW w:w="5842" w:type="dxa"/>
          </w:tcPr>
          <w:p>
            <w:pPr>
              <w:pStyle w:val="yTable"/>
              <w:ind w:left="98"/>
            </w:pPr>
            <w:r>
              <w:t>Repeal the section.</w:t>
            </w:r>
          </w:p>
        </w:tc>
      </w:tr>
      <w:tr>
        <w:tc>
          <w:tcPr>
            <w:tcW w:w="1246" w:type="dxa"/>
          </w:tcPr>
          <w:p>
            <w:pPr>
              <w:pStyle w:val="yTable"/>
            </w:pPr>
            <w:r>
              <w:t>s. 28</w:t>
            </w:r>
          </w:p>
        </w:tc>
        <w:tc>
          <w:tcPr>
            <w:tcW w:w="5842" w:type="dxa"/>
          </w:tcPr>
          <w:p>
            <w:pPr>
              <w:pStyle w:val="yTable"/>
              <w:ind w:left="98"/>
            </w:pPr>
            <w:r>
              <w:t>Repeal the section.</w:t>
            </w:r>
          </w:p>
        </w:tc>
      </w:tr>
      <w:tr>
        <w:tc>
          <w:tcPr>
            <w:tcW w:w="1246" w:type="dxa"/>
          </w:tcPr>
          <w:p>
            <w:pPr>
              <w:pStyle w:val="yTable"/>
            </w:pPr>
            <w:r>
              <w:t>s. 30A</w:t>
            </w:r>
          </w:p>
        </w:tc>
        <w:tc>
          <w:tcPr>
            <w:tcW w:w="5842" w:type="dxa"/>
          </w:tcPr>
          <w:p>
            <w:pPr>
              <w:pStyle w:val="yTable"/>
              <w:ind w:left="98"/>
            </w:pPr>
            <w:r>
              <w:t>Repeal the section.</w:t>
            </w:r>
          </w:p>
        </w:tc>
      </w:tr>
      <w:tr>
        <w:tc>
          <w:tcPr>
            <w:tcW w:w="1246" w:type="dxa"/>
          </w:tcPr>
          <w:p>
            <w:pPr>
              <w:pStyle w:val="yTable"/>
            </w:pPr>
            <w:r>
              <w:t>s. 31</w:t>
            </w:r>
          </w:p>
        </w:tc>
        <w:tc>
          <w:tcPr>
            <w:tcW w:w="5842" w:type="dxa"/>
          </w:tcPr>
          <w:p>
            <w:pPr>
              <w:pStyle w:val="yTable"/>
              <w:ind w:left="98"/>
            </w:pPr>
            <w:r>
              <w:t>Repeal the section.</w:t>
            </w:r>
          </w:p>
        </w:tc>
      </w:tr>
      <w:tr>
        <w:tc>
          <w:tcPr>
            <w:tcW w:w="1246" w:type="dxa"/>
          </w:tcPr>
          <w:p>
            <w:pPr>
              <w:pStyle w:val="yTable"/>
            </w:pPr>
            <w:r>
              <w:t>s. 31A</w:t>
            </w:r>
          </w:p>
        </w:tc>
        <w:tc>
          <w:tcPr>
            <w:tcW w:w="5842" w:type="dxa"/>
          </w:tcPr>
          <w:p>
            <w:pPr>
              <w:pStyle w:val="yTable"/>
              <w:ind w:left="98"/>
            </w:pPr>
            <w:r>
              <w:t>Repeal the section.</w:t>
            </w:r>
          </w:p>
        </w:tc>
      </w:tr>
      <w:tr>
        <w:tc>
          <w:tcPr>
            <w:tcW w:w="1246" w:type="dxa"/>
          </w:tcPr>
          <w:p>
            <w:pPr>
              <w:pStyle w:val="yTable"/>
            </w:pPr>
            <w:r>
              <w:t>s. 32</w:t>
            </w:r>
          </w:p>
        </w:tc>
        <w:tc>
          <w:tcPr>
            <w:tcW w:w="5842" w:type="dxa"/>
          </w:tcPr>
          <w:p>
            <w:pPr>
              <w:pStyle w:val="yTable"/>
              <w:ind w:left="98"/>
            </w:pPr>
            <w:r>
              <w:t>Repeal the section and the heading “Pilotage” before it and the heading “Lights, Buoys, and Signals” after it.</w:t>
            </w:r>
          </w:p>
        </w:tc>
      </w:tr>
      <w:tr>
        <w:tc>
          <w:tcPr>
            <w:tcW w:w="1246" w:type="dxa"/>
          </w:tcPr>
          <w:p>
            <w:pPr>
              <w:pStyle w:val="yTable"/>
            </w:pPr>
            <w:r>
              <w:t xml:space="preserve">s. 35 </w:t>
            </w:r>
          </w:p>
        </w:tc>
        <w:tc>
          <w:tcPr>
            <w:tcW w:w="5842" w:type="dxa"/>
          </w:tcPr>
          <w:p>
            <w:pPr>
              <w:pStyle w:val="yTable"/>
              <w:ind w:left="98"/>
            </w:pPr>
            <w:r>
              <w:t>Repeal the section and in the heading before it delete “Wrecks, Obstructions, and”.</w:t>
            </w:r>
          </w:p>
        </w:tc>
      </w:tr>
      <w:tr>
        <w:tc>
          <w:tcPr>
            <w:tcW w:w="1246" w:type="dxa"/>
          </w:tcPr>
          <w:p>
            <w:pPr>
              <w:pStyle w:val="yTable"/>
            </w:pPr>
            <w:r>
              <w:t>s. 39</w:t>
            </w:r>
          </w:p>
        </w:tc>
        <w:tc>
          <w:tcPr>
            <w:tcW w:w="5842" w:type="dxa"/>
          </w:tcPr>
          <w:p>
            <w:pPr>
              <w:pStyle w:val="yTable"/>
              <w:ind w:left="98"/>
            </w:pPr>
            <w:r>
              <w:t>Repeal the section and the heading “Actions against Port Authority and Officers” before it.</w:t>
            </w:r>
          </w:p>
        </w:tc>
      </w:tr>
      <w:tr>
        <w:tc>
          <w:tcPr>
            <w:tcW w:w="1246" w:type="dxa"/>
          </w:tcPr>
          <w:p>
            <w:pPr>
              <w:pStyle w:val="yTable"/>
            </w:pPr>
            <w:r>
              <w:t>s. 39A</w:t>
            </w:r>
          </w:p>
        </w:tc>
        <w:tc>
          <w:tcPr>
            <w:tcW w:w="5842" w:type="dxa"/>
          </w:tcPr>
          <w:p>
            <w:pPr>
              <w:pStyle w:val="yTable"/>
              <w:ind w:left="98"/>
            </w:pPr>
            <w:r>
              <w:t>Repeal the section.</w:t>
            </w:r>
          </w:p>
        </w:tc>
      </w:tr>
      <w:tr>
        <w:tc>
          <w:tcPr>
            <w:tcW w:w="1246" w:type="dxa"/>
          </w:tcPr>
          <w:p>
            <w:pPr>
              <w:pStyle w:val="yTable"/>
            </w:pPr>
            <w:r>
              <w:t xml:space="preserve">s. 39B </w:t>
            </w:r>
          </w:p>
        </w:tc>
        <w:tc>
          <w:tcPr>
            <w:tcW w:w="5842" w:type="dxa"/>
          </w:tcPr>
          <w:p>
            <w:pPr>
              <w:pStyle w:val="yTable"/>
              <w:ind w:left="98"/>
            </w:pPr>
            <w:r>
              <w:t>Repeal the section.</w:t>
            </w:r>
          </w:p>
        </w:tc>
      </w:tr>
      <w:tr>
        <w:tc>
          <w:tcPr>
            <w:tcW w:w="1246" w:type="dxa"/>
          </w:tcPr>
          <w:p>
            <w:pPr>
              <w:pStyle w:val="yTable"/>
            </w:pPr>
            <w:r>
              <w:t>s. 41</w:t>
            </w:r>
          </w:p>
        </w:tc>
        <w:tc>
          <w:tcPr>
            <w:tcW w:w="5842" w:type="dxa"/>
          </w:tcPr>
          <w:p>
            <w:pPr>
              <w:pStyle w:val="yTable"/>
              <w:ind w:left="98"/>
            </w:pPr>
            <w:r>
              <w:t>Delete “and service”.</w:t>
            </w:r>
            <w:r>
              <w:br/>
              <w:t>Delete the paragraph commencing “Provided that” and ending “such workers.”.</w:t>
            </w:r>
          </w:p>
        </w:tc>
      </w:tr>
      <w:tr>
        <w:tc>
          <w:tcPr>
            <w:tcW w:w="1246" w:type="dxa"/>
          </w:tcPr>
          <w:p>
            <w:pPr>
              <w:pStyle w:val="yTable"/>
            </w:pPr>
            <w:r>
              <w:t>s. 58A</w:t>
            </w:r>
          </w:p>
        </w:tc>
        <w:tc>
          <w:tcPr>
            <w:tcW w:w="5842" w:type="dxa"/>
          </w:tcPr>
          <w:p>
            <w:pPr>
              <w:pStyle w:val="yTable"/>
              <w:ind w:left="98"/>
            </w:pPr>
            <w:r>
              <w:t>Repeal the section.</w:t>
            </w:r>
          </w:p>
        </w:tc>
      </w:tr>
      <w:tr>
        <w:tc>
          <w:tcPr>
            <w:tcW w:w="1246" w:type="dxa"/>
          </w:tcPr>
          <w:p>
            <w:pPr>
              <w:pStyle w:val="yTable"/>
            </w:pPr>
            <w:r>
              <w:t>s. 58K (1)</w:t>
            </w:r>
          </w:p>
        </w:tc>
        <w:tc>
          <w:tcPr>
            <w:tcW w:w="5842" w:type="dxa"/>
          </w:tcPr>
          <w:p>
            <w:pPr>
              <w:pStyle w:val="yTable"/>
              <w:ind w:left="98"/>
            </w:pPr>
            <w:r>
              <w:t>Insert after “Port Authority” where it first occurs the following —</w:t>
            </w:r>
          </w:p>
          <w:p>
            <w:pPr>
              <w:pStyle w:val="yTable"/>
              <w:ind w:left="98"/>
            </w:pPr>
            <w:r>
              <w:t>“</w:t>
            </w:r>
          </w:p>
          <w:p>
            <w:pPr>
              <w:pStyle w:val="yTable"/>
              <w:tabs>
                <w:tab w:val="left" w:pos="739"/>
              </w:tabs>
              <w:ind w:left="739" w:hanging="641"/>
            </w:pPr>
            <w:r>
              <w:tab/>
              <w:t>shall act in accordance with prudent commercial principles and</w:t>
            </w:r>
          </w:p>
          <w:p>
            <w:pPr>
              <w:pStyle w:val="yTable"/>
              <w:ind w:left="98"/>
              <w:jc w:val="right"/>
            </w:pPr>
            <w:r>
              <w:t>”.</w:t>
            </w:r>
          </w:p>
        </w:tc>
      </w:tr>
      <w:tr>
        <w:tc>
          <w:tcPr>
            <w:tcW w:w="1246" w:type="dxa"/>
          </w:tcPr>
          <w:p>
            <w:pPr>
              <w:pStyle w:val="yTable"/>
            </w:pPr>
            <w:r>
              <w:t>s. 58K (2)</w:t>
            </w:r>
          </w:p>
        </w:tc>
        <w:tc>
          <w:tcPr>
            <w:tcW w:w="5842" w:type="dxa"/>
          </w:tcPr>
          <w:p>
            <w:pPr>
              <w:pStyle w:val="yTable"/>
              <w:ind w:left="98"/>
            </w:pPr>
            <w:r>
              <w:t>Repeal the subsection.</w:t>
            </w:r>
          </w:p>
        </w:tc>
      </w:tr>
      <w:tr>
        <w:tc>
          <w:tcPr>
            <w:tcW w:w="1246" w:type="dxa"/>
          </w:tcPr>
          <w:p>
            <w:pPr>
              <w:pStyle w:val="yTable"/>
            </w:pPr>
            <w:r>
              <w:t>s. 65</w:t>
            </w:r>
          </w:p>
        </w:tc>
        <w:tc>
          <w:tcPr>
            <w:tcW w:w="5842" w:type="dxa"/>
          </w:tcPr>
          <w:p>
            <w:pPr>
              <w:pStyle w:val="yTable"/>
              <w:ind w:left="98"/>
            </w:pPr>
            <w:r>
              <w:t>Delete paragraphs (7), (8), (14), (15), (26), (27), (28), (29), (30), (31), (39), (40), (41), (42), (43), (44), (45), (46), (47), (48) and (48a).</w:t>
            </w:r>
          </w:p>
        </w:tc>
      </w:tr>
      <w:tr>
        <w:tc>
          <w:tcPr>
            <w:tcW w:w="1246" w:type="dxa"/>
          </w:tcPr>
          <w:p>
            <w:pPr>
              <w:pStyle w:val="yTable"/>
            </w:pPr>
            <w:r>
              <w:t xml:space="preserve">s. 70A </w:t>
            </w:r>
          </w:p>
        </w:tc>
        <w:tc>
          <w:tcPr>
            <w:tcW w:w="5842" w:type="dxa"/>
          </w:tcPr>
          <w:p>
            <w:pPr>
              <w:pStyle w:val="yTable"/>
              <w:ind w:left="98"/>
            </w:pPr>
            <w:r>
              <w:t>Repeal the section.</w:t>
            </w:r>
          </w:p>
        </w:tc>
      </w:tr>
      <w:tr>
        <w:tc>
          <w:tcPr>
            <w:tcW w:w="1246" w:type="dxa"/>
          </w:tcPr>
          <w:p>
            <w:pPr>
              <w:pStyle w:val="yTable"/>
            </w:pPr>
            <w:r>
              <w:t xml:space="preserve">s. 71 </w:t>
            </w:r>
          </w:p>
        </w:tc>
        <w:tc>
          <w:tcPr>
            <w:tcW w:w="5842" w:type="dxa"/>
          </w:tcPr>
          <w:p>
            <w:pPr>
              <w:pStyle w:val="yTable"/>
              <w:ind w:left="98"/>
            </w:pPr>
            <w:r>
              <w:t>Repeal the section.</w:t>
            </w:r>
          </w:p>
        </w:tc>
      </w:tr>
      <w:tr>
        <w:tc>
          <w:tcPr>
            <w:tcW w:w="1246" w:type="dxa"/>
          </w:tcPr>
          <w:p>
            <w:pPr>
              <w:pStyle w:val="yTable"/>
            </w:pPr>
            <w:r>
              <w:t xml:space="preserve">s. 72 </w:t>
            </w:r>
          </w:p>
        </w:tc>
        <w:tc>
          <w:tcPr>
            <w:tcW w:w="5842" w:type="dxa"/>
          </w:tcPr>
          <w:p>
            <w:pPr>
              <w:pStyle w:val="yTable"/>
              <w:ind w:left="98"/>
            </w:pPr>
            <w:r>
              <w:t>Repeal the section.</w:t>
            </w:r>
          </w:p>
        </w:tc>
      </w:tr>
      <w:tr>
        <w:tc>
          <w:tcPr>
            <w:tcW w:w="1246" w:type="dxa"/>
          </w:tcPr>
          <w:p>
            <w:pPr>
              <w:pStyle w:val="yTable"/>
            </w:pPr>
            <w:r>
              <w:t xml:space="preserve">s. 73 </w:t>
            </w:r>
          </w:p>
        </w:tc>
        <w:tc>
          <w:tcPr>
            <w:tcW w:w="5842" w:type="dxa"/>
          </w:tcPr>
          <w:p>
            <w:pPr>
              <w:pStyle w:val="yTable"/>
              <w:ind w:left="98"/>
            </w:pPr>
            <w:r>
              <w:t>Repeal the section.</w:t>
            </w:r>
          </w:p>
        </w:tc>
      </w:tr>
      <w:tr>
        <w:tc>
          <w:tcPr>
            <w:tcW w:w="1246" w:type="dxa"/>
          </w:tcPr>
          <w:p>
            <w:pPr>
              <w:pStyle w:val="yTable"/>
            </w:pPr>
            <w:r>
              <w:t xml:space="preserve">s. 74 </w:t>
            </w:r>
          </w:p>
        </w:tc>
        <w:tc>
          <w:tcPr>
            <w:tcW w:w="5842" w:type="dxa"/>
          </w:tcPr>
          <w:p>
            <w:pPr>
              <w:pStyle w:val="yTable"/>
              <w:ind w:left="98"/>
            </w:pPr>
            <w:r>
              <w:t>Repeal the section.</w:t>
            </w:r>
          </w:p>
        </w:tc>
      </w:tr>
      <w:tr>
        <w:tc>
          <w:tcPr>
            <w:tcW w:w="1246" w:type="dxa"/>
          </w:tcPr>
          <w:p>
            <w:pPr>
              <w:pStyle w:val="yTable"/>
            </w:pPr>
            <w:r>
              <w:t xml:space="preserve">s. 78 </w:t>
            </w:r>
          </w:p>
        </w:tc>
        <w:tc>
          <w:tcPr>
            <w:tcW w:w="5842" w:type="dxa"/>
          </w:tcPr>
          <w:p>
            <w:pPr>
              <w:pStyle w:val="yTable"/>
              <w:ind w:left="98"/>
            </w:pPr>
            <w:r>
              <w:t>Repeal the section.</w:t>
            </w:r>
          </w:p>
        </w:tc>
      </w:tr>
    </w:tbl>
    <w:p>
      <w:pPr>
        <w:pStyle w:val="yHeading2"/>
        <w:spacing w:after="160"/>
        <w:outlineLvl w:val="0"/>
      </w:pPr>
      <w:r>
        <w:t>PART 6 — </w:t>
      </w:r>
      <w:r>
        <w:rPr>
          <w:i/>
        </w:rPr>
        <w:t>GERALDTON PORT AUTHORITY ACT 1968</w:t>
      </w:r>
      <w:r>
        <w:t>*</w:t>
      </w:r>
    </w:p>
    <w:tbl>
      <w:tblPr>
        <w:tblW w:w="0" w:type="auto"/>
        <w:tblInd w:w="8" w:type="dxa"/>
        <w:tblLayout w:type="fixed"/>
        <w:tblCellMar>
          <w:left w:w="0" w:type="dxa"/>
          <w:right w:w="0" w:type="dxa"/>
        </w:tblCellMar>
        <w:tblLook w:val="0000" w:firstRow="0" w:lastRow="0" w:firstColumn="0" w:lastColumn="0" w:noHBand="0" w:noVBand="0"/>
      </w:tblPr>
      <w:tblGrid>
        <w:gridCol w:w="1246"/>
        <w:gridCol w:w="5842"/>
      </w:tblGrid>
      <w:tr>
        <w:tc>
          <w:tcPr>
            <w:tcW w:w="1246" w:type="dxa"/>
          </w:tcPr>
          <w:p>
            <w:pPr>
              <w:pStyle w:val="yTable"/>
            </w:pPr>
            <w:r>
              <w:t>s. 3</w:t>
            </w:r>
          </w:p>
        </w:tc>
        <w:tc>
          <w:tcPr>
            <w:tcW w:w="5842" w:type="dxa"/>
          </w:tcPr>
          <w:p>
            <w:pPr>
              <w:pStyle w:val="yTable"/>
              <w:ind w:left="84"/>
            </w:pPr>
            <w:r>
              <w:t>Repeal the section.</w:t>
            </w:r>
          </w:p>
        </w:tc>
      </w:tr>
      <w:tr>
        <w:tc>
          <w:tcPr>
            <w:tcW w:w="1246" w:type="dxa"/>
          </w:tcPr>
          <w:p>
            <w:pPr>
              <w:pStyle w:val="yTable"/>
            </w:pPr>
            <w:r>
              <w:t xml:space="preserve">s. 5 </w:t>
            </w:r>
          </w:p>
        </w:tc>
        <w:tc>
          <w:tcPr>
            <w:tcW w:w="5842" w:type="dxa"/>
          </w:tcPr>
          <w:p>
            <w:pPr>
              <w:pStyle w:val="yTable"/>
              <w:ind w:left="84"/>
            </w:pPr>
            <w:r>
              <w:t>Delete the definition of “berthing master”.</w:t>
            </w:r>
          </w:p>
        </w:tc>
      </w:tr>
      <w:tr>
        <w:tc>
          <w:tcPr>
            <w:tcW w:w="1246" w:type="dxa"/>
          </w:tcPr>
          <w:p>
            <w:pPr>
              <w:pStyle w:val="yTable"/>
            </w:pPr>
          </w:p>
        </w:tc>
        <w:tc>
          <w:tcPr>
            <w:tcW w:w="5842" w:type="dxa"/>
          </w:tcPr>
          <w:p>
            <w:pPr>
              <w:pStyle w:val="yTable"/>
              <w:ind w:left="84"/>
            </w:pPr>
            <w:r>
              <w:t>Delete the definition of “harbour master”.</w:t>
            </w:r>
          </w:p>
        </w:tc>
      </w:tr>
      <w:tr>
        <w:tc>
          <w:tcPr>
            <w:tcW w:w="1246" w:type="dxa"/>
          </w:tcPr>
          <w:p>
            <w:pPr>
              <w:pStyle w:val="yTable"/>
            </w:pPr>
          </w:p>
        </w:tc>
        <w:tc>
          <w:tcPr>
            <w:tcW w:w="5842" w:type="dxa"/>
          </w:tcPr>
          <w:p>
            <w:pPr>
              <w:pStyle w:val="yTable"/>
              <w:ind w:left="84"/>
            </w:pPr>
            <w:r>
              <w:t>In the definition of “the Account”, delete “kept at the Treasury pursuant to” and substitute the following — </w:t>
            </w:r>
          </w:p>
          <w:p>
            <w:pPr>
              <w:pStyle w:val="yTable"/>
              <w:ind w:left="84"/>
            </w:pPr>
            <w:r>
              <w:t>“</w:t>
            </w:r>
            <w:r>
              <w:t> </w:t>
            </w:r>
            <w:r>
              <w:t> </w:t>
            </w:r>
            <w:r>
              <w:t>referred to in</w:t>
            </w:r>
            <w:r>
              <w:t> </w:t>
            </w:r>
            <w:r>
              <w:t> </w:t>
            </w:r>
            <w:r>
              <w:t>”.</w:t>
            </w:r>
          </w:p>
        </w:tc>
      </w:tr>
      <w:tr>
        <w:tc>
          <w:tcPr>
            <w:tcW w:w="1246" w:type="dxa"/>
          </w:tcPr>
          <w:p>
            <w:pPr>
              <w:pStyle w:val="yTable"/>
            </w:pPr>
            <w:r>
              <w:t>s. 11</w:t>
            </w:r>
          </w:p>
        </w:tc>
        <w:tc>
          <w:tcPr>
            <w:tcW w:w="5842" w:type="dxa"/>
          </w:tcPr>
          <w:p>
            <w:pPr>
              <w:pStyle w:val="yTable"/>
              <w:ind w:left="84"/>
            </w:pPr>
            <w:r>
              <w:t>Repeal the section.</w:t>
            </w:r>
          </w:p>
        </w:tc>
      </w:tr>
      <w:tr>
        <w:tc>
          <w:tcPr>
            <w:tcW w:w="1246" w:type="dxa"/>
          </w:tcPr>
          <w:p>
            <w:pPr>
              <w:pStyle w:val="yTable"/>
            </w:pPr>
            <w:r>
              <w:t>s. 12 (c)</w:t>
            </w:r>
          </w:p>
        </w:tc>
        <w:tc>
          <w:tcPr>
            <w:tcW w:w="5842" w:type="dxa"/>
          </w:tcPr>
          <w:p>
            <w:pPr>
              <w:pStyle w:val="yTable"/>
              <w:ind w:left="84"/>
            </w:pPr>
            <w:r>
              <w:t>Before “is absent” insert the following — </w:t>
            </w:r>
          </w:p>
          <w:p>
            <w:pPr>
              <w:pStyle w:val="yTable"/>
              <w:ind w:left="84"/>
            </w:pPr>
            <w:r>
              <w:t>“</w:t>
            </w:r>
            <w:r>
              <w:t> </w:t>
            </w:r>
            <w:r>
              <w:t> </w:t>
            </w:r>
            <w:r>
              <w:t>if he</w:t>
            </w:r>
            <w:r>
              <w:t> </w:t>
            </w:r>
            <w:r>
              <w:t> </w:t>
            </w:r>
            <w:r>
              <w:t>”.</w:t>
            </w:r>
          </w:p>
        </w:tc>
      </w:tr>
      <w:tr>
        <w:tc>
          <w:tcPr>
            <w:tcW w:w="1246" w:type="dxa"/>
          </w:tcPr>
          <w:p>
            <w:pPr>
              <w:pStyle w:val="yTable"/>
            </w:pPr>
            <w:r>
              <w:t>s. 12 (d)</w:t>
            </w:r>
          </w:p>
        </w:tc>
        <w:tc>
          <w:tcPr>
            <w:tcW w:w="5842" w:type="dxa"/>
          </w:tcPr>
          <w:p>
            <w:pPr>
              <w:pStyle w:val="yTable"/>
              <w:ind w:left="84"/>
            </w:pPr>
            <w:r>
              <w:t>Delete the paragraph and substitute the following paragraph — </w:t>
            </w:r>
          </w:p>
          <w:p>
            <w:pPr>
              <w:pStyle w:val="yTable"/>
              <w:ind w:left="84"/>
            </w:pPr>
            <w:r>
              <w:t>“</w:t>
            </w:r>
          </w:p>
          <w:p>
            <w:pPr>
              <w:pStyle w:val="yTable"/>
              <w:tabs>
                <w:tab w:val="left" w:pos="739"/>
                <w:tab w:val="left" w:pos="1306"/>
              </w:tabs>
              <w:ind w:left="1306" w:hanging="1222"/>
            </w:pPr>
            <w:r>
              <w:tab/>
              <w:t>(d)</w:t>
            </w:r>
            <w:r>
              <w:tab/>
              <w:t xml:space="preserve">if he fails to comply with section 10 of the </w:t>
            </w:r>
            <w:r>
              <w:rPr>
                <w:i/>
                <w:iCs/>
              </w:rPr>
              <w:t>Ports (Functions) Act 1993</w:t>
            </w:r>
            <w:r>
              <w:t>.</w:t>
            </w:r>
          </w:p>
          <w:p>
            <w:pPr>
              <w:pStyle w:val="yTable"/>
              <w:ind w:left="84"/>
              <w:jc w:val="right"/>
            </w:pPr>
            <w:r>
              <w:t>”.</w:t>
            </w:r>
          </w:p>
        </w:tc>
      </w:tr>
      <w:tr>
        <w:tc>
          <w:tcPr>
            <w:tcW w:w="1246" w:type="dxa"/>
          </w:tcPr>
          <w:p>
            <w:pPr>
              <w:pStyle w:val="yTable"/>
            </w:pPr>
            <w:r>
              <w:t>s. 18 (1)</w:t>
            </w:r>
          </w:p>
        </w:tc>
        <w:tc>
          <w:tcPr>
            <w:tcW w:w="5842" w:type="dxa"/>
          </w:tcPr>
          <w:p>
            <w:pPr>
              <w:pStyle w:val="yTable"/>
              <w:ind w:left="84"/>
            </w:pPr>
            <w:r>
              <w:t>Delete “, berthing master (who shall be the person appointed as harbour master of the port), and wharf manager”.</w:t>
            </w:r>
          </w:p>
        </w:tc>
      </w:tr>
      <w:tr>
        <w:tc>
          <w:tcPr>
            <w:tcW w:w="1246" w:type="dxa"/>
          </w:tcPr>
          <w:p>
            <w:pPr>
              <w:pStyle w:val="yTable"/>
            </w:pPr>
          </w:p>
        </w:tc>
        <w:tc>
          <w:tcPr>
            <w:tcW w:w="5842" w:type="dxa"/>
          </w:tcPr>
          <w:p>
            <w:pPr>
              <w:pStyle w:val="yTable"/>
              <w:ind w:left="84"/>
            </w:pPr>
            <w:r>
              <w:t>Delete “, berthing master or wharf manager”.</w:t>
            </w:r>
          </w:p>
        </w:tc>
      </w:tr>
      <w:tr>
        <w:tc>
          <w:tcPr>
            <w:tcW w:w="1246" w:type="dxa"/>
          </w:tcPr>
          <w:p>
            <w:pPr>
              <w:pStyle w:val="yTable"/>
            </w:pPr>
            <w:r>
              <w:t xml:space="preserve">s. 18 (4) </w:t>
            </w:r>
          </w:p>
        </w:tc>
        <w:tc>
          <w:tcPr>
            <w:tcW w:w="5842" w:type="dxa"/>
          </w:tcPr>
          <w:p>
            <w:pPr>
              <w:pStyle w:val="yTable"/>
              <w:ind w:left="84"/>
            </w:pPr>
            <w:r>
              <w:t>Delete “berthing master or wharf manager,”.</w:t>
            </w:r>
          </w:p>
        </w:tc>
      </w:tr>
      <w:tr>
        <w:tc>
          <w:tcPr>
            <w:tcW w:w="1246" w:type="dxa"/>
          </w:tcPr>
          <w:p>
            <w:pPr>
              <w:pStyle w:val="yTable"/>
            </w:pPr>
            <w:r>
              <w:t>s. 23</w:t>
            </w:r>
          </w:p>
        </w:tc>
        <w:tc>
          <w:tcPr>
            <w:tcW w:w="5842" w:type="dxa"/>
          </w:tcPr>
          <w:p>
            <w:pPr>
              <w:pStyle w:val="yTable"/>
              <w:ind w:left="84"/>
            </w:pPr>
            <w:r>
              <w:t>Delete “section 30A,” and substitute the following — </w:t>
            </w:r>
          </w:p>
        </w:tc>
      </w:tr>
      <w:tr>
        <w:tc>
          <w:tcPr>
            <w:tcW w:w="1246" w:type="dxa"/>
          </w:tcPr>
          <w:p>
            <w:pPr>
              <w:pStyle w:val="yTable"/>
            </w:pPr>
          </w:p>
        </w:tc>
        <w:tc>
          <w:tcPr>
            <w:tcW w:w="5842" w:type="dxa"/>
          </w:tcPr>
          <w:p>
            <w:pPr>
              <w:pStyle w:val="yTable"/>
              <w:ind w:left="84"/>
            </w:pPr>
            <w:r>
              <w:t>“</w:t>
            </w:r>
            <w:r>
              <w:t> </w:t>
            </w:r>
            <w:r>
              <w:t> </w:t>
            </w:r>
            <w:r>
              <w:t>section 6 of the Ports (Functions) Act 1993,</w:t>
            </w:r>
            <w:r>
              <w:t> </w:t>
            </w:r>
            <w:r>
              <w:t> </w:t>
            </w:r>
            <w:r>
              <w:t>”.</w:t>
            </w:r>
          </w:p>
        </w:tc>
      </w:tr>
      <w:tr>
        <w:tc>
          <w:tcPr>
            <w:tcW w:w="1246" w:type="dxa"/>
          </w:tcPr>
          <w:p>
            <w:pPr>
              <w:pStyle w:val="yTable"/>
            </w:pPr>
            <w:r>
              <w:t>s. 25</w:t>
            </w:r>
          </w:p>
        </w:tc>
        <w:tc>
          <w:tcPr>
            <w:tcW w:w="5842" w:type="dxa"/>
          </w:tcPr>
          <w:p>
            <w:pPr>
              <w:pStyle w:val="yTable"/>
              <w:ind w:left="84"/>
            </w:pPr>
            <w:r>
              <w:t>Repeal the section.</w:t>
            </w:r>
          </w:p>
        </w:tc>
      </w:tr>
      <w:tr>
        <w:tc>
          <w:tcPr>
            <w:tcW w:w="1246" w:type="dxa"/>
          </w:tcPr>
          <w:p>
            <w:pPr>
              <w:pStyle w:val="yTable"/>
            </w:pPr>
            <w:r>
              <w:t>s. 26</w:t>
            </w:r>
          </w:p>
        </w:tc>
        <w:tc>
          <w:tcPr>
            <w:tcW w:w="5842" w:type="dxa"/>
          </w:tcPr>
          <w:p>
            <w:pPr>
              <w:pStyle w:val="yTable"/>
              <w:ind w:left="84"/>
            </w:pPr>
            <w:r>
              <w:t>Repeal the section.</w:t>
            </w:r>
          </w:p>
        </w:tc>
      </w:tr>
      <w:tr>
        <w:tc>
          <w:tcPr>
            <w:tcW w:w="1246" w:type="dxa"/>
          </w:tcPr>
          <w:p>
            <w:pPr>
              <w:pStyle w:val="yTable"/>
            </w:pPr>
            <w:r>
              <w:t>s. 27</w:t>
            </w:r>
          </w:p>
        </w:tc>
        <w:tc>
          <w:tcPr>
            <w:tcW w:w="5842" w:type="dxa"/>
          </w:tcPr>
          <w:p>
            <w:pPr>
              <w:pStyle w:val="yTable"/>
              <w:ind w:left="84"/>
            </w:pPr>
            <w:r>
              <w:t>Repeal the section.</w:t>
            </w:r>
          </w:p>
        </w:tc>
      </w:tr>
      <w:tr>
        <w:tc>
          <w:tcPr>
            <w:tcW w:w="1246" w:type="dxa"/>
          </w:tcPr>
          <w:p>
            <w:pPr>
              <w:pStyle w:val="yTable"/>
            </w:pPr>
            <w:r>
              <w:t>s. 30A</w:t>
            </w:r>
          </w:p>
        </w:tc>
        <w:tc>
          <w:tcPr>
            <w:tcW w:w="5842" w:type="dxa"/>
          </w:tcPr>
          <w:p>
            <w:pPr>
              <w:pStyle w:val="yTable"/>
              <w:ind w:left="84"/>
            </w:pPr>
            <w:r>
              <w:t>Repeal the section.</w:t>
            </w:r>
          </w:p>
        </w:tc>
      </w:tr>
      <w:tr>
        <w:tc>
          <w:tcPr>
            <w:tcW w:w="1246" w:type="dxa"/>
          </w:tcPr>
          <w:p>
            <w:pPr>
              <w:pStyle w:val="yTable"/>
            </w:pPr>
            <w:r>
              <w:t>Part III</w:t>
            </w:r>
          </w:p>
        </w:tc>
        <w:tc>
          <w:tcPr>
            <w:tcW w:w="5842" w:type="dxa"/>
          </w:tcPr>
          <w:p>
            <w:pPr>
              <w:pStyle w:val="yTable"/>
              <w:ind w:left="84"/>
            </w:pPr>
            <w:r>
              <w:t>Repeal the Part.</w:t>
            </w:r>
          </w:p>
        </w:tc>
      </w:tr>
      <w:tr>
        <w:tc>
          <w:tcPr>
            <w:tcW w:w="1246" w:type="dxa"/>
          </w:tcPr>
          <w:p>
            <w:pPr>
              <w:pStyle w:val="yTable"/>
            </w:pPr>
            <w:r>
              <w:t>Part V</w:t>
            </w:r>
          </w:p>
        </w:tc>
        <w:tc>
          <w:tcPr>
            <w:tcW w:w="5842" w:type="dxa"/>
          </w:tcPr>
          <w:p>
            <w:pPr>
              <w:pStyle w:val="yTable"/>
              <w:ind w:left="84"/>
            </w:pPr>
            <w:r>
              <w:t>In the Part heading delete “WRECKS, OBSTRUCTIONS, AND”.</w:t>
            </w:r>
          </w:p>
        </w:tc>
      </w:tr>
      <w:tr>
        <w:tc>
          <w:tcPr>
            <w:tcW w:w="1246" w:type="dxa"/>
          </w:tcPr>
          <w:p>
            <w:pPr>
              <w:pStyle w:val="yTable"/>
            </w:pPr>
            <w:r>
              <w:t>s. 34</w:t>
            </w:r>
          </w:p>
        </w:tc>
        <w:tc>
          <w:tcPr>
            <w:tcW w:w="5842" w:type="dxa"/>
          </w:tcPr>
          <w:p>
            <w:pPr>
              <w:pStyle w:val="yTable"/>
              <w:ind w:left="84"/>
            </w:pPr>
            <w:r>
              <w:t>Repeal the section.</w:t>
            </w:r>
          </w:p>
        </w:tc>
      </w:tr>
      <w:tr>
        <w:tc>
          <w:tcPr>
            <w:tcW w:w="1246" w:type="dxa"/>
          </w:tcPr>
          <w:p>
            <w:pPr>
              <w:pStyle w:val="yTable"/>
            </w:pPr>
            <w:r>
              <w:t>s. 37</w:t>
            </w:r>
          </w:p>
        </w:tc>
        <w:tc>
          <w:tcPr>
            <w:tcW w:w="5842" w:type="dxa"/>
          </w:tcPr>
          <w:p>
            <w:pPr>
              <w:pStyle w:val="yTable"/>
              <w:ind w:left="84"/>
            </w:pPr>
            <w:r>
              <w:t>Repeal the section.</w:t>
            </w:r>
          </w:p>
        </w:tc>
      </w:tr>
      <w:tr>
        <w:tc>
          <w:tcPr>
            <w:tcW w:w="1246" w:type="dxa"/>
          </w:tcPr>
          <w:p>
            <w:pPr>
              <w:pStyle w:val="yTable"/>
            </w:pPr>
            <w:r>
              <w:t>s. 61 (1)</w:t>
            </w:r>
          </w:p>
        </w:tc>
        <w:tc>
          <w:tcPr>
            <w:tcW w:w="5842" w:type="dxa"/>
          </w:tcPr>
          <w:p>
            <w:pPr>
              <w:pStyle w:val="yTable"/>
              <w:ind w:left="84"/>
            </w:pPr>
            <w:r>
              <w:t>Insert after “Port Authority” where it first occurs the following — </w:t>
            </w:r>
          </w:p>
          <w:p>
            <w:pPr>
              <w:pStyle w:val="yTable"/>
              <w:ind w:left="84"/>
            </w:pPr>
            <w:r>
              <w:t>“</w:t>
            </w:r>
          </w:p>
          <w:p>
            <w:pPr>
              <w:pStyle w:val="yTable"/>
              <w:tabs>
                <w:tab w:val="left" w:pos="739"/>
              </w:tabs>
              <w:ind w:left="739" w:hanging="655"/>
            </w:pPr>
            <w:r>
              <w:tab/>
              <w:t>shall act in accordance with prudent commercial principles and</w:t>
            </w:r>
          </w:p>
          <w:p>
            <w:pPr>
              <w:pStyle w:val="yTable"/>
              <w:ind w:left="84"/>
              <w:jc w:val="right"/>
            </w:pPr>
            <w:r>
              <w:t>”.</w:t>
            </w:r>
          </w:p>
        </w:tc>
      </w:tr>
      <w:tr>
        <w:tc>
          <w:tcPr>
            <w:tcW w:w="1246" w:type="dxa"/>
          </w:tcPr>
          <w:p>
            <w:pPr>
              <w:pStyle w:val="yTable"/>
            </w:pPr>
            <w:r>
              <w:t>s. 61 (2)</w:t>
            </w:r>
          </w:p>
        </w:tc>
        <w:tc>
          <w:tcPr>
            <w:tcW w:w="5842" w:type="dxa"/>
          </w:tcPr>
          <w:p>
            <w:pPr>
              <w:pStyle w:val="yTable"/>
              <w:ind w:left="84"/>
            </w:pPr>
            <w:r>
              <w:t>Repeal the subsection.</w:t>
            </w:r>
          </w:p>
        </w:tc>
      </w:tr>
      <w:tr>
        <w:tc>
          <w:tcPr>
            <w:tcW w:w="1246" w:type="dxa"/>
          </w:tcPr>
          <w:p>
            <w:pPr>
              <w:pStyle w:val="yTable"/>
            </w:pPr>
            <w:r>
              <w:t>s. 63</w:t>
            </w:r>
          </w:p>
        </w:tc>
        <w:tc>
          <w:tcPr>
            <w:tcW w:w="5842" w:type="dxa"/>
          </w:tcPr>
          <w:p>
            <w:pPr>
              <w:pStyle w:val="yTable"/>
              <w:ind w:left="84"/>
            </w:pPr>
            <w:r>
              <w:t>Repeal the section.</w:t>
            </w:r>
          </w:p>
        </w:tc>
      </w:tr>
      <w:tr>
        <w:tc>
          <w:tcPr>
            <w:tcW w:w="1246" w:type="dxa"/>
          </w:tcPr>
          <w:p>
            <w:pPr>
              <w:pStyle w:val="yTable"/>
            </w:pPr>
            <w:r>
              <w:t xml:space="preserve">s. 71 </w:t>
            </w:r>
          </w:p>
        </w:tc>
        <w:tc>
          <w:tcPr>
            <w:tcW w:w="5842" w:type="dxa"/>
          </w:tcPr>
          <w:p>
            <w:pPr>
              <w:pStyle w:val="yTable"/>
              <w:ind w:left="84"/>
            </w:pPr>
            <w:r>
              <w:t>Repeal the section.</w:t>
            </w:r>
          </w:p>
        </w:tc>
      </w:tr>
      <w:tr>
        <w:tc>
          <w:tcPr>
            <w:tcW w:w="1246" w:type="dxa"/>
          </w:tcPr>
          <w:p>
            <w:pPr>
              <w:pStyle w:val="yTable"/>
            </w:pPr>
            <w:r>
              <w:t xml:space="preserve">s. 75 </w:t>
            </w:r>
          </w:p>
        </w:tc>
        <w:tc>
          <w:tcPr>
            <w:tcW w:w="5842" w:type="dxa"/>
          </w:tcPr>
          <w:p>
            <w:pPr>
              <w:pStyle w:val="yTable"/>
              <w:ind w:left="84"/>
            </w:pPr>
            <w:r>
              <w:t>Repeal the section.</w:t>
            </w:r>
          </w:p>
        </w:tc>
      </w:tr>
      <w:tr>
        <w:tc>
          <w:tcPr>
            <w:tcW w:w="1246" w:type="dxa"/>
          </w:tcPr>
          <w:p>
            <w:pPr>
              <w:pStyle w:val="yTable"/>
            </w:pPr>
            <w:r>
              <w:t xml:space="preserve">s. 82 </w:t>
            </w:r>
          </w:p>
        </w:tc>
        <w:tc>
          <w:tcPr>
            <w:tcW w:w="5842" w:type="dxa"/>
          </w:tcPr>
          <w:p>
            <w:pPr>
              <w:pStyle w:val="yTable"/>
              <w:ind w:left="84"/>
            </w:pPr>
            <w:r>
              <w:t>Delete “managing secretary to” and substitute the following — </w:t>
            </w:r>
          </w:p>
          <w:p>
            <w:pPr>
              <w:pStyle w:val="yTable"/>
              <w:ind w:left="84"/>
            </w:pPr>
            <w:r>
              <w:t>“</w:t>
            </w:r>
            <w:r>
              <w:t> </w:t>
            </w:r>
            <w:r>
              <w:t> </w:t>
            </w:r>
            <w:r>
              <w:t>general manager of</w:t>
            </w:r>
            <w:r>
              <w:t> </w:t>
            </w:r>
            <w:r>
              <w:t> </w:t>
            </w:r>
            <w:r>
              <w:t>”.</w:t>
            </w:r>
          </w:p>
        </w:tc>
      </w:tr>
      <w:tr>
        <w:tc>
          <w:tcPr>
            <w:tcW w:w="1246" w:type="dxa"/>
          </w:tcPr>
          <w:p>
            <w:pPr>
              <w:pStyle w:val="yTable"/>
            </w:pPr>
            <w:r>
              <w:t>s. 84 (2)</w:t>
            </w:r>
          </w:p>
        </w:tc>
        <w:tc>
          <w:tcPr>
            <w:tcW w:w="5842" w:type="dxa"/>
          </w:tcPr>
          <w:p>
            <w:pPr>
              <w:pStyle w:val="yTable"/>
              <w:ind w:left="84"/>
            </w:pPr>
            <w:r>
              <w:t>Delete paragraphs (i), (j) and (u).</w:t>
            </w:r>
          </w:p>
        </w:tc>
      </w:tr>
    </w:tbl>
    <w:p>
      <w:pPr>
        <w:pStyle w:val="yHeading2"/>
        <w:spacing w:after="160"/>
        <w:outlineLvl w:val="9"/>
      </w:pPr>
      <w:r>
        <w:t>PART 7 — </w:t>
      </w:r>
      <w:r>
        <w:rPr>
          <w:i/>
        </w:rPr>
        <w:t>PORT HEDLAND PORT AUTHORITY ACT 1970</w:t>
      </w:r>
      <w:r>
        <w:t>*</w:t>
      </w:r>
    </w:p>
    <w:tbl>
      <w:tblPr>
        <w:tblW w:w="0" w:type="auto"/>
        <w:tblInd w:w="8" w:type="dxa"/>
        <w:tblLayout w:type="fixed"/>
        <w:tblCellMar>
          <w:left w:w="0" w:type="dxa"/>
          <w:right w:w="0" w:type="dxa"/>
        </w:tblCellMar>
        <w:tblLook w:val="0000" w:firstRow="0" w:lastRow="0" w:firstColumn="0" w:lastColumn="0" w:noHBand="0" w:noVBand="0"/>
      </w:tblPr>
      <w:tblGrid>
        <w:gridCol w:w="1246"/>
        <w:gridCol w:w="5842"/>
      </w:tblGrid>
      <w:tr>
        <w:tc>
          <w:tcPr>
            <w:tcW w:w="1246" w:type="dxa"/>
          </w:tcPr>
          <w:p>
            <w:pPr>
              <w:pStyle w:val="yTable"/>
            </w:pPr>
            <w:r>
              <w:t xml:space="preserve">s. 4 </w:t>
            </w:r>
          </w:p>
        </w:tc>
        <w:tc>
          <w:tcPr>
            <w:tcW w:w="5842" w:type="dxa"/>
          </w:tcPr>
          <w:p>
            <w:pPr>
              <w:pStyle w:val="yTable"/>
              <w:ind w:left="98" w:right="75"/>
            </w:pPr>
            <w:r>
              <w:t>Delete the definition of “harbour master”.</w:t>
            </w:r>
          </w:p>
        </w:tc>
      </w:tr>
      <w:tr>
        <w:tc>
          <w:tcPr>
            <w:tcW w:w="1246" w:type="dxa"/>
          </w:tcPr>
          <w:p>
            <w:pPr>
              <w:pStyle w:val="yTable"/>
            </w:pPr>
          </w:p>
        </w:tc>
        <w:tc>
          <w:tcPr>
            <w:tcW w:w="5842" w:type="dxa"/>
          </w:tcPr>
          <w:p>
            <w:pPr>
              <w:pStyle w:val="yTable"/>
              <w:ind w:left="98" w:right="75"/>
            </w:pPr>
            <w:r>
              <w:t>In the definition of “master”, delete “not being a pilot appointed by the Port Authority” and substitute the following — </w:t>
            </w:r>
          </w:p>
          <w:p>
            <w:pPr>
              <w:pStyle w:val="yTable"/>
              <w:ind w:left="98" w:right="75"/>
            </w:pPr>
            <w:r>
              <w:t>“</w:t>
            </w:r>
            <w:r>
              <w:t> </w:t>
            </w:r>
            <w:r>
              <w:t> </w:t>
            </w:r>
            <w:r>
              <w:t>other than a pilot</w:t>
            </w:r>
            <w:r>
              <w:t> </w:t>
            </w:r>
            <w:r>
              <w:t> </w:t>
            </w:r>
            <w:r>
              <w:t>”.</w:t>
            </w:r>
          </w:p>
        </w:tc>
      </w:tr>
      <w:tr>
        <w:tc>
          <w:tcPr>
            <w:tcW w:w="1246" w:type="dxa"/>
          </w:tcPr>
          <w:p>
            <w:pPr>
              <w:pStyle w:val="yTable"/>
            </w:pPr>
            <w:r>
              <w:t xml:space="preserve">s. 10 </w:t>
            </w:r>
          </w:p>
        </w:tc>
        <w:tc>
          <w:tcPr>
            <w:tcW w:w="5842" w:type="dxa"/>
          </w:tcPr>
          <w:p>
            <w:pPr>
              <w:pStyle w:val="yTable"/>
              <w:ind w:left="98" w:right="75"/>
            </w:pPr>
            <w:r>
              <w:t>Repeal the section and substitute the following section — </w:t>
            </w:r>
          </w:p>
        </w:tc>
      </w:tr>
      <w:tr>
        <w:tc>
          <w:tcPr>
            <w:tcW w:w="1246" w:type="dxa"/>
          </w:tcPr>
          <w:p>
            <w:pPr>
              <w:pStyle w:val="yTable"/>
            </w:pPr>
          </w:p>
        </w:tc>
        <w:tc>
          <w:tcPr>
            <w:tcW w:w="5842" w:type="dxa"/>
          </w:tcPr>
          <w:p>
            <w:pPr>
              <w:pStyle w:val="yTable"/>
              <w:ind w:left="98" w:right="75"/>
            </w:pPr>
            <w:r>
              <w:t>“</w:t>
            </w:r>
          </w:p>
          <w:p>
            <w:pPr>
              <w:pStyle w:val="yTable"/>
              <w:tabs>
                <w:tab w:val="left" w:pos="739"/>
              </w:tabs>
              <w:ind w:left="98" w:right="75"/>
              <w:rPr>
                <w:b/>
              </w:rPr>
            </w:pPr>
            <w:r>
              <w:rPr>
                <w:b/>
              </w:rPr>
              <w:t>10.</w:t>
            </w:r>
            <w:r>
              <w:tab/>
            </w:r>
            <w:r>
              <w:rPr>
                <w:b/>
              </w:rPr>
              <w:t>Disclosure by members</w:t>
            </w:r>
          </w:p>
          <w:p>
            <w:pPr>
              <w:pStyle w:val="yTable"/>
              <w:tabs>
                <w:tab w:val="left" w:pos="739"/>
              </w:tabs>
              <w:ind w:left="98" w:right="75"/>
            </w:pPr>
            <w:r>
              <w:tab/>
              <w:t xml:space="preserve">Section 10 of the </w:t>
            </w:r>
            <w:r>
              <w:rPr>
                <w:i/>
              </w:rPr>
              <w:t>Ports (Functions) Act 1993</w:t>
            </w:r>
            <w:r>
              <w:t xml:space="preserve"> does not apply to a member appointed under section 6 (3), (4) or (6) in respect of a pecuniary interest of the member that consists only of being an employee of a registered lessee referred to in those subsections.</w:t>
            </w:r>
          </w:p>
          <w:p>
            <w:pPr>
              <w:pStyle w:val="yTable"/>
              <w:ind w:left="98" w:right="75"/>
              <w:jc w:val="right"/>
            </w:pPr>
            <w:r>
              <w:t>”.</w:t>
            </w:r>
          </w:p>
        </w:tc>
      </w:tr>
      <w:tr>
        <w:tc>
          <w:tcPr>
            <w:tcW w:w="1246" w:type="dxa"/>
          </w:tcPr>
          <w:p>
            <w:pPr>
              <w:pStyle w:val="yTable"/>
            </w:pPr>
            <w:r>
              <w:t>s. 11 (2) (c)</w:t>
            </w:r>
          </w:p>
        </w:tc>
        <w:tc>
          <w:tcPr>
            <w:tcW w:w="5842" w:type="dxa"/>
          </w:tcPr>
          <w:p>
            <w:pPr>
              <w:pStyle w:val="yTable"/>
              <w:ind w:left="98" w:right="75"/>
            </w:pPr>
            <w:r>
              <w:t>Before “is absent” insert the following — </w:t>
            </w:r>
          </w:p>
          <w:p>
            <w:pPr>
              <w:pStyle w:val="yTable"/>
              <w:ind w:left="98" w:right="75"/>
            </w:pPr>
            <w:r>
              <w:t>“</w:t>
            </w:r>
            <w:r>
              <w:t> </w:t>
            </w:r>
            <w:r>
              <w:t> </w:t>
            </w:r>
            <w:r>
              <w:t>if he</w:t>
            </w:r>
            <w:r>
              <w:t> </w:t>
            </w:r>
            <w:r>
              <w:t> </w:t>
            </w:r>
            <w:r>
              <w:t>”.</w:t>
            </w:r>
          </w:p>
        </w:tc>
      </w:tr>
      <w:tr>
        <w:tc>
          <w:tcPr>
            <w:tcW w:w="1246" w:type="dxa"/>
          </w:tcPr>
          <w:p>
            <w:pPr>
              <w:pStyle w:val="yTable"/>
            </w:pPr>
            <w:r>
              <w:t>s. 11 (2) (d)</w:t>
            </w:r>
          </w:p>
        </w:tc>
        <w:tc>
          <w:tcPr>
            <w:tcW w:w="5842" w:type="dxa"/>
          </w:tcPr>
          <w:p>
            <w:pPr>
              <w:pStyle w:val="yTable"/>
              <w:ind w:left="98" w:right="75"/>
            </w:pPr>
            <w:r>
              <w:t>Delete the paragraph and substitute the following paragraph — </w:t>
            </w:r>
          </w:p>
          <w:p>
            <w:pPr>
              <w:pStyle w:val="yTable"/>
              <w:ind w:left="98" w:right="75"/>
            </w:pPr>
            <w:r>
              <w:t>“</w:t>
            </w:r>
          </w:p>
          <w:p>
            <w:pPr>
              <w:pStyle w:val="yTable"/>
              <w:tabs>
                <w:tab w:val="left" w:pos="455"/>
                <w:tab w:val="left" w:pos="1022"/>
              </w:tabs>
              <w:ind w:left="1036" w:right="75" w:hanging="938"/>
            </w:pPr>
            <w:r>
              <w:tab/>
              <w:t>(d)</w:t>
            </w:r>
            <w:r>
              <w:tab/>
              <w:t xml:space="preserve">if he fails to comply with section 10 of the </w:t>
            </w:r>
            <w:r>
              <w:rPr>
                <w:i/>
              </w:rPr>
              <w:t>Ports (Functions) Act 1993</w:t>
            </w:r>
            <w:r>
              <w:t>.</w:t>
            </w:r>
          </w:p>
          <w:p>
            <w:pPr>
              <w:pStyle w:val="yTable"/>
              <w:ind w:left="98" w:right="75"/>
              <w:jc w:val="right"/>
            </w:pPr>
            <w:r>
              <w:t>”.</w:t>
            </w:r>
          </w:p>
        </w:tc>
      </w:tr>
      <w:tr>
        <w:tc>
          <w:tcPr>
            <w:tcW w:w="1246" w:type="dxa"/>
          </w:tcPr>
          <w:p>
            <w:pPr>
              <w:pStyle w:val="yTable"/>
            </w:pPr>
            <w:r>
              <w:t xml:space="preserve">s. 17 (1) </w:t>
            </w:r>
          </w:p>
        </w:tc>
        <w:tc>
          <w:tcPr>
            <w:tcW w:w="5842" w:type="dxa"/>
          </w:tcPr>
          <w:p>
            <w:pPr>
              <w:pStyle w:val="yTable"/>
              <w:ind w:left="98" w:right="75"/>
            </w:pPr>
            <w:r>
              <w:t>Delete “, a wharf manager, a harbour master”.</w:t>
            </w:r>
          </w:p>
        </w:tc>
      </w:tr>
      <w:tr>
        <w:tc>
          <w:tcPr>
            <w:tcW w:w="1246" w:type="dxa"/>
          </w:tcPr>
          <w:p>
            <w:pPr>
              <w:pStyle w:val="yTable"/>
            </w:pPr>
            <w:r>
              <w:t xml:space="preserve">s. 17 (2a) </w:t>
            </w:r>
          </w:p>
        </w:tc>
        <w:tc>
          <w:tcPr>
            <w:tcW w:w="5842" w:type="dxa"/>
          </w:tcPr>
          <w:p>
            <w:pPr>
              <w:pStyle w:val="yTable"/>
              <w:ind w:left="98" w:right="75"/>
            </w:pPr>
            <w:r>
              <w:t>Delete “, wharf manager, harbour master”.</w:t>
            </w:r>
          </w:p>
        </w:tc>
      </w:tr>
      <w:tr>
        <w:tc>
          <w:tcPr>
            <w:tcW w:w="1246" w:type="dxa"/>
          </w:tcPr>
          <w:p>
            <w:pPr>
              <w:pStyle w:val="yTable"/>
            </w:pPr>
            <w:r>
              <w:t>s. 22 (1)</w:t>
            </w:r>
          </w:p>
        </w:tc>
        <w:tc>
          <w:tcPr>
            <w:tcW w:w="5842" w:type="dxa"/>
          </w:tcPr>
          <w:p>
            <w:pPr>
              <w:pStyle w:val="yTable"/>
              <w:ind w:left="98" w:right="75"/>
            </w:pPr>
            <w:r>
              <w:t>Delete “section 29A,” and substitute the following — </w:t>
            </w:r>
          </w:p>
          <w:p>
            <w:pPr>
              <w:pStyle w:val="yTable"/>
              <w:ind w:left="98" w:right="75"/>
            </w:pPr>
            <w:r>
              <w:t>“</w:t>
            </w:r>
            <w:r>
              <w:t> </w:t>
            </w:r>
            <w:r>
              <w:t> </w:t>
            </w:r>
            <w:r>
              <w:t>section 6 of the Ports (Functions) Act 1993,</w:t>
            </w:r>
            <w:r>
              <w:t> </w:t>
            </w:r>
            <w:r>
              <w:t> </w:t>
            </w:r>
            <w:r>
              <w:t>”.</w:t>
            </w:r>
          </w:p>
        </w:tc>
      </w:tr>
      <w:tr>
        <w:tc>
          <w:tcPr>
            <w:tcW w:w="1246" w:type="dxa"/>
          </w:tcPr>
          <w:p>
            <w:pPr>
              <w:pStyle w:val="yTable"/>
            </w:pPr>
            <w:r>
              <w:t>s. 24</w:t>
            </w:r>
          </w:p>
        </w:tc>
        <w:tc>
          <w:tcPr>
            <w:tcW w:w="5842" w:type="dxa"/>
          </w:tcPr>
          <w:p>
            <w:pPr>
              <w:pStyle w:val="yTable"/>
              <w:ind w:left="98" w:right="75"/>
            </w:pPr>
            <w:r>
              <w:t>Repeal the section.</w:t>
            </w:r>
          </w:p>
        </w:tc>
      </w:tr>
      <w:tr>
        <w:tc>
          <w:tcPr>
            <w:tcW w:w="1246" w:type="dxa"/>
          </w:tcPr>
          <w:p>
            <w:pPr>
              <w:pStyle w:val="yTable"/>
            </w:pPr>
            <w:r>
              <w:t>s. 25</w:t>
            </w:r>
          </w:p>
        </w:tc>
        <w:tc>
          <w:tcPr>
            <w:tcW w:w="5842" w:type="dxa"/>
          </w:tcPr>
          <w:p>
            <w:pPr>
              <w:pStyle w:val="yTable"/>
              <w:ind w:left="98" w:right="75"/>
            </w:pPr>
            <w:r>
              <w:t>Repeal the section.</w:t>
            </w:r>
          </w:p>
        </w:tc>
      </w:tr>
      <w:tr>
        <w:tc>
          <w:tcPr>
            <w:tcW w:w="1246" w:type="dxa"/>
          </w:tcPr>
          <w:p>
            <w:pPr>
              <w:pStyle w:val="yTable"/>
            </w:pPr>
            <w:r>
              <w:t>s. 27</w:t>
            </w:r>
          </w:p>
        </w:tc>
        <w:tc>
          <w:tcPr>
            <w:tcW w:w="5842" w:type="dxa"/>
          </w:tcPr>
          <w:p>
            <w:pPr>
              <w:pStyle w:val="yTable"/>
              <w:ind w:left="98" w:right="75"/>
            </w:pPr>
            <w:r>
              <w:t>Repeal the section.</w:t>
            </w:r>
          </w:p>
        </w:tc>
      </w:tr>
      <w:tr>
        <w:tc>
          <w:tcPr>
            <w:tcW w:w="1246" w:type="dxa"/>
          </w:tcPr>
          <w:p>
            <w:pPr>
              <w:pStyle w:val="yTable"/>
            </w:pPr>
            <w:r>
              <w:t>s. 29A</w:t>
            </w:r>
          </w:p>
        </w:tc>
        <w:tc>
          <w:tcPr>
            <w:tcW w:w="5842" w:type="dxa"/>
          </w:tcPr>
          <w:p>
            <w:pPr>
              <w:pStyle w:val="yTable"/>
              <w:ind w:left="98" w:right="75"/>
            </w:pPr>
            <w:r>
              <w:t>Repeal the section.</w:t>
            </w:r>
          </w:p>
        </w:tc>
      </w:tr>
      <w:tr>
        <w:tc>
          <w:tcPr>
            <w:tcW w:w="1246" w:type="dxa"/>
          </w:tcPr>
          <w:p>
            <w:pPr>
              <w:pStyle w:val="yTable"/>
            </w:pPr>
            <w:r>
              <w:t>s. 30</w:t>
            </w:r>
          </w:p>
        </w:tc>
        <w:tc>
          <w:tcPr>
            <w:tcW w:w="5842" w:type="dxa"/>
          </w:tcPr>
          <w:p>
            <w:pPr>
              <w:pStyle w:val="yTable"/>
              <w:ind w:left="98" w:right="75"/>
            </w:pPr>
            <w:r>
              <w:t>Repeal the section.</w:t>
            </w:r>
          </w:p>
        </w:tc>
      </w:tr>
      <w:tr>
        <w:tc>
          <w:tcPr>
            <w:tcW w:w="1246" w:type="dxa"/>
          </w:tcPr>
          <w:p>
            <w:pPr>
              <w:pStyle w:val="yTable"/>
            </w:pPr>
            <w:r>
              <w:t>Part III</w:t>
            </w:r>
          </w:p>
        </w:tc>
        <w:tc>
          <w:tcPr>
            <w:tcW w:w="5842" w:type="dxa"/>
          </w:tcPr>
          <w:p>
            <w:pPr>
              <w:pStyle w:val="yTable"/>
              <w:ind w:left="98" w:right="75"/>
            </w:pPr>
            <w:r>
              <w:t>Repeal the Part.</w:t>
            </w:r>
          </w:p>
        </w:tc>
      </w:tr>
      <w:tr>
        <w:tc>
          <w:tcPr>
            <w:tcW w:w="1246" w:type="dxa"/>
          </w:tcPr>
          <w:p>
            <w:pPr>
              <w:pStyle w:val="yTable"/>
            </w:pPr>
            <w:r>
              <w:t xml:space="preserve">Part IV </w:t>
            </w:r>
          </w:p>
        </w:tc>
        <w:tc>
          <w:tcPr>
            <w:tcW w:w="5842" w:type="dxa"/>
          </w:tcPr>
          <w:p>
            <w:pPr>
              <w:pStyle w:val="yTable"/>
              <w:ind w:left="98" w:right="75"/>
            </w:pPr>
            <w:r>
              <w:t>In the Part heading delete “WRECKS, OBSTRUCTIONS AND”.</w:t>
            </w:r>
          </w:p>
        </w:tc>
      </w:tr>
      <w:tr>
        <w:tc>
          <w:tcPr>
            <w:tcW w:w="1246" w:type="dxa"/>
          </w:tcPr>
          <w:p>
            <w:pPr>
              <w:pStyle w:val="yTable"/>
            </w:pPr>
            <w:r>
              <w:t xml:space="preserve">s. 32 </w:t>
            </w:r>
          </w:p>
        </w:tc>
        <w:tc>
          <w:tcPr>
            <w:tcW w:w="5842" w:type="dxa"/>
          </w:tcPr>
          <w:p>
            <w:pPr>
              <w:pStyle w:val="yTable"/>
              <w:ind w:left="98" w:right="75"/>
            </w:pPr>
            <w:r>
              <w:t>Repeal the section.</w:t>
            </w:r>
          </w:p>
        </w:tc>
      </w:tr>
      <w:tr>
        <w:tc>
          <w:tcPr>
            <w:tcW w:w="1246" w:type="dxa"/>
          </w:tcPr>
          <w:p>
            <w:pPr>
              <w:pStyle w:val="yTable"/>
            </w:pPr>
            <w:r>
              <w:t>s. 35</w:t>
            </w:r>
          </w:p>
        </w:tc>
        <w:tc>
          <w:tcPr>
            <w:tcW w:w="5842" w:type="dxa"/>
          </w:tcPr>
          <w:p>
            <w:pPr>
              <w:pStyle w:val="yTable"/>
              <w:ind w:left="98" w:right="75"/>
            </w:pPr>
            <w:r>
              <w:t>Repeal the section.</w:t>
            </w:r>
          </w:p>
        </w:tc>
      </w:tr>
      <w:tr>
        <w:tc>
          <w:tcPr>
            <w:tcW w:w="1246" w:type="dxa"/>
          </w:tcPr>
          <w:p>
            <w:pPr>
              <w:pStyle w:val="yTable"/>
            </w:pPr>
            <w:r>
              <w:t>s. 60 (1)</w:t>
            </w:r>
          </w:p>
        </w:tc>
        <w:tc>
          <w:tcPr>
            <w:tcW w:w="5842" w:type="dxa"/>
          </w:tcPr>
          <w:p>
            <w:pPr>
              <w:pStyle w:val="yTable"/>
              <w:ind w:left="98" w:right="75"/>
            </w:pPr>
            <w:r>
              <w:t>Insert after “Port Authority” where it first occurs the following — </w:t>
            </w:r>
          </w:p>
          <w:p>
            <w:pPr>
              <w:pStyle w:val="yTable"/>
              <w:ind w:left="98" w:right="75"/>
            </w:pPr>
            <w:r>
              <w:t>“</w:t>
            </w:r>
          </w:p>
          <w:p>
            <w:pPr>
              <w:pStyle w:val="yTable"/>
              <w:tabs>
                <w:tab w:val="left" w:pos="739"/>
              </w:tabs>
              <w:ind w:left="739" w:right="75" w:hanging="641"/>
            </w:pPr>
            <w:r>
              <w:tab/>
              <w:t>shall act in accordance with prudent commercial principles and</w:t>
            </w:r>
          </w:p>
          <w:p>
            <w:pPr>
              <w:pStyle w:val="yTable"/>
              <w:ind w:left="98" w:right="75"/>
              <w:jc w:val="right"/>
            </w:pPr>
            <w:r>
              <w:t>”.</w:t>
            </w:r>
          </w:p>
        </w:tc>
      </w:tr>
      <w:tr>
        <w:tc>
          <w:tcPr>
            <w:tcW w:w="1246" w:type="dxa"/>
          </w:tcPr>
          <w:p>
            <w:pPr>
              <w:pStyle w:val="yTable"/>
            </w:pPr>
            <w:r>
              <w:t>s. 60 (2)</w:t>
            </w:r>
          </w:p>
        </w:tc>
        <w:tc>
          <w:tcPr>
            <w:tcW w:w="5842" w:type="dxa"/>
          </w:tcPr>
          <w:p>
            <w:pPr>
              <w:pStyle w:val="yTable"/>
              <w:ind w:left="98" w:right="75"/>
            </w:pPr>
            <w:r>
              <w:t>Repeal the subsection.</w:t>
            </w:r>
          </w:p>
        </w:tc>
      </w:tr>
      <w:tr>
        <w:tc>
          <w:tcPr>
            <w:tcW w:w="1246" w:type="dxa"/>
          </w:tcPr>
          <w:p>
            <w:pPr>
              <w:pStyle w:val="yTable"/>
            </w:pPr>
            <w:r>
              <w:t xml:space="preserve">s. 66 </w:t>
            </w:r>
          </w:p>
        </w:tc>
        <w:tc>
          <w:tcPr>
            <w:tcW w:w="5842" w:type="dxa"/>
          </w:tcPr>
          <w:p>
            <w:pPr>
              <w:pStyle w:val="yTable"/>
              <w:ind w:left="98" w:right="75"/>
            </w:pPr>
            <w:r>
              <w:t>Repeal the section.</w:t>
            </w:r>
          </w:p>
        </w:tc>
      </w:tr>
      <w:tr>
        <w:tc>
          <w:tcPr>
            <w:tcW w:w="1246" w:type="dxa"/>
          </w:tcPr>
          <w:p>
            <w:pPr>
              <w:pStyle w:val="yTable"/>
            </w:pPr>
            <w:r>
              <w:t xml:space="preserve">s. 67 </w:t>
            </w:r>
          </w:p>
        </w:tc>
        <w:tc>
          <w:tcPr>
            <w:tcW w:w="5842" w:type="dxa"/>
          </w:tcPr>
          <w:p>
            <w:pPr>
              <w:pStyle w:val="yTable"/>
              <w:ind w:left="98" w:right="75"/>
            </w:pPr>
            <w:r>
              <w:t>Repeal the section.</w:t>
            </w:r>
          </w:p>
        </w:tc>
      </w:tr>
      <w:tr>
        <w:tc>
          <w:tcPr>
            <w:tcW w:w="1246" w:type="dxa"/>
          </w:tcPr>
          <w:p>
            <w:pPr>
              <w:pStyle w:val="yTable"/>
            </w:pPr>
            <w:r>
              <w:t xml:space="preserve">s. 68 </w:t>
            </w:r>
          </w:p>
        </w:tc>
        <w:tc>
          <w:tcPr>
            <w:tcW w:w="5842" w:type="dxa"/>
          </w:tcPr>
          <w:p>
            <w:pPr>
              <w:pStyle w:val="yTable"/>
              <w:ind w:left="98" w:right="75"/>
            </w:pPr>
            <w:r>
              <w:t>Repeal the section.</w:t>
            </w:r>
          </w:p>
        </w:tc>
      </w:tr>
      <w:tr>
        <w:tc>
          <w:tcPr>
            <w:tcW w:w="1246" w:type="dxa"/>
          </w:tcPr>
          <w:p>
            <w:pPr>
              <w:pStyle w:val="yTable"/>
            </w:pPr>
            <w:r>
              <w:t xml:space="preserve">s. 69 </w:t>
            </w:r>
          </w:p>
        </w:tc>
        <w:tc>
          <w:tcPr>
            <w:tcW w:w="5842" w:type="dxa"/>
          </w:tcPr>
          <w:p>
            <w:pPr>
              <w:pStyle w:val="yTable"/>
              <w:ind w:left="98" w:right="75"/>
            </w:pPr>
            <w:r>
              <w:t>Repeal the section.</w:t>
            </w:r>
          </w:p>
        </w:tc>
      </w:tr>
      <w:tr>
        <w:tc>
          <w:tcPr>
            <w:tcW w:w="1246" w:type="dxa"/>
          </w:tcPr>
          <w:p>
            <w:pPr>
              <w:pStyle w:val="yTable"/>
            </w:pPr>
            <w:r>
              <w:t xml:space="preserve">s. 72 </w:t>
            </w:r>
          </w:p>
        </w:tc>
        <w:tc>
          <w:tcPr>
            <w:tcW w:w="5842" w:type="dxa"/>
          </w:tcPr>
          <w:p>
            <w:pPr>
              <w:pStyle w:val="yTable"/>
              <w:ind w:left="98" w:right="75"/>
            </w:pPr>
            <w:r>
              <w:t>Repeal the section.</w:t>
            </w:r>
          </w:p>
        </w:tc>
      </w:tr>
      <w:tr>
        <w:tc>
          <w:tcPr>
            <w:tcW w:w="1246" w:type="dxa"/>
          </w:tcPr>
          <w:p>
            <w:pPr>
              <w:pStyle w:val="yTable"/>
            </w:pPr>
            <w:r>
              <w:t>s. 82</w:t>
            </w:r>
          </w:p>
        </w:tc>
        <w:tc>
          <w:tcPr>
            <w:tcW w:w="5842" w:type="dxa"/>
          </w:tcPr>
          <w:p>
            <w:pPr>
              <w:pStyle w:val="yTable"/>
              <w:ind w:left="98" w:right="75"/>
            </w:pPr>
            <w:r>
              <w:t>Delete paragraphs (8), (9), (15), (16), (27), (28), (29), (30), (31), (32), (40), (41), (42), (43), (44), (45), (46), (47), (48) and (49).</w:t>
            </w:r>
          </w:p>
        </w:tc>
      </w:tr>
    </w:tbl>
    <w:p>
      <w:pPr>
        <w:pStyle w:val="yHeading2"/>
        <w:spacing w:after="160"/>
        <w:outlineLvl w:val="9"/>
      </w:pPr>
      <w:r>
        <w:t>PART 8 — </w:t>
      </w:r>
      <w:r>
        <w:rPr>
          <w:i/>
        </w:rPr>
        <w:t>POLLUTION OF WATERS BY OIL AND NOXIOUS SUBSTANCES ACT 1987</w:t>
      </w:r>
      <w:r>
        <w:t>*</w:t>
      </w:r>
    </w:p>
    <w:tbl>
      <w:tblPr>
        <w:tblW w:w="0" w:type="auto"/>
        <w:tblInd w:w="8" w:type="dxa"/>
        <w:tblLayout w:type="fixed"/>
        <w:tblCellMar>
          <w:left w:w="0" w:type="dxa"/>
          <w:right w:w="0" w:type="dxa"/>
        </w:tblCellMar>
        <w:tblLook w:val="0000" w:firstRow="0" w:lastRow="0" w:firstColumn="0" w:lastColumn="0" w:noHBand="0" w:noVBand="0"/>
      </w:tblPr>
      <w:tblGrid>
        <w:gridCol w:w="1246"/>
        <w:gridCol w:w="5842"/>
      </w:tblGrid>
      <w:tr>
        <w:tc>
          <w:tcPr>
            <w:tcW w:w="1246" w:type="dxa"/>
          </w:tcPr>
          <w:p>
            <w:pPr>
              <w:pStyle w:val="yTable"/>
            </w:pPr>
            <w:r>
              <w:t xml:space="preserve">s. 3 </w:t>
            </w:r>
          </w:p>
        </w:tc>
        <w:tc>
          <w:tcPr>
            <w:tcW w:w="5842" w:type="dxa"/>
          </w:tcPr>
          <w:p>
            <w:pPr>
              <w:pStyle w:val="yTable"/>
            </w:pPr>
            <w:r>
              <w:t xml:space="preserve">In the definition of “harbour master” delete “, section 19 of the </w:t>
            </w:r>
            <w:r>
              <w:rPr>
                <w:i/>
              </w:rPr>
              <w:t>Fremantle Port Authority Act 1902</w:t>
            </w:r>
            <w:r>
              <w:t xml:space="preserve"> or section 17 of the </w:t>
            </w:r>
            <w:r>
              <w:rPr>
                <w:i/>
              </w:rPr>
              <w:t>Port Hedland Port Authority Act 1970</w:t>
            </w:r>
            <w:r>
              <w:t xml:space="preserve"> for any” and substitute the following — </w:t>
            </w:r>
          </w:p>
        </w:tc>
      </w:tr>
      <w:tr>
        <w:tc>
          <w:tcPr>
            <w:tcW w:w="1246" w:type="dxa"/>
          </w:tcPr>
          <w:p>
            <w:pPr>
              <w:pStyle w:val="yTable"/>
            </w:pPr>
          </w:p>
        </w:tc>
        <w:tc>
          <w:tcPr>
            <w:tcW w:w="5842" w:type="dxa"/>
          </w:tcPr>
          <w:p>
            <w:pPr>
              <w:pStyle w:val="yTable"/>
            </w:pPr>
            <w:r>
              <w:t>“</w:t>
            </w:r>
            <w:r>
              <w:t> </w:t>
            </w:r>
            <w:r>
              <w:t xml:space="preserve">or section 22 of the </w:t>
            </w:r>
            <w:r>
              <w:rPr>
                <w:i/>
              </w:rPr>
              <w:t>Ports (Functions) Act 1993</w:t>
            </w:r>
            <w:r>
              <w:t xml:space="preserve"> for a</w:t>
            </w:r>
            <w:r>
              <w:t> </w:t>
            </w:r>
            <w:r>
              <w:t>”.</w:t>
            </w:r>
          </w:p>
        </w:tc>
      </w:tr>
    </w:tbl>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outlineLvl w:val="0"/>
      </w:pPr>
      <w:r>
        <w:t>Notes</w:t>
      </w:r>
    </w:p>
    <w:p>
      <w:pPr>
        <w:pStyle w:val="nSubsection"/>
        <w:rPr>
          <w:snapToGrid w:val="0"/>
        </w:rPr>
      </w:pPr>
      <w:r>
        <w:rPr>
          <w:snapToGrid w:val="0"/>
          <w:vertAlign w:val="superscript"/>
        </w:rPr>
        <w:t>1.</w:t>
      </w:r>
      <w:r>
        <w:rPr>
          <w:snapToGrid w:val="0"/>
        </w:rPr>
        <w:tab/>
        <w:t xml:space="preserve">This is a compilation of the </w:t>
      </w:r>
      <w:r>
        <w:rPr>
          <w:i/>
          <w:snapToGrid w:val="0"/>
        </w:rPr>
        <w:t>Ports (Functions) Act 1993</w:t>
      </w:r>
      <w:r>
        <w:rPr>
          <w:snapToGrid w:val="0"/>
        </w:rPr>
        <w:t xml:space="preserve"> and includes all amendments effected by the other Acts referred to in the following Table.</w:t>
      </w:r>
    </w:p>
    <w:p>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Ports (Functions) Act 1993</w:t>
            </w:r>
          </w:p>
        </w:tc>
        <w:tc>
          <w:tcPr>
            <w:tcW w:w="1134" w:type="dxa"/>
            <w:tcBorders>
              <w:top w:val="single" w:sz="8" w:space="0" w:color="auto"/>
            </w:tcBorders>
          </w:tcPr>
          <w:p>
            <w:pPr>
              <w:pStyle w:val="nTable"/>
              <w:spacing w:after="40"/>
              <w:rPr>
                <w:sz w:val="19"/>
              </w:rPr>
            </w:pPr>
            <w:r>
              <w:rPr>
                <w:sz w:val="19"/>
              </w:rPr>
              <w:t>46 of 1993</w:t>
            </w:r>
          </w:p>
        </w:tc>
        <w:tc>
          <w:tcPr>
            <w:tcW w:w="1134" w:type="dxa"/>
            <w:tcBorders>
              <w:top w:val="single" w:sz="8" w:space="0" w:color="auto"/>
            </w:tcBorders>
          </w:tcPr>
          <w:p>
            <w:pPr>
              <w:pStyle w:val="nTable"/>
              <w:spacing w:after="40"/>
              <w:rPr>
                <w:sz w:val="19"/>
              </w:rPr>
            </w:pPr>
            <w:r>
              <w:rPr>
                <w:sz w:val="19"/>
              </w:rPr>
              <w:t>20 Dec 1993</w:t>
            </w:r>
          </w:p>
        </w:tc>
        <w:tc>
          <w:tcPr>
            <w:tcW w:w="2551" w:type="dxa"/>
            <w:tcBorders>
              <w:top w:val="single" w:sz="8" w:space="0" w:color="auto"/>
            </w:tcBorders>
          </w:tcPr>
          <w:p>
            <w:pPr>
              <w:pStyle w:val="nTable"/>
              <w:spacing w:after="40"/>
              <w:rPr>
                <w:sz w:val="19"/>
              </w:rPr>
            </w:pPr>
            <w:r>
              <w:rPr>
                <w:sz w:val="19"/>
              </w:rPr>
              <w:t>15 Jun 1994 (see </w:t>
            </w:r>
            <w:r>
              <w:rPr>
                <w:i/>
                <w:sz w:val="19"/>
              </w:rPr>
              <w:t>Gazette</w:t>
            </w:r>
            <w:r>
              <w:rPr>
                <w:sz w:val="19"/>
              </w:rPr>
              <w:t xml:space="preserve"> 10 Jun 1994 p.2373.)</w:t>
            </w:r>
          </w:p>
        </w:tc>
      </w:tr>
      <w:tr>
        <w:tc>
          <w:tcPr>
            <w:tcW w:w="2268" w:type="dxa"/>
          </w:tcPr>
          <w:p>
            <w:pPr>
              <w:pStyle w:val="nTable"/>
              <w:spacing w:after="40"/>
              <w:rPr>
                <w:sz w:val="19"/>
              </w:rPr>
            </w:pPr>
            <w:r>
              <w:rPr>
                <w:i/>
                <w:sz w:val="19"/>
              </w:rPr>
              <w:t>Statutory Corporations (Liability of Directors) Act 1996</w:t>
            </w:r>
            <w:r>
              <w:rPr>
                <w:sz w:val="19"/>
              </w:rPr>
              <w:t>, section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1" w:type="dxa"/>
          </w:tcPr>
          <w:p>
            <w:pPr>
              <w:pStyle w:val="nTable"/>
              <w:spacing w:after="40"/>
              <w:rPr>
                <w:sz w:val="19"/>
              </w:rPr>
            </w:pPr>
            <w:r>
              <w:rPr>
                <w:sz w:val="19"/>
              </w:rPr>
              <w:t xml:space="preserve">1 Dec 1996 (see section 2 and </w:t>
            </w:r>
            <w:r>
              <w:rPr>
                <w:i/>
                <w:sz w:val="19"/>
              </w:rPr>
              <w:t>Gazette</w:t>
            </w:r>
            <w:r>
              <w:rPr>
                <w:sz w:val="19"/>
              </w:rPr>
              <w:t xml:space="preserve"> 12 Nov 1996 p.6301)</w:t>
            </w:r>
          </w:p>
        </w:tc>
      </w:tr>
      <w:tr>
        <w:tc>
          <w:tcPr>
            <w:tcW w:w="2268" w:type="dxa"/>
            <w:tcBorders>
              <w:bottom w:val="single" w:sz="4" w:space="0" w:color="auto"/>
            </w:tcBorders>
          </w:tcPr>
          <w:p>
            <w:pPr>
              <w:pStyle w:val="nTable"/>
              <w:spacing w:after="40"/>
              <w:rPr>
                <w:sz w:val="19"/>
              </w:rPr>
            </w:pPr>
            <w:r>
              <w:rPr>
                <w:i/>
                <w:sz w:val="19"/>
              </w:rPr>
              <w:t>Port Authorities (Consequential Provisions) Act 1999</w:t>
            </w:r>
            <w:r>
              <w:rPr>
                <w:sz w:val="19"/>
              </w:rPr>
              <w:t>, Part 2 and Part 3 (other than  s.16(2))</w:t>
            </w:r>
          </w:p>
        </w:tc>
        <w:tc>
          <w:tcPr>
            <w:tcW w:w="1134" w:type="dxa"/>
            <w:tcBorders>
              <w:bottom w:val="single" w:sz="4" w:space="0" w:color="auto"/>
            </w:tcBorders>
          </w:tcPr>
          <w:p>
            <w:pPr>
              <w:pStyle w:val="nTable"/>
              <w:spacing w:after="40"/>
              <w:rPr>
                <w:sz w:val="19"/>
              </w:rPr>
            </w:pPr>
            <w:r>
              <w:rPr>
                <w:sz w:val="19"/>
              </w:rPr>
              <w:t>5 of 1999</w:t>
            </w:r>
          </w:p>
        </w:tc>
        <w:tc>
          <w:tcPr>
            <w:tcW w:w="1134" w:type="dxa"/>
            <w:tcBorders>
              <w:bottom w:val="single" w:sz="4" w:space="0" w:color="auto"/>
            </w:tcBorders>
          </w:tcPr>
          <w:p>
            <w:pPr>
              <w:pStyle w:val="nTable"/>
              <w:spacing w:after="40"/>
              <w:rPr>
                <w:sz w:val="19"/>
              </w:rPr>
            </w:pPr>
            <w:r>
              <w:rPr>
                <w:sz w:val="19"/>
              </w:rPr>
              <w:t>13 Apr 1999</w:t>
            </w:r>
          </w:p>
        </w:tc>
        <w:tc>
          <w:tcPr>
            <w:tcW w:w="2551" w:type="dxa"/>
            <w:tcBorders>
              <w:bottom w:val="single" w:sz="4" w:space="0" w:color="auto"/>
            </w:tcBorders>
          </w:tcPr>
          <w:p>
            <w:pPr>
              <w:pStyle w:val="nTable"/>
              <w:spacing w:after="40"/>
              <w:rPr>
                <w:sz w:val="19"/>
              </w:rPr>
            </w:pPr>
            <w:r>
              <w:rPr>
                <w:sz w:val="19"/>
              </w:rPr>
              <w:t xml:space="preserve">14 Aug 1999 (see section 2 and </w:t>
            </w:r>
            <w:r>
              <w:rPr>
                <w:i/>
                <w:sz w:val="19"/>
              </w:rPr>
              <w:t>Gazette</w:t>
            </w:r>
            <w:r>
              <w:rPr>
                <w:sz w:val="19"/>
              </w:rPr>
              <w:t xml:space="preserve"> 13 Aug 1999 p.3823)</w:t>
            </w:r>
          </w:p>
        </w:tc>
      </w:tr>
    </w:tbl>
    <w:p>
      <w:pPr>
        <w:pStyle w:val="nSubsection"/>
      </w:pPr>
      <w:r>
        <w:rPr>
          <w:vertAlign w:val="superscript"/>
        </w:rPr>
        <w:t>2</w:t>
      </w:r>
      <w:r>
        <w:tab/>
        <w:t xml:space="preserve">Part 3 of the </w:t>
      </w:r>
      <w:r>
        <w:rPr>
          <w:i/>
        </w:rPr>
        <w:t>Port Authorities (Consequential Provisions) Act 1999</w:t>
      </w:r>
      <w:r>
        <w:t xml:space="preserve"> (Act No. 5 of 1999) reads as follows —</w:t>
      </w:r>
    </w:p>
    <w:p>
      <w:pPr>
        <w:pStyle w:val="MiscOpen"/>
      </w:pPr>
      <w:r>
        <w:t>“</w:t>
      </w:r>
    </w:p>
    <w:p>
      <w:pPr>
        <w:pStyle w:val="nzHeading2"/>
      </w:pPr>
      <w:r>
        <w:t>Part 3 — Transitional and saving provisions</w:t>
      </w:r>
    </w:p>
    <w:p>
      <w:pPr>
        <w:pStyle w:val="nzHeading5"/>
      </w:pPr>
      <w:r>
        <w:t>12.</w:t>
      </w:r>
      <w:r>
        <w:tab/>
        <w:t xml:space="preserve">Application of </w:t>
      </w:r>
      <w:r>
        <w:rPr>
          <w:i/>
        </w:rPr>
        <w:t>Interpretation Act 1984</w:t>
      </w:r>
      <w:r>
        <w:t xml:space="preserve"> </w:t>
      </w:r>
    </w:p>
    <w:p>
      <w:pPr>
        <w:pStyle w:val="nzSubsection"/>
      </w:pPr>
      <w:r>
        <w:tab/>
        <w:t>(1)</w:t>
      </w:r>
      <w:r>
        <w:tab/>
        <w:t xml:space="preserve">The provisions of the </w:t>
      </w:r>
      <w:r>
        <w:rPr>
          <w:i/>
        </w:rPr>
        <w:t>Interpretation Act 1984</w:t>
      </w:r>
      <w:r>
        <w:t xml:space="preserve"> about the repeal of written laws and the substitution of other written laws for those so repealed (for example, sections 16(1), 36 and 38) apply to the repeal of an existing Act relating to a port authority and the amendment of the </w:t>
      </w:r>
      <w:r>
        <w:rPr>
          <w:i/>
        </w:rPr>
        <w:t>Ports (Functions) Act 1993</w:t>
      </w:r>
      <w:r>
        <w:t xml:space="preserve"> in relation to that existing Act and that port authority as if the PA Act — </w:t>
      </w:r>
    </w:p>
    <w:p>
      <w:pPr>
        <w:pStyle w:val="nzIndenta"/>
      </w:pPr>
      <w:r>
        <w:tab/>
        <w:t>(a)</w:t>
      </w:r>
      <w:r>
        <w:tab/>
        <w:t>repealed that existing Act; and</w:t>
      </w:r>
    </w:p>
    <w:p>
      <w:pPr>
        <w:pStyle w:val="nzIndenta"/>
      </w:pPr>
      <w:r>
        <w:tab/>
        <w:t>(b)</w:t>
      </w:r>
      <w:r>
        <w:tab/>
        <w:t xml:space="preserve">repealed the </w:t>
      </w:r>
      <w:r>
        <w:rPr>
          <w:i/>
        </w:rPr>
        <w:t>Ports (Functions) Act 1993</w:t>
      </w:r>
      <w:r>
        <w:t xml:space="preserve"> insofar as it applied to that port authority,</w:t>
      </w:r>
    </w:p>
    <w:p>
      <w:pPr>
        <w:pStyle w:val="nzSubsection"/>
      </w:pPr>
      <w:r>
        <w:tab/>
      </w:r>
      <w:r>
        <w:tab/>
        <w:t>when the item relating to that port authority comes into operation.</w:t>
      </w:r>
    </w:p>
    <w:p>
      <w:pPr>
        <w:pStyle w:val="nzSubsection"/>
      </w:pPr>
      <w:r>
        <w:tab/>
        <w:t>(2)</w:t>
      </w:r>
      <w:r>
        <w:tab/>
        <w:t>The other provisions of this Part are additional to the provisions applied by subsection (1).</w:t>
      </w:r>
    </w:p>
    <w:p>
      <w:pPr>
        <w:pStyle w:val="nzHeading5"/>
      </w:pPr>
      <w:r>
        <w:t>13.</w:t>
      </w:r>
      <w:r>
        <w:tab/>
        <w:t xml:space="preserve">Existing port authorities continue </w:t>
      </w:r>
    </w:p>
    <w:p>
      <w:pPr>
        <w:pStyle w:val="nzSubsection"/>
      </w:pPr>
      <w:r>
        <w:tab/>
        <w:t>(1)</w:t>
      </w:r>
      <w:r>
        <w:tab/>
        <w:t>If, immediately before the commencement of an item, there was an existing port authority with the name set out in that item, the port authority named in that item is a continuation of, and the same legal entity as, the existing port authority and the rights and obligations of the existing port authority are not affected.</w:t>
      </w:r>
    </w:p>
    <w:p>
      <w:pPr>
        <w:pStyle w:val="nzSubsection"/>
      </w:pPr>
      <w:r>
        <w:tab/>
        <w:t>(2)</w:t>
      </w:r>
      <w:r>
        <w:tab/>
        <w:t xml:space="preserve">If in a written law or other document or instrument there is — </w:t>
      </w:r>
    </w:p>
    <w:p>
      <w:pPr>
        <w:pStyle w:val="nzIndenta"/>
      </w:pPr>
      <w:r>
        <w:tab/>
        <w:t>(a)</w:t>
      </w:r>
      <w:r>
        <w:tab/>
        <w:t>a reference to an existing port authority constituted or established under an existing Act; or</w:t>
      </w:r>
    </w:p>
    <w:p>
      <w:pPr>
        <w:pStyle w:val="nzIndenta"/>
      </w:pPr>
      <w:r>
        <w:tab/>
        <w:t>(b)</w:t>
      </w:r>
      <w:r>
        <w:tab/>
        <w:t>a reference that is to be read and construed as a reference to an existing port authority,</w:t>
      </w:r>
    </w:p>
    <w:p>
      <w:pPr>
        <w:pStyle w:val="nzSubsection"/>
      </w:pPr>
      <w:r>
        <w:tab/>
      </w:r>
      <w:r>
        <w:tab/>
        <w:t>that reference may, where the context so requires, be read as if it had been amended to be a reference to the port authority as established under the PA Act.</w:t>
      </w:r>
    </w:p>
    <w:p>
      <w:pPr>
        <w:pStyle w:val="nzHeading5"/>
      </w:pPr>
      <w:r>
        <w:t>14.</w:t>
      </w:r>
      <w:r>
        <w:tab/>
        <w:t xml:space="preserve">Membership </w:t>
      </w:r>
    </w:p>
    <w:p>
      <w:pPr>
        <w:pStyle w:val="nzSubsection"/>
      </w:pPr>
      <w:r>
        <w:tab/>
        <w:t>(1)</w:t>
      </w:r>
      <w:r>
        <w:tab/>
        <w:t>The persons who were members or commissioners of a continuing port authority (including the chairman) immediately before the commencement of the item relating to that port authority continue in office, under and subject to the PA Act, as the chairperson and directors of that port authority.</w:t>
      </w:r>
    </w:p>
    <w:p>
      <w:pPr>
        <w:pStyle w:val="nzSubsection"/>
      </w:pPr>
      <w:r>
        <w:tab/>
        <w:t>(2)</w:t>
      </w:r>
      <w:r>
        <w:tab/>
        <w:t xml:space="preserve">Subsection (1) does not apply to a person holding office under section 8(1)(d) of the </w:t>
      </w:r>
      <w:r>
        <w:rPr>
          <w:i/>
        </w:rPr>
        <w:t>Dampier Port Authority Act 1985</w:t>
      </w:r>
      <w:r>
        <w:t>.</w:t>
      </w:r>
    </w:p>
    <w:p>
      <w:pPr>
        <w:pStyle w:val="nzSubsection"/>
      </w:pPr>
      <w:r>
        <w:tab/>
        <w:t>(3)</w:t>
      </w:r>
      <w:r>
        <w:tab/>
        <w:t>A person to whom subsection (1) applies is to be regarded as having been appointed under section 7 of the PA Act.</w:t>
      </w:r>
    </w:p>
    <w:p>
      <w:pPr>
        <w:pStyle w:val="nzHeading5"/>
      </w:pPr>
      <w:r>
        <w:t>15.</w:t>
      </w:r>
      <w:r>
        <w:tab/>
        <w:t xml:space="preserve">Staff </w:t>
      </w:r>
    </w:p>
    <w:p>
      <w:pPr>
        <w:pStyle w:val="nzSubsection"/>
      </w:pPr>
      <w:r>
        <w:tab/>
        <w:t>(1)</w:t>
      </w:r>
      <w:r>
        <w:tab/>
        <w:t>A person who was the general manager of a continuing port authority immediately before the commencement of the item relating to that port authority continues in office, under and subject to the PA Act, as the chief executive officer of that port authority.</w:t>
      </w:r>
    </w:p>
    <w:p>
      <w:pPr>
        <w:pStyle w:val="nzSubsection"/>
      </w:pPr>
      <w:r>
        <w:tab/>
        <w:t>(2)</w:t>
      </w:r>
      <w:r>
        <w:tab/>
        <w:t>Other people who were in the employment of a continuing port authority immediately before the commencement of the item relating to that port authority continue, under and subject to the PA Act, as members of staff of that port authority.</w:t>
      </w:r>
    </w:p>
    <w:p>
      <w:pPr>
        <w:pStyle w:val="nzSubsection"/>
      </w:pPr>
      <w:r>
        <w:tab/>
        <w:t>(3)</w:t>
      </w:r>
      <w:r>
        <w:tab/>
        <w:t xml:space="preserve">Except as otherwise agreed by a chief executive officer or member of staff, the remuneration, existing or accrued rights, rights under a superannuation scheme or continuity of service of a chief executive officer or member of staff of a continuing port authority are not affected, prejudiced or interrupted by — </w:t>
      </w:r>
    </w:p>
    <w:p>
      <w:pPr>
        <w:pStyle w:val="nzIndenta"/>
      </w:pPr>
      <w:r>
        <w:tab/>
        <w:t>(a)</w:t>
      </w:r>
      <w:r>
        <w:tab/>
        <w:t>the operation of subsection (1) or (2); or</w:t>
      </w:r>
    </w:p>
    <w:p>
      <w:pPr>
        <w:pStyle w:val="nzIndenta"/>
      </w:pPr>
      <w:r>
        <w:tab/>
        <w:t>(b)</w:t>
      </w:r>
      <w:r>
        <w:tab/>
        <w:t xml:space="preserve">that port authority ceasing to be an SES organization under the </w:t>
      </w:r>
      <w:r>
        <w:rPr>
          <w:i/>
        </w:rPr>
        <w:t>Public Sector Management Act 1994</w:t>
      </w:r>
      <w:r>
        <w:t>.</w:t>
      </w:r>
    </w:p>
    <w:p>
      <w:pPr>
        <w:pStyle w:val="nzSubsection"/>
      </w:pPr>
      <w:r>
        <w:tab/>
        <w:t>(4)</w:t>
      </w:r>
      <w:r>
        <w:tab/>
        <w:t xml:space="preserve">A person mentioned in subsection (1) or (2) is to be regarded as an employee of an organization for the purposes of Part 6 of the </w:t>
      </w:r>
      <w:r>
        <w:rPr>
          <w:i/>
        </w:rPr>
        <w:t>Public Sector Management Act 1994</w:t>
      </w:r>
      <w:r>
        <w:t>.</w:t>
      </w:r>
    </w:p>
    <w:p>
      <w:pPr>
        <w:pStyle w:val="nzSubsection"/>
      </w:pPr>
      <w:r>
        <w:tab/>
        <w:t>(5)</w:t>
      </w:r>
      <w:r>
        <w:tab/>
        <w:t>Subsection (4) ceases to apply in relation to a continuing port authority at the expiration of 2 years after the item relating to that port authority commences.</w:t>
      </w:r>
    </w:p>
    <w:p>
      <w:pPr>
        <w:pStyle w:val="nzSubsection"/>
      </w:pPr>
      <w:r>
        <w:tab/>
        <w:t>(6)</w:t>
      </w:r>
      <w:r>
        <w:tab/>
        <w:t>A person mentioned in subsection (2) is to be regarded as having been engaged under section 16 of the PA Act.</w:t>
      </w:r>
    </w:p>
    <w:p>
      <w:pPr>
        <w:pStyle w:val="nzHeading5"/>
      </w:pPr>
      <w:r>
        <w:t>16.</w:t>
      </w:r>
      <w:r>
        <w:tab/>
        <w:t>Port descriptions</w:t>
      </w:r>
    </w:p>
    <w:p>
      <w:pPr>
        <w:pStyle w:val="nzSubsection"/>
      </w:pPr>
      <w:r>
        <w:tab/>
        <w:t>(1)</w:t>
      </w:r>
      <w:r>
        <w:tab/>
        <w:t>Until an order is made under section 24(1) of the PA Act in relation to a port referred to in item 1, 3, 4, 5, 6, 7 or 8 the description of that port for the purposes of the PA Act is the description that had effect under the relevant existing Act immediately before the commencement of that item.</w:t>
      </w:r>
    </w:p>
    <w:p>
      <w:pPr>
        <w:pStyle w:val="nzSubsection"/>
      </w:pPr>
      <w:r>
        <w:tab/>
        <w:t>(2)</w:t>
      </w:r>
      <w:r>
        <w:tab/>
        <w:t xml:space="preserve">Until an order is made under section 24(1) of the PA Act in relation to the Port of Broome the description of that port for the purposes of the PA Act is as follows — </w:t>
      </w:r>
    </w:p>
    <w:p>
      <w:pPr>
        <w:pStyle w:val="nzSubsection"/>
        <w:jc w:val="center"/>
        <w:rPr>
          <w:i/>
        </w:rPr>
      </w:pPr>
      <w:r>
        <w:rPr>
          <w:i/>
        </w:rPr>
        <w:t>Port of Broome</w:t>
      </w:r>
    </w:p>
    <w:p>
      <w:pPr>
        <w:pStyle w:val="nzIndenta"/>
      </w:pPr>
      <w:r>
        <w:tab/>
        <w:t>(a)</w:t>
      </w:r>
      <w:r>
        <w:tab/>
        <w:t>all that portion of water and seabed bounded by lines starting from the high water mark of Roebuck Bay at the southern extremity of Fall Point and extending south to an east-west line situate 3 nautical miles south from the southern extremity of Entrance Point; then west to a north-south line situate 3 nautical miles west from the southern extremity of Entrance Point; then north to a point situate west of the summit of Station Hill; then east to the high water mark of the Indian Ocean and then generally southwesterly and generally southeasterly along that mark and generally northeasterly, generally northwesterly, again generally northeasterly and generally easterly along the high water mark of Roebuck Bay to the starting point and including all of the waters of Dampier Creek; and</w:t>
      </w:r>
    </w:p>
    <w:p>
      <w:pPr>
        <w:pStyle w:val="nzIndenta"/>
      </w:pPr>
      <w:r>
        <w:tab/>
        <w:t>(b)</w:t>
      </w:r>
      <w:r>
        <w:tab/>
        <w:t>all that portion of land comprised within Broome Lots 616, 698, 848 and 956 as shown bordered in red on Lands and Surveys Reserve Plan 108.</w:t>
      </w:r>
    </w:p>
    <w:p>
      <w:pPr>
        <w:pStyle w:val="nzSubsection"/>
      </w:pPr>
      <w:r>
        <w:tab/>
      </w:r>
      <w:r>
        <w:tab/>
        <w:t>Lands and Surveys Public Plans: Broome Regional 1:10 000 Sheet 1, Sheet 2, Sheet 3; Roebuck Plains 1:250 000; La Grange 1:250 000.</w:t>
      </w:r>
    </w:p>
    <w:p>
      <w:pPr>
        <w:pStyle w:val="nzSubsection"/>
      </w:pPr>
      <w:r>
        <w:tab/>
        <w:t>(3)</w:t>
      </w:r>
      <w:r>
        <w:tab/>
        <w:t>A description that has effect under subsection (1) or (2) may be amended under section 24(2) of the PA Act.</w:t>
      </w:r>
    </w:p>
    <w:p>
      <w:pPr>
        <w:pStyle w:val="nzHeading5"/>
      </w:pPr>
      <w:r>
        <w:t>17.</w:t>
      </w:r>
      <w:r>
        <w:tab/>
        <w:t xml:space="preserve">Strategic development plans </w:t>
      </w:r>
    </w:p>
    <w:p>
      <w:pPr>
        <w:pStyle w:val="nzSubsection"/>
      </w:pPr>
      <w:r>
        <w:tab/>
      </w:r>
      <w:r>
        <w:tab/>
        <w:t>The first strategic development plan for a port authority under Part 5, Division 1 of the PA Act is to be for a period starting when the first financial year starts.</w:t>
      </w:r>
    </w:p>
    <w:p>
      <w:pPr>
        <w:pStyle w:val="nzHeading5"/>
      </w:pPr>
      <w:r>
        <w:t>18.</w:t>
      </w:r>
      <w:r>
        <w:tab/>
        <w:t xml:space="preserve">Statement of corporate intent </w:t>
      </w:r>
    </w:p>
    <w:p>
      <w:pPr>
        <w:pStyle w:val="nzSubsection"/>
      </w:pPr>
      <w:r>
        <w:tab/>
      </w:r>
      <w:r>
        <w:tab/>
        <w:t>The first statement of corporate intent for a port authority under Part 5, Division 2 of the PA Act is to be for the first financial year.</w:t>
      </w:r>
    </w:p>
    <w:p>
      <w:pPr>
        <w:pStyle w:val="nzHeading5"/>
      </w:pPr>
      <w:r>
        <w:t>19.</w:t>
      </w:r>
      <w:r>
        <w:tab/>
        <w:t xml:space="preserve">Borrowing limits </w:t>
      </w:r>
    </w:p>
    <w:p>
      <w:pPr>
        <w:pStyle w:val="nzSubsection"/>
      </w:pPr>
      <w:r>
        <w:tab/>
      </w:r>
      <w:r>
        <w:tab/>
        <w:t>The first monetary limits under section 86 of the PA Act are to be determined in relation to the first financial year.</w:t>
      </w:r>
    </w:p>
    <w:p>
      <w:pPr>
        <w:pStyle w:val="nzHeading5"/>
      </w:pPr>
      <w:r>
        <w:t>20.</w:t>
      </w:r>
      <w:r>
        <w:tab/>
        <w:t xml:space="preserve">Regulations </w:t>
      </w:r>
    </w:p>
    <w:p>
      <w:pPr>
        <w:pStyle w:val="nzSubsection"/>
      </w:pPr>
      <w:r>
        <w:tab/>
        <w:t>(1)</w:t>
      </w:r>
      <w:r>
        <w:tab/>
        <w:t>Regulations made by a continuing port authority that were in force immediately before the commencement of the item relating to that port authority continue in force after that commencement as if they were regulations made by the Governor under section 139 of the PA Act in relation to the port of that port authority.</w:t>
      </w:r>
    </w:p>
    <w:p>
      <w:pPr>
        <w:pStyle w:val="nzSubsection"/>
      </w:pPr>
      <w:r>
        <w:tab/>
        <w:t>(2)</w:t>
      </w:r>
      <w:r>
        <w:tab/>
        <w:t>Subsection (1) does not continue the operation of any regulation that could not be made under section 139 of the PA Act.</w:t>
      </w:r>
    </w:p>
    <w:p>
      <w:pPr>
        <w:pStyle w:val="MiscClose"/>
      </w:pPr>
      <w:r>
        <w:t>”.</w:t>
      </w:r>
    </w:p>
    <w:p>
      <w:pPr>
        <w:pStyle w:val="nSubsection"/>
      </w:pPr>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rPr>
          <w:rFonts w:ascii="Courier New" w:hAnsi="Courier New"/>
          <w:snapToGrid w:val="0"/>
        </w:rPr>
      </w:pPr>
    </w:p>
    <w:sectPr>
      <w:headerReference w:type="even" r:id="rId32"/>
      <w:headerReference w:type="default" r:id="rId33"/>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1996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1996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1996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1996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1996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1996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1996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1996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1996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Ports (Functions) Act 1993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Ports (Functions) Act 1993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Ports (Functions) Act 1993</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Ports (Functions) Act 1993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Ports (Functions) Act 1993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Ports (Functions) Act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Ports (Functions) Act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Ports (Functions) Act 1993</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Ports (Functions) Act 1993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Ports (Functions) Act 1993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Ports (Functions) Act 1993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C201F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8465C2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7DAD8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42094A8"/>
    <w:lvl w:ilvl="0">
      <w:start w:val="1"/>
      <w:numFmt w:val="decimal"/>
      <w:pStyle w:val="ListNumber2"/>
      <w:lvlText w:val="%1."/>
      <w:lvlJc w:val="left"/>
      <w:pPr>
        <w:tabs>
          <w:tab w:val="num" w:pos="720"/>
        </w:tabs>
        <w:ind w:left="720" w:hanging="360"/>
      </w:pPr>
    </w:lvl>
  </w:abstractNum>
  <w:abstractNum w:abstractNumId="4">
    <w:nsid w:val="FFFFFF80"/>
    <w:multiLevelType w:val="singleLevel"/>
    <w:tmpl w:val="F2CAE32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32CE2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A16C1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432A2E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28E0AF6"/>
    <w:lvl w:ilvl="0">
      <w:start w:val="1"/>
      <w:numFmt w:val="decimal"/>
      <w:pStyle w:val="ListNumber"/>
      <w:lvlText w:val="%1."/>
      <w:lvlJc w:val="left"/>
      <w:pPr>
        <w:tabs>
          <w:tab w:val="num" w:pos="360"/>
        </w:tabs>
        <w:ind w:left="360" w:hanging="360"/>
      </w:pPr>
    </w:lvl>
  </w:abstractNum>
  <w:abstractNum w:abstractNumId="9">
    <w:nsid w:val="FFFFFF89"/>
    <w:multiLevelType w:val="singleLevel"/>
    <w:tmpl w:val="AE3EF38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2A09C1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4CC206A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5231"/>
    <w:docVar w:name="WAFER_20151209085231" w:val="RemoveTrackChanges"/>
    <w:docVar w:name="WAFER_20151209085231_GUID" w:val="3752f936-6cd5-4c4c-be22-c2a57dcdbb3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9738</Words>
  <Characters>46548</Characters>
  <Application>Microsoft Office Word</Application>
  <DocSecurity>0</DocSecurity>
  <Lines>1605</Lines>
  <Paragraphs>1197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Ports (Functions) Act 1993 - 00-c0-03</dc:title>
  <dc:subject/>
  <dc:creator/>
  <cp:keywords/>
  <dc:description/>
  <cp:lastModifiedBy>svcMRProcess</cp:lastModifiedBy>
  <cp:revision>4</cp:revision>
  <cp:lastPrinted>2006-04-18T03:54:00Z</cp:lastPrinted>
  <dcterms:created xsi:type="dcterms:W3CDTF">2018-09-06T18:32:00Z</dcterms:created>
  <dcterms:modified xsi:type="dcterms:W3CDTF">2018-09-06T18:32:00Z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1993</vt:lpwstr>
  </property>
  <property fmtid="{D5CDD505-2E9C-101B-9397-08002B2CF9AE}" pid="3" name="CommencementDate">
    <vt:lpwstr>19961201</vt:lpwstr>
  </property>
  <property fmtid="{D5CDD505-2E9C-101B-9397-08002B2CF9AE}" pid="4" name="DocumentType">
    <vt:lpwstr>Act</vt:lpwstr>
  </property>
  <property fmtid="{D5CDD505-2E9C-101B-9397-08002B2CF9AE}" pid="5" name="AsAtDate">
    <vt:lpwstr>01 Dec 1996</vt:lpwstr>
  </property>
  <property fmtid="{D5CDD505-2E9C-101B-9397-08002B2CF9AE}" pid="6" name="Suffix">
    <vt:lpwstr>00-c0-03</vt:lpwstr>
  </property>
</Properties>
</file>