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d02f70a4f6ef4184"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Prisoners (International Transfer) Act 2000</w:t>
      </w:r>
      <w:r>
        <w:fldChar w:fldCharType="end"/>
      </w:r>
    </w:p>
    <w:p>
      <w:pPr>
        <w:pStyle w:val="NameofActRegPage1"/>
        <w:spacing w:before="3760" w:after="4200"/>
        <w:outlineLvl w:val="0"/>
      </w:pP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Prisoners (International Transfer)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_Toc536005152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_Toc536005153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_Toc536005154 \h </w:instrText>
      </w:r>
      <w:r>
        <w:fldChar w:fldCharType="separate"/>
      </w:r>
      <w:r>
        <w:t>2</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_Toc536005155 \h </w:instrText>
      </w:r>
      <w:r>
        <w:fldChar w:fldCharType="separate"/>
      </w:r>
      <w:r>
        <w:t>2</w:t>
      </w:r>
      <w:r>
        <w:fldChar w:fldCharType="end"/>
      </w:r>
    </w:p>
    <w:p>
      <w:pPr>
        <w:pStyle w:val="TOC8"/>
        <w:rPr>
          <w:rFonts w:asciiTheme="minorHAnsi" w:eastAsiaTheme="minorEastAsia" w:hAnsiTheme="minorHAnsi" w:cstheme="minorBidi"/>
          <w:szCs w:val="22"/>
        </w:rPr>
      </w:pPr>
      <w:r>
        <w:t>5.</w:t>
      </w:r>
      <w:r>
        <w:tab/>
        <w:t>Notes not part of Act</w:t>
      </w:r>
      <w:r>
        <w:tab/>
      </w:r>
      <w:r>
        <w:fldChar w:fldCharType="begin"/>
      </w:r>
      <w:r>
        <w:instrText xml:space="preserve"> PAGEREF _Toc536005156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Conferral of functions</w:t>
      </w:r>
    </w:p>
    <w:p>
      <w:pPr>
        <w:pStyle w:val="TOC8"/>
        <w:rPr>
          <w:rFonts w:asciiTheme="minorHAnsi" w:eastAsiaTheme="minorEastAsia" w:hAnsiTheme="minorHAnsi" w:cstheme="minorBidi"/>
          <w:szCs w:val="22"/>
        </w:rPr>
      </w:pPr>
      <w:r>
        <w:t>6.</w:t>
      </w:r>
      <w:r>
        <w:tab/>
        <w:t>Powers and functions of Minister</w:t>
      </w:r>
      <w:r>
        <w:tab/>
      </w:r>
      <w:r>
        <w:fldChar w:fldCharType="begin"/>
      </w:r>
      <w:r>
        <w:instrText xml:space="preserve"> PAGEREF _Toc536005158 \h </w:instrText>
      </w:r>
      <w:r>
        <w:fldChar w:fldCharType="separate"/>
      </w:r>
      <w:r>
        <w:t>4</w:t>
      </w:r>
      <w:r>
        <w:fldChar w:fldCharType="end"/>
      </w:r>
    </w:p>
    <w:p>
      <w:pPr>
        <w:pStyle w:val="TOC8"/>
        <w:rPr>
          <w:rFonts w:asciiTheme="minorHAnsi" w:eastAsiaTheme="minorEastAsia" w:hAnsiTheme="minorHAnsi" w:cstheme="minorBidi"/>
          <w:szCs w:val="22"/>
        </w:rPr>
      </w:pPr>
      <w:r>
        <w:t>7.</w:t>
      </w:r>
      <w:r>
        <w:tab/>
        <w:t>Delegation</w:t>
      </w:r>
      <w:r>
        <w:tab/>
      </w:r>
      <w:r>
        <w:fldChar w:fldCharType="begin"/>
      </w:r>
      <w:r>
        <w:instrText xml:space="preserve"> PAGEREF _Toc536005159 \h </w:instrText>
      </w:r>
      <w:r>
        <w:fldChar w:fldCharType="separate"/>
      </w:r>
      <w:r>
        <w:t>4</w:t>
      </w:r>
      <w:r>
        <w:fldChar w:fldCharType="end"/>
      </w:r>
    </w:p>
    <w:p>
      <w:pPr>
        <w:pStyle w:val="TOC8"/>
        <w:rPr>
          <w:rFonts w:asciiTheme="minorHAnsi" w:eastAsiaTheme="minorEastAsia" w:hAnsiTheme="minorHAnsi" w:cstheme="minorBidi"/>
          <w:szCs w:val="22"/>
        </w:rPr>
      </w:pPr>
      <w:r>
        <w:t>8.</w:t>
      </w:r>
      <w:r>
        <w:tab/>
        <w:t>Powers and functions of prison officers, police officers and others</w:t>
      </w:r>
      <w:r>
        <w:tab/>
      </w:r>
      <w:r>
        <w:fldChar w:fldCharType="begin"/>
      </w:r>
      <w:r>
        <w:instrText xml:space="preserve"> PAGEREF _Toc536005160 \h </w:instrText>
      </w:r>
      <w:r>
        <w:fldChar w:fldCharType="separate"/>
      </w:r>
      <w:r>
        <w:t>4</w:t>
      </w:r>
      <w:r>
        <w:fldChar w:fldCharType="end"/>
      </w:r>
    </w:p>
    <w:p>
      <w:pPr>
        <w:pStyle w:val="TOC8"/>
        <w:rPr>
          <w:rFonts w:asciiTheme="minorHAnsi" w:eastAsiaTheme="minorEastAsia" w:hAnsiTheme="minorHAnsi" w:cstheme="minorBidi"/>
          <w:szCs w:val="22"/>
        </w:rPr>
      </w:pPr>
      <w:r>
        <w:t>9.</w:t>
      </w:r>
      <w:r>
        <w:tab/>
        <w:t>Arrangements for administration of Act</w:t>
      </w:r>
      <w:r>
        <w:tab/>
      </w:r>
      <w:r>
        <w:fldChar w:fldCharType="begin"/>
      </w:r>
      <w:r>
        <w:instrText xml:space="preserve"> PAGEREF _Toc536005161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Enforcement of sentences of imprisonment of transferred prisoners</w:t>
      </w:r>
    </w:p>
    <w:p>
      <w:pPr>
        <w:pStyle w:val="TOC8"/>
        <w:rPr>
          <w:rFonts w:asciiTheme="minorHAnsi" w:eastAsiaTheme="minorEastAsia" w:hAnsiTheme="minorHAnsi" w:cstheme="minorBidi"/>
          <w:szCs w:val="22"/>
        </w:rPr>
      </w:pPr>
      <w:r>
        <w:t>10.</w:t>
      </w:r>
      <w:r>
        <w:tab/>
        <w:t>Prisoners transferred to Western Australia</w:t>
      </w:r>
      <w:r>
        <w:tab/>
      </w:r>
      <w:r>
        <w:fldChar w:fldCharType="begin"/>
      </w:r>
      <w:r>
        <w:instrText xml:space="preserve"> PAGEREF _Toc536005163 \h </w:instrText>
      </w:r>
      <w:r>
        <w:fldChar w:fldCharType="separate"/>
      </w:r>
      <w:r>
        <w:t>6</w:t>
      </w:r>
      <w:r>
        <w:fldChar w:fldCharType="end"/>
      </w:r>
    </w:p>
    <w:p>
      <w:pPr>
        <w:pStyle w:val="TOC8"/>
        <w:rPr>
          <w:rFonts w:asciiTheme="minorHAnsi" w:eastAsiaTheme="minorEastAsia" w:hAnsiTheme="minorHAnsi" w:cstheme="minorBidi"/>
          <w:szCs w:val="22"/>
        </w:rPr>
      </w:pPr>
      <w:r>
        <w:t>11.</w:t>
      </w:r>
      <w:r>
        <w:tab/>
        <w:t>Prisoners transferred from Western Australia</w:t>
      </w:r>
      <w:r>
        <w:tab/>
      </w:r>
      <w:r>
        <w:fldChar w:fldCharType="begin"/>
      </w:r>
      <w:r>
        <w:instrText xml:space="preserve"> PAGEREF _Toc536005164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_Toc536005166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_Toc536005168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pPr>
      <w:r>
        <w:t>Western Australia</w:t>
      </w:r>
    </w:p>
    <w:p>
      <w:pPr>
        <w:pStyle w:val="NameofActReg"/>
        <w:suppressLineNumbers/>
        <w:ind w:left="426" w:right="424"/>
      </w:pPr>
      <w:r>
        <w:t>Prisoners (International Transfer) Act 2000</w:t>
      </w:r>
    </w:p>
    <w:p>
      <w:pPr>
        <w:pStyle w:val="LongTitle"/>
        <w:suppressLineNumbers/>
      </w:pPr>
      <w:bookmarkStart w:id="3" w:name="BillCited"/>
      <w:bookmarkEnd w:id="3"/>
      <w:r>
        <w:rPr>
          <w:snapToGrid w:val="0"/>
        </w:rPr>
        <w:t>An Act to provide for the international transfer of prisoners to and from Western Australia</w:t>
      </w:r>
      <w:r>
        <w:t>.</w:t>
      </w:r>
    </w:p>
    <w:p>
      <w:pPr>
        <w:pStyle w:val="Heading2"/>
      </w:pPr>
      <w:bookmarkStart w:id="4" w:name="Start_Cursor"/>
      <w:bookmarkStart w:id="5" w:name="_Toc378327316"/>
      <w:bookmarkStart w:id="6" w:name="_Toc424287438"/>
      <w:bookmarkStart w:id="7" w:name="_Toc536004886"/>
      <w:bookmarkStart w:id="8" w:name="_Toc536005151"/>
      <w:bookmarkEnd w:id="4"/>
      <w:r>
        <w:rPr>
          <w:rStyle w:val="CharPartNo"/>
        </w:rPr>
        <w:t>Part 1</w:t>
      </w:r>
      <w:r>
        <w:rPr>
          <w:rStyle w:val="CharDivNo"/>
        </w:rPr>
        <w:t xml:space="preserve"> </w:t>
      </w:r>
      <w:r>
        <w:t>—</w:t>
      </w:r>
      <w:r>
        <w:rPr>
          <w:rStyle w:val="CharDivText"/>
        </w:rPr>
        <w:t xml:space="preserve"> </w:t>
      </w:r>
      <w:r>
        <w:rPr>
          <w:rStyle w:val="CharPartText"/>
        </w:rPr>
        <w:t>Preliminary</w:t>
      </w:r>
      <w:bookmarkEnd w:id="5"/>
      <w:bookmarkEnd w:id="6"/>
      <w:bookmarkEnd w:id="7"/>
      <w:bookmarkEnd w:id="8"/>
    </w:p>
    <w:p>
      <w:pPr>
        <w:pStyle w:val="Heading5"/>
      </w:pPr>
      <w:bookmarkStart w:id="9" w:name="_Toc378327317"/>
      <w:bookmarkStart w:id="10" w:name="_Toc424287439"/>
      <w:bookmarkStart w:id="11" w:name="_Toc536005152"/>
      <w:r>
        <w:rPr>
          <w:rStyle w:val="CharSectno"/>
        </w:rPr>
        <w:t>1.</w:t>
      </w:r>
      <w:r>
        <w:rPr>
          <w:rStyle w:val="CharSectno"/>
        </w:rPr>
        <w:tab/>
      </w:r>
      <w:r>
        <w:rPr>
          <w:snapToGrid w:val="0"/>
        </w:rPr>
        <w:t>Short title</w:t>
      </w:r>
      <w:bookmarkEnd w:id="9"/>
      <w:bookmarkEnd w:id="10"/>
      <w:bookmarkEnd w:id="11"/>
    </w:p>
    <w:p>
      <w:pPr>
        <w:pStyle w:val="Subsection"/>
        <w:rPr>
          <w:rStyle w:val="CharSectno"/>
        </w:rPr>
      </w:pPr>
      <w:r>
        <w:rPr>
          <w:snapToGrid w:val="0"/>
        </w:rPr>
        <w:tab/>
      </w:r>
      <w:r>
        <w:rPr>
          <w:snapToGrid w:val="0"/>
        </w:rPr>
        <w:tab/>
        <w:t xml:space="preserve">This Act may be cited as the </w:t>
      </w:r>
      <w:r>
        <w:rPr>
          <w:i/>
          <w:snapToGrid w:val="0"/>
        </w:rPr>
        <w:t>Prisoners (International Transfer) Act 2000</w:t>
      </w:r>
      <w:r>
        <w:rPr>
          <w:snapToGrid w:val="0"/>
        </w:rPr>
        <w:t>.</w:t>
      </w:r>
    </w:p>
    <w:p>
      <w:pPr>
        <w:pStyle w:val="Heading5"/>
        <w:rPr>
          <w:snapToGrid w:val="0"/>
        </w:rPr>
      </w:pPr>
      <w:bookmarkStart w:id="12" w:name="_Toc378327318"/>
      <w:bookmarkStart w:id="13" w:name="_Toc424287440"/>
      <w:bookmarkStart w:id="14" w:name="_Toc536005153"/>
      <w:r>
        <w:rPr>
          <w:rStyle w:val="CharSectno"/>
        </w:rPr>
        <w:t>2</w:t>
      </w:r>
      <w:r>
        <w:rPr>
          <w:snapToGrid w:val="0"/>
        </w:rPr>
        <w:t>.</w:t>
      </w:r>
      <w:r>
        <w:rPr>
          <w:snapToGrid w:val="0"/>
        </w:rPr>
        <w:tab/>
        <w:t>Commencement</w:t>
      </w:r>
      <w:bookmarkEnd w:id="12"/>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378327319"/>
      <w:bookmarkStart w:id="16" w:name="_Toc424287441"/>
      <w:bookmarkStart w:id="17" w:name="_Toc536005154"/>
      <w:r>
        <w:rPr>
          <w:rStyle w:val="CharSectno"/>
        </w:rPr>
        <w:t>3</w:t>
      </w:r>
      <w:r>
        <w:t>.</w:t>
      </w:r>
      <w:r>
        <w:tab/>
        <w:t>Object of Act</w:t>
      </w:r>
      <w:bookmarkEnd w:id="15"/>
      <w:bookmarkEnd w:id="16"/>
      <w:bookmarkEnd w:id="17"/>
    </w:p>
    <w:p>
      <w:pPr>
        <w:pStyle w:val="Subsection"/>
      </w:pPr>
      <w:r>
        <w:tab/>
      </w:r>
      <w:r>
        <w:tab/>
        <w:t xml:space="preserve">The object of this Act is to give effect to the scheme for the international transfer of prisoners set out in the </w:t>
      </w:r>
      <w:r>
        <w:rPr>
          <w:i/>
        </w:rPr>
        <w:t>International Transfer of Prisoners Act 1997</w:t>
      </w:r>
      <w:r>
        <w:t xml:space="preserve"> of the Commonwealth by enabling those prisoners to be transferred to and from Western Australia.</w:t>
      </w:r>
    </w:p>
    <w:p>
      <w:pPr>
        <w:pStyle w:val="Heading5"/>
      </w:pPr>
      <w:bookmarkStart w:id="18" w:name="_Toc378327320"/>
      <w:bookmarkStart w:id="19" w:name="_Toc424287442"/>
      <w:bookmarkStart w:id="20" w:name="_Toc536005155"/>
      <w:r>
        <w:rPr>
          <w:rStyle w:val="CharSectno"/>
        </w:rPr>
        <w:t>4</w:t>
      </w:r>
      <w:r>
        <w:t>.</w:t>
      </w:r>
      <w:r>
        <w:tab/>
        <w:t>Interpretation</w:t>
      </w:r>
      <w:bookmarkEnd w:id="18"/>
      <w:bookmarkEnd w:id="19"/>
      <w:bookmarkEnd w:id="20"/>
    </w:p>
    <w:p>
      <w:pPr>
        <w:pStyle w:val="Subsection"/>
      </w:pPr>
      <w:r>
        <w:tab/>
        <w:t>(1)</w:t>
      </w:r>
      <w:r>
        <w:tab/>
        <w:t>In this Act —</w:t>
      </w:r>
    </w:p>
    <w:p>
      <w:pPr>
        <w:pStyle w:val="Defstart"/>
      </w:pPr>
      <w:r>
        <w:tab/>
      </w:r>
      <w:r>
        <w:rPr>
          <w:rStyle w:val="CharDefText"/>
        </w:rPr>
        <w:t>Commonwealth Act</w:t>
      </w:r>
      <w:r>
        <w:t xml:space="preserve"> means the </w:t>
      </w:r>
      <w:r>
        <w:rPr>
          <w:i/>
        </w:rPr>
        <w:t>International Transfer of Prisoners Act 1997</w:t>
      </w:r>
      <w:r>
        <w:t xml:space="preserve"> of the Commonwealth;</w:t>
      </w:r>
    </w:p>
    <w:p>
      <w:pPr>
        <w:pStyle w:val="Defstart"/>
      </w:pPr>
      <w:r>
        <w:tab/>
      </w:r>
      <w:r>
        <w:rPr>
          <w:rStyle w:val="CharDefText"/>
        </w:rPr>
        <w:t>corresponding law</w:t>
      </w:r>
      <w:r>
        <w:t xml:space="preserve"> means a law of another State that provides for the international transfer of prisoners;</w:t>
      </w:r>
    </w:p>
    <w:p>
      <w:pPr>
        <w:pStyle w:val="Defstart"/>
      </w:pPr>
      <w:r>
        <w:tab/>
      </w:r>
      <w:r>
        <w:rPr>
          <w:rStyle w:val="CharDefText"/>
        </w:rPr>
        <w:t>department</w:t>
      </w:r>
      <w:r>
        <w:t xml:space="preserve"> means the department of the Public Service principally assisting the Minister to whom the administration of the </w:t>
      </w:r>
      <w:r>
        <w:rPr>
          <w:i/>
        </w:rPr>
        <w:t>Prisons Act 1981</w:t>
      </w:r>
      <w:r>
        <w:t xml:space="preserve"> is for the time being committed by the Governor;</w:t>
      </w:r>
    </w:p>
    <w:p>
      <w:pPr>
        <w:pStyle w:val="Defstart"/>
      </w:pPr>
      <w:r>
        <w:tab/>
      </w:r>
      <w:r>
        <w:rPr>
          <w:rStyle w:val="CharDefText"/>
        </w:rPr>
        <w:t>function</w:t>
      </w:r>
      <w:r>
        <w:t xml:space="preserve"> includes a power, authority or duty;</w:t>
      </w:r>
    </w:p>
    <w:p>
      <w:pPr>
        <w:pStyle w:val="Defstart"/>
      </w:pPr>
      <w:r>
        <w:tab/>
      </w:r>
      <w:r>
        <w:rPr>
          <w:rStyle w:val="CharDefText"/>
        </w:rPr>
        <w:t>State</w:t>
      </w:r>
      <w:r>
        <w:rPr>
          <w:b/>
        </w:rPr>
        <w:t xml:space="preserve"> </w:t>
      </w:r>
      <w:r>
        <w:t>includes the Australian Capital Territory and the Northern Territory;</w:t>
      </w:r>
    </w:p>
    <w:p>
      <w:pPr>
        <w:pStyle w:val="Defstart"/>
      </w:pPr>
      <w:r>
        <w:tab/>
      </w:r>
      <w:r>
        <w:rPr>
          <w:rStyle w:val="CharDefText"/>
        </w:rPr>
        <w:t>War Crimes Tribunal</w:t>
      </w:r>
      <w:r>
        <w:t xml:space="preserve"> means the former Yugoslavia Tribunal or Rwanda Tribunal within the meaning of the Commonwealth Act.</w:t>
      </w:r>
    </w:p>
    <w:p>
      <w:pPr>
        <w:pStyle w:val="Subsection"/>
      </w:pPr>
      <w:r>
        <w:tab/>
        <w:t>(2)</w:t>
      </w:r>
      <w:r>
        <w:tab/>
        <w:t>If an expression is defined in the Commonwealth Act and is also used in this Act, the expression as used in this Act has, unless the contrary intention appears, the same meaning as in the Commonwealth Act.</w:t>
      </w:r>
    </w:p>
    <w:p>
      <w:pPr>
        <w:pStyle w:val="Subsection"/>
      </w:pPr>
      <w:r>
        <w:tab/>
        <w:t>(3)</w:t>
      </w:r>
      <w:r>
        <w:tab/>
        <w:t>In this Act, a reference to the Commonwealth Act includes a reference to —</w:t>
      </w:r>
    </w:p>
    <w:p>
      <w:pPr>
        <w:pStyle w:val="Indenta"/>
      </w:pPr>
      <w:r>
        <w:tab/>
        <w:t>(a)</w:t>
      </w:r>
      <w:r>
        <w:tab/>
        <w:t>the Commonwealth Act as amended and in force for the time being; and</w:t>
      </w:r>
    </w:p>
    <w:p>
      <w:pPr>
        <w:pStyle w:val="Indenta"/>
      </w:pPr>
      <w:r>
        <w:tab/>
        <w:t>(b)</w:t>
      </w:r>
      <w:r>
        <w:tab/>
        <w:t>an Act enacted in substitution for the Commonwealth Act.</w:t>
      </w:r>
    </w:p>
    <w:p>
      <w:pPr>
        <w:pStyle w:val="Heading5"/>
      </w:pPr>
      <w:bookmarkStart w:id="21" w:name="_Toc378327321"/>
      <w:bookmarkStart w:id="22" w:name="_Toc424287443"/>
      <w:bookmarkStart w:id="23" w:name="_Toc536005156"/>
      <w:r>
        <w:rPr>
          <w:rStyle w:val="CharSectno"/>
        </w:rPr>
        <w:t>5</w:t>
      </w:r>
      <w:r>
        <w:t>.</w:t>
      </w:r>
      <w:r>
        <w:tab/>
        <w:t>Notes not part of Act</w:t>
      </w:r>
      <w:bookmarkEnd w:id="21"/>
      <w:bookmarkEnd w:id="22"/>
      <w:bookmarkEnd w:id="23"/>
    </w:p>
    <w:p>
      <w:pPr>
        <w:pStyle w:val="Subsection"/>
      </w:pPr>
      <w:r>
        <w:tab/>
      </w:r>
      <w:r>
        <w:tab/>
        <w:t>Notes in this Act are provided to assist understanding and do not form part of the Act.</w:t>
      </w:r>
    </w:p>
    <w:p>
      <w:pPr>
        <w:pStyle w:val="Heading2"/>
      </w:pPr>
      <w:bookmarkStart w:id="24" w:name="_Toc378327322"/>
      <w:bookmarkStart w:id="25" w:name="_Toc424287444"/>
      <w:bookmarkStart w:id="26" w:name="_Toc536004892"/>
      <w:bookmarkStart w:id="27" w:name="_Toc536005157"/>
      <w:r>
        <w:rPr>
          <w:rStyle w:val="CharPartNo"/>
        </w:rPr>
        <w:t>Part 2</w:t>
      </w:r>
      <w:r>
        <w:rPr>
          <w:rStyle w:val="CharDivNo"/>
        </w:rPr>
        <w:t xml:space="preserve"> </w:t>
      </w:r>
      <w:r>
        <w:t>—</w:t>
      </w:r>
      <w:r>
        <w:rPr>
          <w:rStyle w:val="CharDivText"/>
        </w:rPr>
        <w:t xml:space="preserve"> </w:t>
      </w:r>
      <w:r>
        <w:rPr>
          <w:rStyle w:val="CharPartText"/>
        </w:rPr>
        <w:t>Conferral of functions</w:t>
      </w:r>
      <w:bookmarkEnd w:id="24"/>
      <w:bookmarkEnd w:id="25"/>
      <w:bookmarkEnd w:id="26"/>
      <w:bookmarkEnd w:id="27"/>
    </w:p>
    <w:p>
      <w:pPr>
        <w:pStyle w:val="Heading5"/>
      </w:pPr>
      <w:bookmarkStart w:id="28" w:name="_Toc378327323"/>
      <w:bookmarkStart w:id="29" w:name="_Toc424287445"/>
      <w:bookmarkStart w:id="30" w:name="_Toc536005158"/>
      <w:r>
        <w:rPr>
          <w:rStyle w:val="CharSectno"/>
        </w:rPr>
        <w:t>6</w:t>
      </w:r>
      <w:r>
        <w:t>.</w:t>
      </w:r>
      <w:r>
        <w:tab/>
        <w:t>Powers and functions of Minister</w:t>
      </w:r>
      <w:bookmarkEnd w:id="28"/>
      <w:bookmarkEnd w:id="29"/>
      <w:bookmarkEnd w:id="30"/>
    </w:p>
    <w:p>
      <w:pPr>
        <w:pStyle w:val="Subsection"/>
        <w:spacing w:before="120"/>
      </w:pPr>
      <w:r>
        <w:tab/>
      </w:r>
      <w:r>
        <w:tab/>
        <w:t>A Minister of this State may perform any function conferred or expressed to be conferred on the Minister by or under the Commonwealth Act.</w:t>
      </w:r>
    </w:p>
    <w:p>
      <w:pPr>
        <w:pStyle w:val="Heading5"/>
      </w:pPr>
      <w:bookmarkStart w:id="31" w:name="_Toc378327324"/>
      <w:bookmarkStart w:id="32" w:name="_Toc424287446"/>
      <w:bookmarkStart w:id="33" w:name="_Toc536005159"/>
      <w:r>
        <w:rPr>
          <w:rStyle w:val="CharSectno"/>
        </w:rPr>
        <w:t>7</w:t>
      </w:r>
      <w:r>
        <w:t>.</w:t>
      </w:r>
      <w:r>
        <w:tab/>
        <w:t>Delegation</w:t>
      </w:r>
      <w:bookmarkEnd w:id="31"/>
      <w:bookmarkEnd w:id="32"/>
      <w:bookmarkEnd w:id="33"/>
    </w:p>
    <w:p>
      <w:pPr>
        <w:pStyle w:val="Subsection"/>
        <w:spacing w:before="120"/>
      </w:pPr>
      <w:r>
        <w:tab/>
        <w:t>(1)</w:t>
      </w:r>
      <w:r>
        <w:tab/>
        <w:t>The Minister may, by instrument, delegate the performance of a function referred to in section 6 to —</w:t>
      </w:r>
    </w:p>
    <w:p>
      <w:pPr>
        <w:pStyle w:val="Indenta"/>
      </w:pPr>
      <w:r>
        <w:tab/>
        <w:t>(a)</w:t>
      </w:r>
      <w:r>
        <w:tab/>
        <w:t>the chief executive officer of the department;</w:t>
      </w:r>
    </w:p>
    <w:p>
      <w:pPr>
        <w:pStyle w:val="Indenta"/>
      </w:pPr>
      <w:r>
        <w:tab/>
        <w:t>(b)</w:t>
      </w:r>
      <w:r>
        <w:tab/>
        <w:t>a public service officer working in the department; or</w:t>
      </w:r>
    </w:p>
    <w:p>
      <w:pPr>
        <w:pStyle w:val="Indenta"/>
      </w:pPr>
      <w:r>
        <w:tab/>
        <w:t>(c)</w:t>
      </w:r>
      <w:r>
        <w:tab/>
        <w:t>a person prescribed by the regulations or belonging to a class of persons prescribed by the regulations.</w:t>
      </w:r>
    </w:p>
    <w:p>
      <w:pPr>
        <w:pStyle w:val="Subsection"/>
        <w:spacing w:before="120"/>
      </w:pPr>
      <w:r>
        <w:tab/>
        <w:t>(2)</w:t>
      </w:r>
      <w:r>
        <w:tab/>
        <w:t>A function performed by a delegate is to be taken as being performed by the Minister.</w:t>
      </w:r>
    </w:p>
    <w:p>
      <w:pPr>
        <w:pStyle w:val="Heading5"/>
      </w:pPr>
      <w:bookmarkStart w:id="34" w:name="_Toc378327325"/>
      <w:bookmarkStart w:id="35" w:name="_Toc424287447"/>
      <w:bookmarkStart w:id="36" w:name="_Toc536005160"/>
      <w:r>
        <w:rPr>
          <w:rStyle w:val="CharSectno"/>
        </w:rPr>
        <w:t>8</w:t>
      </w:r>
      <w:r>
        <w:t>.</w:t>
      </w:r>
      <w:r>
        <w:tab/>
        <w:t>Powers and functions of prison officers, police officers and others</w:t>
      </w:r>
      <w:bookmarkEnd w:id="34"/>
      <w:bookmarkEnd w:id="35"/>
      <w:bookmarkEnd w:id="36"/>
    </w:p>
    <w:p>
      <w:pPr>
        <w:pStyle w:val="Subsection"/>
        <w:spacing w:before="120"/>
      </w:pPr>
      <w:r>
        <w:tab/>
        <w:t>(1)</w:t>
      </w:r>
      <w:r>
        <w:tab/>
        <w:t>A prison officer, police officer and any other person who is authorized for the purposes of the Commonwealth Act may perform any function conferred or expressed to be conferred on him or her —</w:t>
      </w:r>
    </w:p>
    <w:p>
      <w:pPr>
        <w:pStyle w:val="Indenta"/>
      </w:pPr>
      <w:r>
        <w:tab/>
        <w:t>(a)</w:t>
      </w:r>
      <w:r>
        <w:tab/>
        <w:t>by or under the Commonwealth Act or a corresponding law; or</w:t>
      </w:r>
    </w:p>
    <w:p>
      <w:pPr>
        <w:pStyle w:val="Indenta"/>
      </w:pPr>
      <w:r>
        <w:tab/>
        <w:t>(b)</w:t>
      </w:r>
      <w:r>
        <w:tab/>
        <w:t>in accordance with an arrangement referred to in section 9.</w:t>
      </w:r>
    </w:p>
    <w:p>
      <w:pPr>
        <w:pStyle w:val="Subsection"/>
        <w:spacing w:before="120"/>
      </w:pPr>
      <w:r>
        <w:tab/>
        <w:t>(2)</w:t>
      </w:r>
      <w:r>
        <w:tab/>
        <w:t>It is lawful for a person referred to in subsection (1) —</w:t>
      </w:r>
    </w:p>
    <w:p>
      <w:pPr>
        <w:pStyle w:val="Indenta"/>
      </w:pPr>
      <w:r>
        <w:tab/>
        <w:t>(a)</w:t>
      </w:r>
      <w:r>
        <w:tab/>
        <w:t>to hold and deal with any prisoner in accordance with the terms of a warrant issued under the Commonwealth Act in respect of the prisoner; and</w:t>
      </w:r>
    </w:p>
    <w:p>
      <w:pPr>
        <w:pStyle w:val="Indenta"/>
      </w:pPr>
      <w:r>
        <w:tab/>
        <w:t>(b)</w:t>
      </w:r>
      <w:r>
        <w:tab/>
        <w:t>to take any action in respect of a prisoner transferred, or to be transferred, to or from this State in accordance with the Commonwealth Act that the person is authorized to take by or under that Act.</w:t>
      </w:r>
    </w:p>
    <w:p>
      <w:pPr>
        <w:pStyle w:val="PermNoteHeading"/>
      </w:pPr>
      <w:r>
        <w:tab/>
        <w:t>Note:</w:t>
      </w:r>
    </w:p>
    <w:p>
      <w:pPr>
        <w:pStyle w:val="PermNoteText"/>
      </w:pPr>
      <w:r>
        <w:tab/>
      </w:r>
      <w:r>
        <w:tab/>
        <w:t>A number of provisions of the Commonwealth Act require State officials to perform functions.  For example, a warrant may be issued under section 30 of that Act requiring a prison officer, police officer or other person specified in the warrant to escort a prisoner who is being transferred.  Under section 56 of that Act, a police officer of this State may arrest a person escaping from custody.</w:t>
      </w:r>
    </w:p>
    <w:p>
      <w:pPr>
        <w:pStyle w:val="Heading5"/>
      </w:pPr>
      <w:bookmarkStart w:id="37" w:name="_Toc378327326"/>
      <w:bookmarkStart w:id="38" w:name="_Toc424287448"/>
      <w:bookmarkStart w:id="39" w:name="_Toc536005161"/>
      <w:r>
        <w:rPr>
          <w:rStyle w:val="CharSectno"/>
        </w:rPr>
        <w:t>9</w:t>
      </w:r>
      <w:r>
        <w:t>.</w:t>
      </w:r>
      <w:r>
        <w:tab/>
        <w:t>Arrangements for administration of Act</w:t>
      </w:r>
      <w:bookmarkEnd w:id="37"/>
      <w:bookmarkEnd w:id="38"/>
      <w:bookmarkEnd w:id="39"/>
    </w:p>
    <w:p>
      <w:pPr>
        <w:pStyle w:val="Subsection"/>
      </w:pPr>
      <w:r>
        <w:tab/>
        <w:t>(1)</w:t>
      </w:r>
      <w:r>
        <w:tab/>
        <w:t>The Governor may, in accordance with section 50 of the Commonwealth Act, make arrangements with respect to the administration of that Act, including arrangements relating to the performance by prison officers, police officers or other persons of functions under that Act.</w:t>
      </w:r>
    </w:p>
    <w:p>
      <w:pPr>
        <w:pStyle w:val="Subsection"/>
      </w:pPr>
      <w:r>
        <w:tab/>
        <w:t>(2)</w:t>
      </w:r>
      <w:r>
        <w:tab/>
        <w:t>An arrangement may be varied or terminated in accordance with the Commonwealth Act.</w:t>
      </w:r>
    </w:p>
    <w:p>
      <w:pPr>
        <w:pStyle w:val="Heading2"/>
      </w:pPr>
      <w:bookmarkStart w:id="40" w:name="_Toc378327327"/>
      <w:bookmarkStart w:id="41" w:name="_Toc424287449"/>
      <w:bookmarkStart w:id="42" w:name="_Toc536004897"/>
      <w:bookmarkStart w:id="43" w:name="_Toc536005162"/>
      <w:r>
        <w:rPr>
          <w:rStyle w:val="CharPartNo"/>
        </w:rPr>
        <w:t>Part 3</w:t>
      </w:r>
      <w:r>
        <w:rPr>
          <w:rStyle w:val="CharDivNo"/>
        </w:rPr>
        <w:t xml:space="preserve"> </w:t>
      </w:r>
      <w:r>
        <w:t>—</w:t>
      </w:r>
      <w:r>
        <w:rPr>
          <w:rStyle w:val="CharDivText"/>
        </w:rPr>
        <w:t xml:space="preserve"> </w:t>
      </w:r>
      <w:r>
        <w:rPr>
          <w:rStyle w:val="CharPartText"/>
        </w:rPr>
        <w:t>Enforcement of sentences of imprisonment of transferred prisoners</w:t>
      </w:r>
      <w:bookmarkEnd w:id="40"/>
      <w:bookmarkEnd w:id="41"/>
      <w:bookmarkEnd w:id="42"/>
      <w:bookmarkEnd w:id="43"/>
    </w:p>
    <w:p>
      <w:pPr>
        <w:pStyle w:val="Heading5"/>
      </w:pPr>
      <w:bookmarkStart w:id="44" w:name="_Toc378327328"/>
      <w:bookmarkStart w:id="45" w:name="_Toc424287450"/>
      <w:bookmarkStart w:id="46" w:name="_Toc536005163"/>
      <w:r>
        <w:rPr>
          <w:rStyle w:val="CharSectno"/>
        </w:rPr>
        <w:t>10</w:t>
      </w:r>
      <w:r>
        <w:t>.</w:t>
      </w:r>
      <w:r>
        <w:tab/>
        <w:t>Prisoners transferred to Western Australia</w:t>
      </w:r>
      <w:bookmarkEnd w:id="44"/>
      <w:bookmarkEnd w:id="45"/>
      <w:bookmarkEnd w:id="46"/>
    </w:p>
    <w:p>
      <w:pPr>
        <w:pStyle w:val="Subsection"/>
        <w:spacing w:before="120"/>
      </w:pPr>
      <w:r>
        <w:tab/>
        <w:t>(1)</w:t>
      </w:r>
      <w:r>
        <w:tab/>
        <w:t>In this section  —</w:t>
      </w:r>
    </w:p>
    <w:p>
      <w:pPr>
        <w:pStyle w:val="Defstart"/>
      </w:pPr>
      <w:r>
        <w:tab/>
      </w:r>
      <w:r>
        <w:rPr>
          <w:rStyle w:val="CharDefText"/>
        </w:rPr>
        <w:t>enforcement law</w:t>
      </w:r>
      <w:r>
        <w:t xml:space="preserve"> means  —</w:t>
      </w:r>
    </w:p>
    <w:p>
      <w:pPr>
        <w:pStyle w:val="Defpara"/>
      </w:pPr>
      <w:r>
        <w:tab/>
        <w:t>(a)</w:t>
      </w:r>
      <w:r>
        <w:tab/>
        <w:t>any law of this State;</w:t>
      </w:r>
    </w:p>
    <w:p>
      <w:pPr>
        <w:pStyle w:val="Defpara"/>
      </w:pPr>
      <w:r>
        <w:tab/>
        <w:t>(b)</w:t>
      </w:r>
      <w:r>
        <w:tab/>
        <w:t>any law of the Commonwealth or another State; or</w:t>
      </w:r>
    </w:p>
    <w:p>
      <w:pPr>
        <w:pStyle w:val="Defpara"/>
      </w:pPr>
      <w:r>
        <w:tab/>
        <w:t>(c)</w:t>
      </w:r>
      <w:r>
        <w:tab/>
        <w:t>any practice or procedure lawfully observed,</w:t>
      </w:r>
    </w:p>
    <w:p>
      <w:pPr>
        <w:pStyle w:val="Defstart"/>
      </w:pPr>
      <w:r>
        <w:tab/>
        <w:t>concerning the detention of prisoners.</w:t>
      </w:r>
    </w:p>
    <w:p>
      <w:pPr>
        <w:pStyle w:val="Subsection"/>
        <w:spacing w:before="120"/>
      </w:pPr>
      <w:r>
        <w:tab/>
        <w:t>(2)</w:t>
      </w:r>
      <w:r>
        <w:tab/>
        <w:t>Any relevant enforcement law applies to and in respect of a prisoner who is transferred to this State under the Commonwealth Act to complete serving a sentence of imprisonment in this State that was imposed by a court or tribunal of a transfer country (or by a War Crimes Tribunal) in the same way as the enforcement law applies to and in respect of a federal prisoner serving a sentence of imprisonment in this State that is imposed under a law of the Commonwealth.</w:t>
      </w:r>
    </w:p>
    <w:p>
      <w:pPr>
        <w:pStyle w:val="Subsection"/>
        <w:spacing w:before="120"/>
      </w:pPr>
      <w:r>
        <w:tab/>
        <w:t>(3)</w:t>
      </w:r>
      <w:r>
        <w:tab/>
        <w:t>Without limiting subsection (2), enforcement laws relating to the following matters are applicable to a prisoner or Tribunal prisoner who is transferred to Australia under the Commonwealth Act —</w:t>
      </w:r>
    </w:p>
    <w:p>
      <w:pPr>
        <w:pStyle w:val="Indenta"/>
      </w:pPr>
      <w:r>
        <w:tab/>
        <w:t>(a)</w:t>
      </w:r>
      <w:r>
        <w:tab/>
        <w:t>conditions of imprisonment and treatment of prisoners;</w:t>
      </w:r>
    </w:p>
    <w:p>
      <w:pPr>
        <w:pStyle w:val="Indenta"/>
      </w:pPr>
      <w:r>
        <w:tab/>
        <w:t>(b)</w:t>
      </w:r>
      <w:r>
        <w:tab/>
        <w:t>release on parole of prisoners;</w:t>
      </w:r>
    </w:p>
    <w:p>
      <w:pPr>
        <w:pStyle w:val="Indenta"/>
      </w:pPr>
      <w:r>
        <w:tab/>
        <w:t>(c)</w:t>
      </w:r>
      <w:r>
        <w:tab/>
        <w:t>classification and separation of prisoners;</w:t>
      </w:r>
    </w:p>
    <w:p>
      <w:pPr>
        <w:pStyle w:val="Indenta"/>
      </w:pPr>
      <w:r>
        <w:tab/>
        <w:t>(d)</w:t>
      </w:r>
      <w:r>
        <w:tab/>
        <w:t>removal of prisoners from one prison to another;</w:t>
      </w:r>
    </w:p>
    <w:p>
      <w:pPr>
        <w:pStyle w:val="Indenta"/>
      </w:pPr>
      <w:r>
        <w:tab/>
        <w:t>(e)</w:t>
      </w:r>
      <w:r>
        <w:tab/>
        <w:t>removal of prisoners between prisons and hospitals or other places or between one hospital or other place and another;</w:t>
      </w:r>
    </w:p>
    <w:p>
      <w:pPr>
        <w:pStyle w:val="Indenta"/>
      </w:pPr>
      <w:r>
        <w:tab/>
        <w:t>(f)</w:t>
      </w:r>
      <w:r>
        <w:tab/>
        <w:t>treatment of mentally impaired prisoners;</w:t>
      </w:r>
    </w:p>
    <w:p>
      <w:pPr>
        <w:pStyle w:val="Indenta"/>
      </w:pPr>
      <w:r>
        <w:tab/>
        <w:t>(g)</w:t>
      </w:r>
      <w:r>
        <w:tab/>
        <w:t>eligibility for participation in prison programs, including release under a pre</w:t>
      </w:r>
      <w:r>
        <w:noBreakHyphen/>
        <w:t>release permit scheme (however called);</w:t>
      </w:r>
    </w:p>
    <w:p>
      <w:pPr>
        <w:pStyle w:val="Indenta"/>
      </w:pPr>
      <w:r>
        <w:tab/>
        <w:t>(h)</w:t>
      </w:r>
      <w:r>
        <w:tab/>
        <w:t>temporary absence from prison (for example, to work or seek work, to attend a funeral or visit a relative suffering a serious illness or to attend a place of education or training);</w:t>
      </w:r>
    </w:p>
    <w:p>
      <w:pPr>
        <w:pStyle w:val="Indenta"/>
      </w:pPr>
      <w:r>
        <w:tab/>
        <w:t>(i)</w:t>
      </w:r>
      <w:r>
        <w:tab/>
        <w:t>transfer of prisoners between States and Territories.</w:t>
      </w:r>
    </w:p>
    <w:p>
      <w:pPr>
        <w:pStyle w:val="Subsection"/>
      </w:pPr>
      <w:r>
        <w:tab/>
        <w:t>(4)</w:t>
      </w:r>
      <w:r>
        <w:tab/>
        <w:t>Any direction given by the Attorney</w:t>
      </w:r>
      <w:r>
        <w:noBreakHyphen/>
        <w:t>General of the Commonwealth under section 44 of the Commonwealth Act concerning enforcement of such a sentence of imprisonment is to be given effect in this State.</w:t>
      </w:r>
    </w:p>
    <w:p>
      <w:pPr>
        <w:pStyle w:val="Subsection"/>
      </w:pPr>
      <w:r>
        <w:tab/>
        <w:t>(5)</w:t>
      </w:r>
      <w:r>
        <w:tab/>
        <w:t>Any direction given by the Attorney</w:t>
      </w:r>
      <w:r>
        <w:noBreakHyphen/>
        <w:t>General of the Commonwealth under section 49 of the Commonwealth Act concerning a prisoner referred to in subsection (2) who is pardoned or granted amnesty or commutation of sentence of imprisonment as referred to in that section is to be given effect in this State.</w:t>
      </w:r>
    </w:p>
    <w:p>
      <w:pPr>
        <w:pStyle w:val="PermNoteHeading"/>
      </w:pPr>
      <w:r>
        <w:tab/>
        <w:t>Note:</w:t>
      </w:r>
    </w:p>
    <w:p>
      <w:pPr>
        <w:pStyle w:val="PermNoteText"/>
      </w:pPr>
      <w:r>
        <w:tab/>
      </w:r>
      <w:r>
        <w:tab/>
        <w:t xml:space="preserve">See Part 1B of the </w:t>
      </w:r>
      <w:r>
        <w:rPr>
          <w:i/>
        </w:rPr>
        <w:t>Crimes Act 1914</w:t>
      </w:r>
      <w:r>
        <w:t xml:space="preserve"> of the Commonwealth in relation to the imprisonment and release of prisoners. In particular see sections 19A and 19AA (Remissions and reductions of sentences) and Division 5 (Conditional release on parole or licence).</w:t>
      </w:r>
    </w:p>
    <w:p>
      <w:pPr>
        <w:pStyle w:val="Heading5"/>
      </w:pPr>
      <w:bookmarkStart w:id="47" w:name="_Toc378327329"/>
      <w:bookmarkStart w:id="48" w:name="_Toc424287451"/>
      <w:bookmarkStart w:id="49" w:name="_Toc536005164"/>
      <w:r>
        <w:rPr>
          <w:rStyle w:val="CharSectno"/>
        </w:rPr>
        <w:t>11</w:t>
      </w:r>
      <w:r>
        <w:t>.</w:t>
      </w:r>
      <w:r>
        <w:tab/>
        <w:t>Prisoners transferred from Western Australia</w:t>
      </w:r>
      <w:bookmarkEnd w:id="47"/>
      <w:bookmarkEnd w:id="48"/>
      <w:bookmarkEnd w:id="49"/>
    </w:p>
    <w:p>
      <w:pPr>
        <w:pStyle w:val="Subsection"/>
      </w:pPr>
      <w:r>
        <w:tab/>
        <w:t>(1)</w:t>
      </w:r>
      <w:r>
        <w:tab/>
        <w:t>The laws of this State relating to the enforcement of a sentence of imprisonment imposed by a court of this State cease to apply to a prisoner on whom such a sentence has been imposed who is transferred from Western Australia under the Commonwealth Act to complete serving the sentence.</w:t>
      </w:r>
    </w:p>
    <w:p>
      <w:pPr>
        <w:pStyle w:val="Subsection"/>
      </w:pPr>
      <w:r>
        <w:tab/>
        <w:t>(2)</w:t>
      </w:r>
      <w:r>
        <w:tab/>
        <w:t>Nothing in subsection (1) limits the power of the Crown or of a court  of this State to pardon, grant amnesty or commute a sentence of imprisonment.</w:t>
      </w:r>
    </w:p>
    <w:p>
      <w:pPr>
        <w:pStyle w:val="Heading2"/>
      </w:pPr>
      <w:bookmarkStart w:id="50" w:name="_Toc378327330"/>
      <w:bookmarkStart w:id="51" w:name="_Toc424287452"/>
      <w:bookmarkStart w:id="52" w:name="_Toc536004900"/>
      <w:bookmarkStart w:id="53" w:name="_Toc536005165"/>
      <w:r>
        <w:rPr>
          <w:rStyle w:val="CharPartNo"/>
        </w:rPr>
        <w:t>Part 4</w:t>
      </w:r>
      <w:r>
        <w:rPr>
          <w:rStyle w:val="CharDivNo"/>
        </w:rPr>
        <w:t xml:space="preserve"> </w:t>
      </w:r>
      <w:r>
        <w:t>—</w:t>
      </w:r>
      <w:r>
        <w:rPr>
          <w:rStyle w:val="CharDivText"/>
        </w:rPr>
        <w:t xml:space="preserve"> </w:t>
      </w:r>
      <w:r>
        <w:rPr>
          <w:rStyle w:val="CharPartText"/>
        </w:rPr>
        <w:t>Miscellaneous</w:t>
      </w:r>
      <w:bookmarkEnd w:id="50"/>
      <w:bookmarkEnd w:id="51"/>
      <w:bookmarkEnd w:id="52"/>
      <w:bookmarkEnd w:id="53"/>
    </w:p>
    <w:p>
      <w:pPr>
        <w:pStyle w:val="Heading5"/>
      </w:pPr>
      <w:bookmarkStart w:id="54" w:name="_Toc378327331"/>
      <w:bookmarkStart w:id="55" w:name="_Toc424287453"/>
      <w:bookmarkStart w:id="56" w:name="_Toc536005166"/>
      <w:r>
        <w:rPr>
          <w:rStyle w:val="CharSectno"/>
        </w:rPr>
        <w:t>12</w:t>
      </w:r>
      <w:r>
        <w:t>.</w:t>
      </w:r>
      <w:r>
        <w:tab/>
        <w:t>Regulations</w:t>
      </w:r>
      <w:bookmarkEnd w:id="54"/>
      <w:bookmarkEnd w:id="55"/>
      <w:bookmarkEnd w:id="56"/>
    </w:p>
    <w:p>
      <w:pPr>
        <w:pStyle w:val="Subsection"/>
      </w:pPr>
      <w:r>
        <w:tab/>
      </w:r>
      <w: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2"/>
          <w:headerReference w:type="default" r:id="rId23"/>
          <w:headerReference w:type="first" r:id="rId24"/>
          <w:type w:val="oddPage"/>
          <w:pgSz w:w="11907" w:h="16840" w:code="9"/>
          <w:pgMar w:top="2376" w:right="2405" w:bottom="3542" w:left="2405" w:header="706" w:footer="3380" w:gutter="0"/>
          <w:pgNumType w:start="1"/>
          <w:cols w:space="720"/>
          <w:noEndnote/>
          <w:titlePg/>
          <w:docGrid w:linePitch="326"/>
        </w:sectPr>
      </w:pPr>
    </w:p>
    <w:p>
      <w:pPr>
        <w:pStyle w:val="nHeading2"/>
      </w:pPr>
      <w:bookmarkStart w:id="57" w:name="_Toc378327332"/>
      <w:bookmarkStart w:id="58" w:name="_Toc424287454"/>
      <w:bookmarkStart w:id="59" w:name="_Toc536004902"/>
      <w:bookmarkStart w:id="60" w:name="_Toc536005167"/>
      <w:r>
        <w:t>Notes</w:t>
      </w:r>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snapToGrid w:val="0"/>
        </w:rPr>
        <w:t>Prisoners (International Transfer) Act 2000</w:t>
      </w:r>
      <w:r>
        <w:rPr>
          <w:snapToGrid w:val="0"/>
        </w:rPr>
        <w:t>.  The following table contains information about that Act.</w:t>
      </w:r>
    </w:p>
    <w:p>
      <w:pPr>
        <w:pStyle w:val="nHeading3"/>
        <w:rPr>
          <w:snapToGrid w:val="0"/>
        </w:rPr>
      </w:pPr>
      <w:bookmarkStart w:id="61" w:name="_Toc378327333"/>
      <w:bookmarkStart w:id="62" w:name="_Toc424287455"/>
      <w:bookmarkStart w:id="63" w:name="_Toc536005168"/>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Prisoners (International Transfer) Act 2000</w:t>
            </w:r>
          </w:p>
        </w:tc>
        <w:tc>
          <w:tcPr>
            <w:tcW w:w="1134" w:type="dxa"/>
            <w:tcBorders>
              <w:top w:val="single" w:sz="4" w:space="0" w:color="auto"/>
              <w:bottom w:val="single" w:sz="4" w:space="0" w:color="auto"/>
            </w:tcBorders>
          </w:tcPr>
          <w:p>
            <w:pPr>
              <w:pStyle w:val="nTable"/>
              <w:spacing w:before="100"/>
            </w:pPr>
            <w:r>
              <w:t>10 of 2000</w:t>
            </w:r>
          </w:p>
        </w:tc>
        <w:tc>
          <w:tcPr>
            <w:tcW w:w="1134" w:type="dxa"/>
            <w:tcBorders>
              <w:top w:val="single" w:sz="4" w:space="0" w:color="auto"/>
              <w:bottom w:val="single" w:sz="4" w:space="0" w:color="auto"/>
            </w:tcBorders>
          </w:tcPr>
          <w:p>
            <w:pPr>
              <w:pStyle w:val="nTable"/>
              <w:spacing w:before="100"/>
            </w:pPr>
            <w:r>
              <w:t>19 May 2000</w:t>
            </w:r>
          </w:p>
        </w:tc>
        <w:tc>
          <w:tcPr>
            <w:tcW w:w="2552" w:type="dxa"/>
            <w:tcBorders>
              <w:top w:val="single" w:sz="4" w:space="0" w:color="auto"/>
              <w:bottom w:val="single" w:sz="4" w:space="0" w:color="auto"/>
            </w:tcBorders>
          </w:tcPr>
          <w:p>
            <w:pPr>
              <w:pStyle w:val="nTable"/>
              <w:spacing w:before="100"/>
              <w:rPr>
                <w:i/>
              </w:rPr>
            </w:pPr>
            <w:r>
              <w:t xml:space="preserve">8 May 2002 (see s. 2 and </w:t>
            </w:r>
            <w:r>
              <w:rPr>
                <w:i/>
              </w:rPr>
              <w:t xml:space="preserve">Gazette </w:t>
            </w:r>
            <w:r>
              <w:t>7 May 2002 p. 2315)</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65" w:name="_Toc536004904"/>
      <w:bookmarkStart w:id="66" w:name="_Toc536005169"/>
      <w:r>
        <w:rPr>
          <w:sz w:val="28"/>
        </w:rPr>
        <w:t>Defined terms</w:t>
      </w:r>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Act</w:t>
      </w:r>
      <w:r>
        <w:tab/>
        <w:t>4(1)</w:t>
      </w:r>
    </w:p>
    <w:p>
      <w:pPr>
        <w:pStyle w:val="DefinedTerms"/>
      </w:pPr>
      <w:r>
        <w:t>corresponding law</w:t>
      </w:r>
      <w:r>
        <w:tab/>
        <w:t>4(1)</w:t>
      </w:r>
    </w:p>
    <w:p>
      <w:pPr>
        <w:pStyle w:val="DefinedTerms"/>
      </w:pPr>
      <w:r>
        <w:t>department</w:t>
      </w:r>
      <w:r>
        <w:tab/>
        <w:t>4(1)</w:t>
      </w:r>
    </w:p>
    <w:p>
      <w:pPr>
        <w:pStyle w:val="DefinedTerms"/>
      </w:pPr>
      <w:r>
        <w:t>enforcement law</w:t>
      </w:r>
      <w:r>
        <w:tab/>
        <w:t>10(1)</w:t>
      </w:r>
    </w:p>
    <w:p>
      <w:pPr>
        <w:pStyle w:val="DefinedTerms"/>
      </w:pPr>
      <w:r>
        <w:t>function</w:t>
      </w:r>
      <w:r>
        <w:tab/>
        <w:t>4(1)</w:t>
      </w:r>
    </w:p>
    <w:p>
      <w:pPr>
        <w:pStyle w:val="DefinedTerms"/>
      </w:pPr>
      <w:r>
        <w:t>State</w:t>
      </w:r>
      <w:r>
        <w:tab/>
        <w:t>4(1)</w:t>
      </w:r>
    </w:p>
    <w:p>
      <w:pPr>
        <w:pStyle w:val="DefinedTerms"/>
      </w:pPr>
      <w:r>
        <w:t>War Crimes Tribunal</w:t>
      </w:r>
      <w:r>
        <w:tab/>
        <w:t>4(1)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
      <w:pPr>
        <w:suppressLineNumbers/>
        <w:pBdr>
          <w:top w:val="single" w:sz="8" w:space="1" w:color="auto"/>
          <w:left w:val="single" w:sz="8" w:space="4" w:color="auto"/>
          <w:bottom w:val="single" w:sz="8" w:space="1" w:color="auto"/>
          <w:right w:val="single" w:sz="8" w:space="4" w:color="auto"/>
        </w:pBdr>
        <w:shd w:val="clear" w:color="auto" w:fill="000000"/>
        <w:ind w:left="2268" w:right="2268"/>
        <w:jc w:val="cente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Prisoners (International Transfer)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(International Transfer)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(International Transfer)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Prisoners (International Transfer)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(International Transfer)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Prisoners (International Transfer)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Prisoners (International Transfer)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(International Transfer)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1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xmlns:pcowa="urn:pcowa">
  <ribbon>
    <tabs>
      <tab idQ="pcowa:pcodrafting" label="PCO Drafting">
        <group id="pcodllbar" label="Common">
          <button id="displaypropertybox" screentip="Display the Document Properties Box" imageMso="AddTextToTextEffect" onAction="RCDisplayProperties"/>
          <button id="pcosave" screentip="PCO Save" imageMso="SaveAll" onAction="RCPCOSave"/>
          <button id="converttodefinition" screentip="Convert Selection to 'Definition' styles" imageMso="CatalogMergeResultsPreview" onAction="PCConvertToDefinition"/>
          <button id="changespacestb" screentip="Insert Hard Spaces" imageMso="AutoTextGallery" onAction="RCChangeSpaces"/>
          <button id="previouserror" screentip="Move to Previous error" imageMso="RoutingDirectionUp" onAction="RCRuleMovePrevious"/>
          <button id="nexterror" screentip="Move to Next error" imageMso="RoutingDirectionDown" onAction="RCRuleMoveNext"/>
          <button id="deleteerrorbookmarks" screentip="Delete all the Error Bookmarks" imageMso="BackgroundRemovalClose" onAction="RCDeleteErrorBookmarks"/>
          <button id="ruleclearerror" screentip="Clean error and Move to the Next error" imageMso="GroupListToolTrack" onAction="RCRuleClearError"/>
          <button id="rulehightlighterror" screentip="Highlight error and Move to the Next error" imageMso="GroupLevel" onAction="RCRuleHighlightError"/>
          <button id="rulehighlightallerrors" screentip="Highlight All errors" imageMso="GroupComments" onAction="RCRuleHighlightAllErrors"/>
          <button id="rulecheck" screentip="Get error information for current position" label="hae" onAction="RCRuleCheck"/>
          <button id="insertact" screentip="Display a list of Acts, double-click one to insert" imageMso="A" onAction="RCInsertAct"/>
          <button id="insertreg" screentip="Display a list of Regs, double-click one to insert" imageMso="R" onAction="RCInsertReg"/>
          <button id="locatedraftersnotes" screentip="Locate the next set of 'Drafters Notes' in this document" imageMso="OutlineShowTextFormatting" onAction="RCLocateDraftersNotes"/>
          <button id="amendingtext" screentip="Convert selection to 'Amendng Text'" imageMso="I" onAction="RCAmendingText"/>
          <control idQ="ParagraphKeepLinesTogether" screentip="Keep Lines Together" imageMso="EndOfLine" showLabel="false"/>
          <control idQ="ParagraphKeepWithNext" screentip="Keep With Next" label="kwn" showLabel="true" showImage="false"/>
          <control idQ="TableRowsInsertWord" screentip="Insert Rows" showImage="true" showLabel="false"/>
          <control idQ="TableRowsDelete" screentip="Delete Rows" showImage="true" showLabel="false"/>
          <button id="rearrangetable" screentip="Re Arrange Table" imageMso="ReadingViewShowTwoPages" onAction="RCReArrangeTable"/>
        </group>
        <group id="pcomenu" label="PCO Menu">
          <button id="changedpages" imageMso="PrintPreviewZoomTwoPages" label="Changed Pages" onAction="RCChangedPages"/>
          <button id="revisedsections" imageMso="AddCellRight" label="Changed Selected Report" onAction="RCRevisedSections"/>
          <button id="printeditedpages" imageMso="AutoFormat" label="Print Edited Pages" onAction="RCPrintEditedPages"/>
          <button id="documentreset" imageMso="HeaderFooterLinkToPrevious" label="Reset Document" onAction="RCDocumentReset"/>
          <button id="hardendocument" imageMso="JotSyncOffline" label="Harden Document" onAction="RCHardenDocument"/>
          <button id="documenttopdf" imageMso="P" label="Document to PDF" onAction="PDF" tag="Document"/>
          <button id="selectiontopdf" imageMso="TracePrecedentCells" label="Selection to PDF" onAction="PDF" tag="Selection"/>
          <button id="checkhyperlinks" imageMso="ImportTemplate" label="Check Hyperlinks" onAction="RCCheckHyperlinks"/>
          <button id="updatehyperlinks" imageMso="TextAllCaps" label="Update Hyperlinks" onAction="RCUpdateHyperlinks"/>
          <button id="aboutdll" imageMso="MicrosoftVisualFoxPro" label="About" onAction="RCAboutDLL"/>
        </group>
        <group id="camera" label="Camera">
          <button id="billnumberrequest" imageMso="FileAddDigitalSignature" label="Bill Number Request" onAction="RCBillNumberRequest"/>
          <button id="letterstoprinter" imageMso="First10RecordsPreview" label="Letters To Printer" onAction="RCLettersToPrinter"/>
          <button id="camerareadyproperties" imageMso="C" label="Camera Ready Properties" onAction="RCCameraReadyProperties"/>
          <button id="removecoversheet" imageMso="PictureBackgroundRemovalMarkBackground" label="Remove Coversheet" onAction="RCRemoveCoversheet"/>
          <button id="billcamerafooters" imageMso="F" label="Camera Footers" onAction="RCBillCameraFooters"/>
          <button id="makecameraready" imageMso="Camera" label="Make Camera Ready" onAction="RCMakeCameraReady"/>
          <button id="stripcustomproperties" imageMso="SourceControlRefreshStatus" label="Strip Custom Properties" onAction="RCStripCustomProperties"/>
          <button id="highlightfields" imageMso="HighlightNew" label="Highlight Fields" onAction="RCHighLightFields"/>
          <button id="billgreenfooters" imageMso="F" label="Green Bill Footers" onAction="RCGreenBillFooters"/>
          <button id="insertgreentitlepage" imageMso="KeepBackgroundRemoval" label="Insert Green Bill Title Page" onAction="RCInsertBillTitlePage" tag="GreenBill"/>
        </group>
        <group id="checks" label="Checks">
          <button id="runcamerareadyrules" imageMso="JotRecordVideo" label="Camera Ready Check" onAction="RCRunCameraReadyRules"/>
          <button id="counselcheck" imageMso="RelationshipsDirectRelationships" label="Counsel Document Check" onAction="RCCounselCheck"/>
          <button id="reprintscheck" imageMso="CalendarViewZoom" label="Reprints Document Check" onAction="RCReprintsCheck"/>
          <button id="eoprecheck" imageMso="RelationshipDesignAllRelationships" label="EO Document Pre-Check" onAction="RCEOPreCheck"/>
          <button id="eocheck" imageMso="RelationshipDesignAllRelationships" label="EO Document Check" onAction="RCEOCheck"/>
          <button id="verifyactsandregs" imageMso="CitationInsert" label="Verify Acts and Regs" onAction="RCVerifyActsAndRegs"/>
        </group>
        <group id="comps" label="Comps">
          <button id="insertarragement" imageMso="PivotShowDetails" label="Insert Arrangement" onAction="RCInsertArrangement"/>
          <button id="removearrangement" imageMso="PictureBackgroundRemovalMarkBackground" label="Remove Arrangement" onAction="RCRemoveArrangement"/>
          <button id="insertcitation" imageMso="AutoFormatGallery" label="Insert Citation" onAction="RCInsertCitation"/>
          <button id="insertschedule" imageMso="MacroDefault" label="Insert Schedule" onAction="RCInsertSchedule"/>
          <button id="removeschedule" imageMso="PictureBackgroundRemovalMarkBackground" label="Remove Schedule" onAction="RCRemoveSchedule"/>
          <button id="changespaces" imageMso="AutoTextGallery" label="Insert Hard Spaces" onAction="RCChangeSpaces"/>
          <button id="insertdefinedterms" imageMso="FrameInsertHorizontal" label="Insert Table of Defined Terms" onAction="RCInsertDefinedTerms"/>
          <button id="removedefinedterms" imageMso="PictureBackgroundRemovalMarkBackground" label="Remove Table of Defined Terms" onAction="RCRemoveDefinedTerms"/>
          <button id="insertwatermark" imageMso="BevelTextGallery" label="Insert and Clear Watermarks" onAction="RCWatermark"/>
          <button id="converttexttotable" imageMso="Multiline" label="Convert Text to Table" onAction="RCConvertTextToTable"/>
        </group>
        <group id="styles" label="Styles">
          <button id="amendingtonormal" imageMso="AsianLayoutCharacterScaling" label="Amending To Normal" onAction="RCAmendingToNormal"/>
          <button id="normaltoamendingnotes" imageMso="HtmlMatchTag" label="Normal to Amending Notes" onAction="RCNormalToAmendingNotes"/>
          <button id="updatedocumentstyles" imageMso="PasteApplyStyle" label="Update Document Styles" onAction="RCUpdateDocumentStyles"/>
          <button id="updateoldbills" imageMso="CancelRequest" label="Update Old Bills" onAction="RCUpdateOldDocuments" tag="Draft,Normal"/>
          <button id="converttoswans" imageMso="C" label="Convert to SWANS" onAction="RCChangeTemplate" tag="Bill"/>
          <button id="fixdraftcoversheet" imageMso="ArrangeByAttachment" label="Fix Draft Coversheet" onAction="RCFixDraftCoversheet"/>
        </group>
        <group id="remote" label="Remote Drafting">
          <button id="rremovefieldcodesifs" imageMso="GoToHeader" label="Update Headers" onAction="RCRemoveFieldCodesIfs"/>
          <button id="rinsertpart999" imageMso="KeepBackgroundRemoval" label="Insert Part 999" onAction="RCDocContentPart999" tag="V1,Final"/>
          <button id="rremovepart999" imageMso="ChangeToDeclineInvitation" label="Remove Part 999" onAction="RCDocRemovePart999"/>
          <button id="rupdatecoversheet" imageMso="ArrangeByAttachment" label="Update Coversheet" onAction="RCDocContentTblCoversheet" tag="Remote_V1"/>
          <button id="rsetstationId" imageMso="HighlightNew" label="Fix Station Id" onAction="RCSettationId" tag="Rmt"/>
          <button id="converttonormal" imageMso="C" label="Convert to Normal" onAction="RCChangeTemplate" tag="Norma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0FD9-9797-4C61-8FCB-02828976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1577</Words>
  <Characters>7997</Characters>
  <Application>Microsoft Office Word</Application>
  <DocSecurity>0</DocSecurity>
  <Lines>249</Lines>
  <Paragraphs>156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9418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(International Transfer) Act 2000 - 00-a0-12</dc:title>
  <dc:subject/>
  <dc:creator/>
  <cp:keywords/>
  <dc:description/>
  <cp:lastModifiedBy>svcMRProcess</cp:lastModifiedBy>
  <cp:revision>4</cp:revision>
  <cp:lastPrinted>2009-01-06T08:52:00Z</cp:lastPrinted>
  <dcterms:created xsi:type="dcterms:W3CDTF">2019-01-23T03:30:00Z</dcterms:created>
  <dcterms:modified xsi:type="dcterms:W3CDTF">2019-01-23T03:30:00Z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2000</vt:lpwstr>
  </property>
  <property fmtid="{D5CDD505-2E9C-101B-9397-08002B2CF9AE}" pid="3" name="CommencementDate">
    <vt:lpwstr>20020508</vt:lpwstr>
  </property>
  <property fmtid="{D5CDD505-2E9C-101B-9397-08002B2CF9AE}" pid="4" name="DocumentType">
    <vt:lpwstr>Act</vt:lpwstr>
  </property>
  <property fmtid="{D5CDD505-2E9C-101B-9397-08002B2CF9AE}" pid="5" name="AsAsDate">
    <vt:lpwstr>AsAtDate</vt:lpwstr>
  </property>
  <property fmtid="{D5CDD505-2E9C-101B-9397-08002B2CF9AE}" pid="6" name="Suffix">
    <vt:lpwstr>00-a0-12</vt:lpwstr>
  </property>
</Properties>
</file>

<file path=userCustomization/customUI.xml><?xml version="1.0" encoding="utf-8"?>
<customUI xmlns="http://schemas.microsoft.com/office/2006/01/customui" xmlns:doc="http://schemas.microsoft.com/office/2006/01/customui/currentDocument">
  <ribbon>
    <qat>
      <documentControls>
        <button idQ="doc:QTDisplayProperties_1" label="Display the Document Properties Box" imageMso="AddTextToTextEffect" onAction="QTDisplayProperties"/>
        <button idQ="doc:QTPCOSave_1" screentip="PCO Save" imageMso="SaveAll" onAction="QTPCOSave"/>
        <button idQ="doc:QTInsertAct_1" screentip="Display a list of Acts, double-click one to insert" imageMso="A" onAction="QTInsertAct"/>
        <button idQ="doc:QTInsertReg_1" screentip="Display a list of Regs, double-click one to insert" imageMso="R" onAction="QTInsertReg"/>
        <button idQ="doc:QTLocateDraftersNotes_1" screentip="Locate the next set of 'Drafters Notes' in this document" imageMso="OutlineShowTextFormatting" onAction="QTLocateDraftersNotes"/>
      </documentControls>
    </qat>
  </ribbon>
</customUI>
</file>