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Property Law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Property Law Act 1969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_Toc131413012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_Toc131413013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_Toc131413014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Savings</w:t>
      </w:r>
      <w:r>
        <w:rPr>
          <w:noProof/>
        </w:rPr>
        <w:tab/>
      </w:r>
      <w:r>
        <w:rPr>
          <w:noProof/>
        </w:rPr>
        <w:fldChar w:fldCharType="begin"/>
      </w:r>
      <w:r>
        <w:rPr>
          <w:noProof/>
        </w:rPr>
        <w:instrText xml:space="preserve"> PAGEREF _Toc131413015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 of this Act to certain Acts</w:t>
      </w:r>
      <w:r>
        <w:rPr>
          <w:noProof/>
        </w:rPr>
        <w:tab/>
      </w:r>
      <w:r>
        <w:rPr>
          <w:noProof/>
        </w:rPr>
        <w:fldChar w:fldCharType="begin"/>
      </w:r>
      <w:r>
        <w:rPr>
          <w:noProof/>
        </w:rPr>
        <w:instrText xml:space="preserve"> PAGEREF _Toc131413016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_Toc131413017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 — Deeds and other instruments</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Construction of expressions used in deeds and other instruments</w:t>
      </w:r>
      <w:r>
        <w:rPr>
          <w:noProof/>
        </w:rPr>
        <w:tab/>
      </w:r>
      <w:r>
        <w:rPr>
          <w:noProof/>
        </w:rPr>
        <w:fldChar w:fldCharType="begin"/>
      </w:r>
      <w:r>
        <w:rPr>
          <w:noProof/>
        </w:rPr>
        <w:instrText xml:space="preserve"> PAGEREF _Toc131413019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Other valuation procedures</w:t>
      </w:r>
      <w:r>
        <w:rPr>
          <w:noProof/>
        </w:rPr>
        <w:tab/>
      </w:r>
      <w:r>
        <w:rPr>
          <w:noProof/>
        </w:rPr>
        <w:fldChar w:fldCharType="begin"/>
      </w:r>
      <w:r>
        <w:rPr>
          <w:noProof/>
        </w:rPr>
        <w:instrText xml:space="preserve"> PAGEREF _Toc131413020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Formalities of deed</w:t>
      </w:r>
      <w:r>
        <w:rPr>
          <w:noProof/>
        </w:rPr>
        <w:tab/>
      </w:r>
      <w:r>
        <w:rPr>
          <w:noProof/>
        </w:rPr>
        <w:fldChar w:fldCharType="begin"/>
      </w:r>
      <w:r>
        <w:rPr>
          <w:noProof/>
        </w:rPr>
        <w:instrText xml:space="preserve"> PAGEREF _Toc131413021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Execution of instruments by or on behalf of corporations</w:t>
      </w:r>
      <w:r>
        <w:rPr>
          <w:noProof/>
        </w:rPr>
        <w:tab/>
      </w:r>
      <w:r>
        <w:rPr>
          <w:noProof/>
        </w:rPr>
        <w:fldChar w:fldCharType="begin"/>
      </w:r>
      <w:r>
        <w:rPr>
          <w:noProof/>
        </w:rPr>
        <w:instrText xml:space="preserve"> PAGEREF _Toc131413022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Persons taking who are not parties</w:t>
      </w:r>
      <w:r>
        <w:rPr>
          <w:noProof/>
        </w:rPr>
        <w:tab/>
      </w:r>
      <w:r>
        <w:rPr>
          <w:noProof/>
        </w:rPr>
        <w:fldChar w:fldCharType="begin"/>
      </w:r>
      <w:r>
        <w:rPr>
          <w:noProof/>
        </w:rPr>
        <w:instrText xml:space="preserve"> PAGEREF _Toc131413023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Description of deeds</w:t>
      </w:r>
      <w:r>
        <w:rPr>
          <w:noProof/>
        </w:rPr>
        <w:tab/>
      </w:r>
      <w:r>
        <w:rPr>
          <w:noProof/>
        </w:rPr>
        <w:fldChar w:fldCharType="begin"/>
      </w:r>
      <w:r>
        <w:rPr>
          <w:noProof/>
        </w:rPr>
        <w:instrText xml:space="preserve"> PAGEREF _Toc131413024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Conditions and certain covenants not implied</w:t>
      </w:r>
      <w:r>
        <w:rPr>
          <w:noProof/>
        </w:rPr>
        <w:tab/>
      </w:r>
      <w:r>
        <w:rPr>
          <w:noProof/>
        </w:rPr>
        <w:fldChar w:fldCharType="begin"/>
      </w:r>
      <w:r>
        <w:rPr>
          <w:noProof/>
        </w:rPr>
        <w:instrText xml:space="preserve"> PAGEREF _Toc131413025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Receipt in deed sufficient</w:t>
      </w:r>
      <w:r>
        <w:rPr>
          <w:noProof/>
        </w:rPr>
        <w:tab/>
      </w:r>
      <w:r>
        <w:rPr>
          <w:noProof/>
        </w:rPr>
        <w:fldChar w:fldCharType="begin"/>
      </w:r>
      <w:r>
        <w:rPr>
          <w:noProof/>
        </w:rPr>
        <w:instrText xml:space="preserve"> PAGEREF _Toc131413026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Receipt in deed or endorsed evidence</w:t>
      </w:r>
      <w:r>
        <w:rPr>
          <w:noProof/>
        </w:rPr>
        <w:tab/>
      </w:r>
      <w:r>
        <w:rPr>
          <w:noProof/>
        </w:rPr>
        <w:fldChar w:fldCharType="begin"/>
      </w:r>
      <w:r>
        <w:rPr>
          <w:noProof/>
        </w:rPr>
        <w:instrText xml:space="preserve"> PAGEREF _Toc131413027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Construction of supplemental or annexed instrument</w:t>
      </w:r>
      <w:r>
        <w:rPr>
          <w:noProof/>
        </w:rPr>
        <w:tab/>
      </w:r>
      <w:r>
        <w:rPr>
          <w:noProof/>
        </w:rPr>
        <w:fldChar w:fldCharType="begin"/>
      </w:r>
      <w:r>
        <w:rPr>
          <w:noProof/>
        </w:rPr>
        <w:instrText xml:space="preserve"> PAGEREF _Toc131413028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III — General rules affecting property</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Tenant for life without impeachment of waste, not to commit equitable waste</w:t>
      </w:r>
      <w:r>
        <w:rPr>
          <w:noProof/>
        </w:rPr>
        <w:tab/>
      </w:r>
      <w:r>
        <w:rPr>
          <w:noProof/>
        </w:rPr>
        <w:fldChar w:fldCharType="begin"/>
      </w:r>
      <w:r>
        <w:rPr>
          <w:noProof/>
        </w:rPr>
        <w:instrText xml:space="preserve"> PAGEREF _Toc131413030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No merger at law where none in equity</w:t>
      </w:r>
      <w:r>
        <w:rPr>
          <w:noProof/>
        </w:rPr>
        <w:tab/>
      </w:r>
      <w:r>
        <w:rPr>
          <w:noProof/>
        </w:rPr>
        <w:fldChar w:fldCharType="begin"/>
      </w:r>
      <w:r>
        <w:rPr>
          <w:noProof/>
        </w:rPr>
        <w:instrText xml:space="preserve"> PAGEREF _Toc131413031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lastRenderedPageBreak/>
        <w:t>19</w:t>
      </w:r>
      <w:r>
        <w:rPr>
          <w:noProof/>
          <w:snapToGrid w:val="0"/>
          <w:szCs w:val="24"/>
        </w:rPr>
        <w:t>.</w:t>
      </w:r>
      <w:r>
        <w:rPr>
          <w:noProof/>
          <w:sz w:val="24"/>
          <w:szCs w:val="24"/>
        </w:rPr>
        <w:tab/>
      </w:r>
      <w:r>
        <w:rPr>
          <w:noProof/>
          <w:snapToGrid w:val="0"/>
          <w:szCs w:val="24"/>
        </w:rPr>
        <w:t>Suits for possession of land by mortgagors</w:t>
      </w:r>
      <w:r>
        <w:rPr>
          <w:noProof/>
        </w:rPr>
        <w:tab/>
      </w:r>
      <w:r>
        <w:rPr>
          <w:noProof/>
        </w:rPr>
        <w:fldChar w:fldCharType="begin"/>
      </w:r>
      <w:r>
        <w:rPr>
          <w:noProof/>
        </w:rPr>
        <w:instrText xml:space="preserve"> PAGEREF _Toc131413032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Assignment of debts and choses in action</w:t>
      </w:r>
      <w:r>
        <w:rPr>
          <w:noProof/>
        </w:rPr>
        <w:tab/>
      </w:r>
      <w:r>
        <w:rPr>
          <w:noProof/>
        </w:rPr>
        <w:fldChar w:fldCharType="begin"/>
      </w:r>
      <w:r>
        <w:rPr>
          <w:noProof/>
        </w:rPr>
        <w:instrText xml:space="preserve"> PAGEREF _Toc131413033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Stipulations not of the essence of a contract</w:t>
      </w:r>
      <w:r>
        <w:rPr>
          <w:noProof/>
        </w:rPr>
        <w:tab/>
      </w:r>
      <w:r>
        <w:rPr>
          <w:noProof/>
        </w:rPr>
        <w:fldChar w:fldCharType="begin"/>
      </w:r>
      <w:r>
        <w:rPr>
          <w:noProof/>
        </w:rPr>
        <w:instrText xml:space="preserve"> PAGEREF _Toc131413034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Satisfied terms, whether created out of freehold or leasehold land, to cease</w:t>
      </w:r>
      <w:r>
        <w:rPr>
          <w:noProof/>
        </w:rPr>
        <w:tab/>
      </w:r>
      <w:r>
        <w:rPr>
          <w:noProof/>
        </w:rPr>
        <w:fldChar w:fldCharType="begin"/>
      </w:r>
      <w:r>
        <w:rPr>
          <w:noProof/>
        </w:rPr>
        <w:instrText xml:space="preserve"> PAGEREF _Toc131413035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Estates tail abolished</w:t>
      </w:r>
      <w:r>
        <w:rPr>
          <w:noProof/>
        </w:rPr>
        <w:tab/>
      </w:r>
      <w:r>
        <w:rPr>
          <w:noProof/>
        </w:rPr>
        <w:fldChar w:fldCharType="begin"/>
      </w:r>
      <w:r>
        <w:rPr>
          <w:noProof/>
        </w:rPr>
        <w:instrText xml:space="preserve"> PAGEREF _Toc131413036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 xml:space="preserve">Creation by deed of freehold </w:t>
      </w:r>
      <w:r>
        <w:rPr>
          <w:i/>
          <w:noProof/>
          <w:snapToGrid w:val="0"/>
          <w:szCs w:val="24"/>
        </w:rPr>
        <w:t>in futuro</w:t>
      </w:r>
      <w:r>
        <w:rPr>
          <w:noProof/>
        </w:rPr>
        <w:tab/>
      </w:r>
      <w:r>
        <w:rPr>
          <w:noProof/>
        </w:rPr>
        <w:fldChar w:fldCharType="begin"/>
      </w:r>
      <w:r>
        <w:rPr>
          <w:noProof/>
        </w:rPr>
        <w:instrText xml:space="preserve"> PAGEREF _Toc131413037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Creation by deed of estate in chattel real</w:t>
      </w:r>
      <w:r>
        <w:rPr>
          <w:noProof/>
        </w:rPr>
        <w:tab/>
      </w:r>
      <w:r>
        <w:rPr>
          <w:noProof/>
        </w:rPr>
        <w:fldChar w:fldCharType="begin"/>
      </w:r>
      <w:r>
        <w:rPr>
          <w:noProof/>
        </w:rPr>
        <w:instrText xml:space="preserve"> PAGEREF _Toc131413038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Contingent remainders to take effect notwithstanding premature failure of preceding estate</w:t>
      </w:r>
      <w:r>
        <w:rPr>
          <w:noProof/>
        </w:rPr>
        <w:tab/>
      </w:r>
      <w:r>
        <w:rPr>
          <w:noProof/>
        </w:rPr>
        <w:fldChar w:fldCharType="begin"/>
      </w:r>
      <w:r>
        <w:rPr>
          <w:noProof/>
        </w:rPr>
        <w:instrText xml:space="preserve"> PAGEREF _Toc131413039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Rule in Shelley’s Case abolished</w:t>
      </w:r>
      <w:r>
        <w:rPr>
          <w:noProof/>
        </w:rPr>
        <w:tab/>
      </w:r>
      <w:r>
        <w:rPr>
          <w:noProof/>
        </w:rPr>
        <w:fldChar w:fldCharType="begin"/>
      </w:r>
      <w:r>
        <w:rPr>
          <w:noProof/>
        </w:rPr>
        <w:instrText xml:space="preserve"> PAGEREF _Toc131413040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Restriction on executory limitations</w:t>
      </w:r>
      <w:r>
        <w:rPr>
          <w:noProof/>
        </w:rPr>
        <w:tab/>
      </w:r>
      <w:r>
        <w:rPr>
          <w:noProof/>
        </w:rPr>
        <w:fldChar w:fldCharType="begin"/>
      </w:r>
      <w:r>
        <w:rPr>
          <w:noProof/>
        </w:rPr>
        <w:instrText xml:space="preserve"> PAGEREF _Toc131413041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Corporations may hold as joint tenants</w:t>
      </w:r>
      <w:r>
        <w:rPr>
          <w:noProof/>
        </w:rPr>
        <w:tab/>
      </w:r>
      <w:r>
        <w:rPr>
          <w:noProof/>
        </w:rPr>
        <w:fldChar w:fldCharType="begin"/>
      </w:r>
      <w:r>
        <w:rPr>
          <w:noProof/>
        </w:rPr>
        <w:instrText xml:space="preserve"> PAGEREF _Toc131413042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Receipts for income by married minors</w:t>
      </w:r>
      <w:r>
        <w:rPr>
          <w:noProof/>
        </w:rPr>
        <w:tab/>
      </w:r>
      <w:r>
        <w:rPr>
          <w:noProof/>
        </w:rPr>
        <w:fldChar w:fldCharType="begin"/>
      </w:r>
      <w:r>
        <w:rPr>
          <w:noProof/>
        </w:rPr>
        <w:instrText xml:space="preserve"> PAGEREF _Toc131413043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31A</w:t>
      </w:r>
      <w:r>
        <w:rPr>
          <w:noProof/>
          <w:snapToGrid w:val="0"/>
          <w:szCs w:val="24"/>
        </w:rPr>
        <w:t>.</w:t>
      </w:r>
      <w:r>
        <w:rPr>
          <w:noProof/>
          <w:sz w:val="24"/>
          <w:szCs w:val="24"/>
        </w:rPr>
        <w:tab/>
      </w:r>
      <w:r>
        <w:rPr>
          <w:noProof/>
          <w:snapToGrid w:val="0"/>
          <w:szCs w:val="24"/>
        </w:rPr>
        <w:t>Illegitimates to be included in class references</w:t>
      </w:r>
      <w:r>
        <w:rPr>
          <w:noProof/>
        </w:rPr>
        <w:tab/>
      </w:r>
      <w:r>
        <w:rPr>
          <w:noProof/>
        </w:rPr>
        <w:fldChar w:fldCharType="begin"/>
      </w:r>
      <w:r>
        <w:rPr>
          <w:noProof/>
        </w:rPr>
        <w:instrText xml:space="preserve"> PAGEREF _Toc131413044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IV — Conveyances and other instruments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Lands lie in grant only</w:t>
      </w:r>
      <w:r>
        <w:rPr>
          <w:noProof/>
        </w:rPr>
        <w:tab/>
      </w:r>
      <w:r>
        <w:rPr>
          <w:noProof/>
        </w:rPr>
        <w:fldChar w:fldCharType="begin"/>
      </w:r>
      <w:r>
        <w:rPr>
          <w:noProof/>
        </w:rPr>
        <w:instrText xml:space="preserve"> PAGEREF _Toc131413046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Conveyances to be by deed</w:t>
      </w:r>
      <w:r>
        <w:rPr>
          <w:noProof/>
        </w:rPr>
        <w:tab/>
      </w:r>
      <w:r>
        <w:rPr>
          <w:noProof/>
        </w:rPr>
        <w:fldChar w:fldCharType="begin"/>
      </w:r>
      <w:r>
        <w:rPr>
          <w:noProof/>
        </w:rPr>
        <w:instrText xml:space="preserve"> PAGEREF _Toc131413047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Instruments required to be in writing</w:t>
      </w:r>
      <w:r>
        <w:rPr>
          <w:noProof/>
        </w:rPr>
        <w:tab/>
      </w:r>
      <w:r>
        <w:rPr>
          <w:noProof/>
        </w:rPr>
        <w:fldChar w:fldCharType="begin"/>
      </w:r>
      <w:r>
        <w:rPr>
          <w:noProof/>
        </w:rPr>
        <w:instrText xml:space="preserve"> PAGEREF _Toc131413048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Creation of interests in land by parol</w:t>
      </w:r>
      <w:r>
        <w:rPr>
          <w:noProof/>
        </w:rPr>
        <w:tab/>
      </w:r>
      <w:r>
        <w:rPr>
          <w:noProof/>
        </w:rPr>
        <w:fldChar w:fldCharType="begin"/>
      </w:r>
      <w:r>
        <w:rPr>
          <w:noProof/>
        </w:rPr>
        <w:instrText xml:space="preserve"> PAGEREF _Toc131413049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Savings in regard to sections 34 and 35</w:t>
      </w:r>
      <w:r>
        <w:rPr>
          <w:noProof/>
        </w:rPr>
        <w:tab/>
      </w:r>
      <w:r>
        <w:rPr>
          <w:noProof/>
        </w:rPr>
        <w:fldChar w:fldCharType="begin"/>
      </w:r>
      <w:r>
        <w:rPr>
          <w:noProof/>
        </w:rPr>
        <w:instrText xml:space="preserve"> PAGEREF _Toc131413050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Power to dispose of fee simple by deed without words of inheritance</w:t>
      </w:r>
      <w:r>
        <w:rPr>
          <w:noProof/>
        </w:rPr>
        <w:tab/>
      </w:r>
      <w:r>
        <w:rPr>
          <w:noProof/>
        </w:rPr>
        <w:fldChar w:fldCharType="begin"/>
      </w:r>
      <w:r>
        <w:rPr>
          <w:noProof/>
        </w:rPr>
        <w:instrText xml:space="preserve"> PAGEREF _Toc131413051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No use to result from absence of consideration</w:t>
      </w:r>
      <w:r>
        <w:rPr>
          <w:noProof/>
        </w:rPr>
        <w:tab/>
      </w:r>
      <w:r>
        <w:rPr>
          <w:noProof/>
        </w:rPr>
        <w:fldChar w:fldCharType="begin"/>
      </w:r>
      <w:r>
        <w:rPr>
          <w:noProof/>
        </w:rPr>
        <w:instrText xml:space="preserve"> PAGEREF _Toc131413052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Limitations may be by direct conveyance without uses</w:t>
      </w:r>
      <w:r>
        <w:rPr>
          <w:noProof/>
        </w:rPr>
        <w:tab/>
      </w:r>
      <w:r>
        <w:rPr>
          <w:noProof/>
        </w:rPr>
        <w:fldChar w:fldCharType="begin"/>
      </w:r>
      <w:r>
        <w:rPr>
          <w:noProof/>
        </w:rPr>
        <w:instrText xml:space="preserve"> PAGEREF _Toc131413053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No conveyance to have tortious operation</w:t>
      </w:r>
      <w:r>
        <w:rPr>
          <w:noProof/>
        </w:rPr>
        <w:tab/>
      </w:r>
      <w:r>
        <w:rPr>
          <w:noProof/>
        </w:rPr>
        <w:fldChar w:fldCharType="begin"/>
      </w:r>
      <w:r>
        <w:rPr>
          <w:noProof/>
        </w:rPr>
        <w:instrText xml:space="preserve"> PAGEREF _Toc131413054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General words implied in conveyances</w:t>
      </w:r>
      <w:r>
        <w:rPr>
          <w:noProof/>
        </w:rPr>
        <w:tab/>
      </w:r>
      <w:r>
        <w:rPr>
          <w:noProof/>
        </w:rPr>
        <w:fldChar w:fldCharType="begin"/>
      </w:r>
      <w:r>
        <w:rPr>
          <w:noProof/>
        </w:rPr>
        <w:instrText xml:space="preserve"> PAGEREF _Toc131413055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All estate clause implied</w:t>
      </w:r>
      <w:r>
        <w:rPr>
          <w:noProof/>
        </w:rPr>
        <w:tab/>
      </w:r>
      <w:r>
        <w:rPr>
          <w:noProof/>
        </w:rPr>
        <w:fldChar w:fldCharType="begin"/>
      </w:r>
      <w:r>
        <w:rPr>
          <w:noProof/>
        </w:rPr>
        <w:instrText xml:space="preserve"> PAGEREF _Toc131413056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Partial release of land from rent</w:t>
      </w:r>
      <w:r>
        <w:rPr>
          <w:noProof/>
        </w:rPr>
        <w:tab/>
      </w:r>
      <w:r>
        <w:rPr>
          <w:noProof/>
        </w:rPr>
        <w:fldChar w:fldCharType="begin"/>
      </w:r>
      <w:r>
        <w:rPr>
          <w:noProof/>
        </w:rPr>
        <w:instrText xml:space="preserve"> PAGEREF _Toc131413057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Power to person to convey property to himself, etc.</w:t>
      </w:r>
      <w:r>
        <w:rPr>
          <w:noProof/>
        </w:rPr>
        <w:tab/>
      </w:r>
      <w:r>
        <w:rPr>
          <w:noProof/>
        </w:rPr>
        <w:fldChar w:fldCharType="begin"/>
      </w:r>
      <w:r>
        <w:rPr>
          <w:noProof/>
        </w:rPr>
        <w:instrText xml:space="preserve"> PAGEREF _Toc131413058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V — Covenants</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Covenants for title implied</w:t>
      </w:r>
      <w:r>
        <w:rPr>
          <w:noProof/>
        </w:rPr>
        <w:tab/>
      </w:r>
      <w:r>
        <w:rPr>
          <w:noProof/>
        </w:rPr>
        <w:fldChar w:fldCharType="begin"/>
      </w:r>
      <w:r>
        <w:rPr>
          <w:noProof/>
        </w:rPr>
        <w:instrText xml:space="preserve"> PAGEREF _Toc131413060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Construction of implied covenants</w:t>
      </w:r>
      <w:r>
        <w:rPr>
          <w:noProof/>
        </w:rPr>
        <w:tab/>
      </w:r>
      <w:r>
        <w:rPr>
          <w:noProof/>
        </w:rPr>
        <w:fldChar w:fldCharType="begin"/>
      </w:r>
      <w:r>
        <w:rPr>
          <w:noProof/>
        </w:rPr>
        <w:instrText xml:space="preserve"> PAGEREF _Toc131413061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Benefits of covenants relating to land</w:t>
      </w:r>
      <w:r>
        <w:rPr>
          <w:noProof/>
        </w:rPr>
        <w:tab/>
      </w:r>
      <w:r>
        <w:rPr>
          <w:noProof/>
        </w:rPr>
        <w:fldChar w:fldCharType="begin"/>
      </w:r>
      <w:r>
        <w:rPr>
          <w:noProof/>
        </w:rPr>
        <w:instrText xml:space="preserve"> PAGEREF _Toc131413062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Burden of covenants relating to land</w:t>
      </w:r>
      <w:r>
        <w:rPr>
          <w:noProof/>
        </w:rPr>
        <w:tab/>
      </w:r>
      <w:r>
        <w:rPr>
          <w:noProof/>
        </w:rPr>
        <w:fldChar w:fldCharType="begin"/>
      </w:r>
      <w:r>
        <w:rPr>
          <w:noProof/>
        </w:rPr>
        <w:instrText xml:space="preserve"> PAGEREF _Toc131413063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Construction of covenants affecting land</w:t>
      </w:r>
      <w:r>
        <w:rPr>
          <w:noProof/>
        </w:rPr>
        <w:tab/>
      </w:r>
      <w:r>
        <w:rPr>
          <w:noProof/>
        </w:rPr>
        <w:fldChar w:fldCharType="begin"/>
      </w:r>
      <w:r>
        <w:rPr>
          <w:noProof/>
        </w:rPr>
        <w:instrText xml:space="preserve"> PAGEREF _Toc131413064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Covenants to be joint and several</w:t>
      </w:r>
      <w:r>
        <w:rPr>
          <w:noProof/>
        </w:rPr>
        <w:tab/>
      </w:r>
      <w:r>
        <w:rPr>
          <w:noProof/>
        </w:rPr>
        <w:fldChar w:fldCharType="begin"/>
      </w:r>
      <w:r>
        <w:rPr>
          <w:noProof/>
        </w:rPr>
        <w:instrText xml:space="preserve"> PAGEREF _Toc131413065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Effect of covenant with 2 or more jointly</w:t>
      </w:r>
      <w:r>
        <w:rPr>
          <w:noProof/>
        </w:rPr>
        <w:tab/>
      </w:r>
      <w:r>
        <w:rPr>
          <w:noProof/>
        </w:rPr>
        <w:fldChar w:fldCharType="begin"/>
      </w:r>
      <w:r>
        <w:rPr>
          <w:noProof/>
        </w:rPr>
        <w:instrText xml:space="preserve"> PAGEREF _Toc131413066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Covenants and agreements entered into by a person with himself and another or others</w:t>
      </w:r>
      <w:r>
        <w:rPr>
          <w:noProof/>
        </w:rPr>
        <w:tab/>
      </w:r>
      <w:r>
        <w:rPr>
          <w:noProof/>
        </w:rPr>
        <w:fldChar w:fldCharType="begin"/>
      </w:r>
      <w:r>
        <w:rPr>
          <w:noProof/>
        </w:rPr>
        <w:instrText xml:space="preserve"> PAGEREF _Toc131413067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VI — Mortgages</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Foreclosure extinguishes right of action for mortgage debt and equity of redemption</w:t>
      </w:r>
      <w:r>
        <w:rPr>
          <w:noProof/>
        </w:rPr>
        <w:tab/>
      </w:r>
      <w:r>
        <w:rPr>
          <w:noProof/>
        </w:rPr>
        <w:fldChar w:fldCharType="begin"/>
      </w:r>
      <w:r>
        <w:rPr>
          <w:noProof/>
        </w:rPr>
        <w:instrText xml:space="preserve"> PAGEREF _Toc131413069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Realization of equitable charges by the Court</w:t>
      </w:r>
      <w:r>
        <w:rPr>
          <w:noProof/>
        </w:rPr>
        <w:tab/>
      </w:r>
      <w:r>
        <w:rPr>
          <w:noProof/>
        </w:rPr>
        <w:fldChar w:fldCharType="begin"/>
      </w:r>
      <w:r>
        <w:rPr>
          <w:noProof/>
        </w:rPr>
        <w:instrText xml:space="preserve"> PAGEREF _Toc131413070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Sale of mortgaged property in action for redemption or foreclosure</w:t>
      </w:r>
      <w:r>
        <w:rPr>
          <w:noProof/>
        </w:rPr>
        <w:tab/>
      </w:r>
      <w:r>
        <w:rPr>
          <w:noProof/>
        </w:rPr>
        <w:fldChar w:fldCharType="begin"/>
      </w:r>
      <w:r>
        <w:rPr>
          <w:noProof/>
        </w:rPr>
        <w:instrText xml:space="preserve"> PAGEREF _Toc131413071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Restriction on consolidation of mortgages</w:t>
      </w:r>
      <w:r>
        <w:rPr>
          <w:noProof/>
        </w:rPr>
        <w:tab/>
      </w:r>
      <w:r>
        <w:rPr>
          <w:noProof/>
        </w:rPr>
        <w:fldChar w:fldCharType="begin"/>
      </w:r>
      <w:r>
        <w:rPr>
          <w:noProof/>
        </w:rPr>
        <w:instrText xml:space="preserve"> PAGEREF _Toc131413072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Implied powers of mortgagees</w:t>
      </w:r>
      <w:r>
        <w:rPr>
          <w:noProof/>
        </w:rPr>
        <w:tab/>
      </w:r>
      <w:r>
        <w:rPr>
          <w:noProof/>
        </w:rPr>
        <w:fldChar w:fldCharType="begin"/>
      </w:r>
      <w:r>
        <w:rPr>
          <w:noProof/>
        </w:rPr>
        <w:instrText xml:space="preserve"> PAGEREF _Toc131413073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 xml:space="preserve">Power to appoint receiver in the case of mortgage under the </w:t>
      </w:r>
      <w:r>
        <w:rPr>
          <w:i/>
          <w:noProof/>
          <w:snapToGrid w:val="0"/>
          <w:szCs w:val="24"/>
        </w:rPr>
        <w:t>Transfer of Land Act 1893</w:t>
      </w:r>
      <w:r>
        <w:rPr>
          <w:noProof/>
        </w:rPr>
        <w:tab/>
      </w:r>
      <w:r>
        <w:rPr>
          <w:noProof/>
        </w:rPr>
        <w:fldChar w:fldCharType="begin"/>
      </w:r>
      <w:r>
        <w:rPr>
          <w:noProof/>
        </w:rPr>
        <w:instrText xml:space="preserve"> PAGEREF _Toc131413074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Regulation of exercise of power of sale</w:t>
      </w:r>
      <w:r>
        <w:rPr>
          <w:noProof/>
        </w:rPr>
        <w:tab/>
      </w:r>
      <w:r>
        <w:rPr>
          <w:noProof/>
        </w:rPr>
        <w:fldChar w:fldCharType="begin"/>
      </w:r>
      <w:r>
        <w:rPr>
          <w:noProof/>
        </w:rPr>
        <w:instrText xml:space="preserve"> PAGEREF _Toc131413075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Conveyance in exercise of power of sale</w:t>
      </w:r>
      <w:r>
        <w:rPr>
          <w:noProof/>
        </w:rPr>
        <w:tab/>
      </w:r>
      <w:r>
        <w:rPr>
          <w:noProof/>
        </w:rPr>
        <w:fldChar w:fldCharType="begin"/>
      </w:r>
      <w:r>
        <w:rPr>
          <w:noProof/>
        </w:rPr>
        <w:instrText xml:space="preserve"> PAGEREF _Toc131413076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Application of proceeds of sale</w:t>
      </w:r>
      <w:r>
        <w:rPr>
          <w:noProof/>
        </w:rPr>
        <w:tab/>
      </w:r>
      <w:r>
        <w:rPr>
          <w:noProof/>
        </w:rPr>
        <w:fldChar w:fldCharType="begin"/>
      </w:r>
      <w:r>
        <w:rPr>
          <w:noProof/>
        </w:rPr>
        <w:instrText xml:space="preserve"> PAGEREF _Toc131413077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Provisions as to exercise of power of sale</w:t>
      </w:r>
      <w:r>
        <w:rPr>
          <w:noProof/>
        </w:rPr>
        <w:tab/>
      </w:r>
      <w:r>
        <w:rPr>
          <w:noProof/>
        </w:rPr>
        <w:fldChar w:fldCharType="begin"/>
      </w:r>
      <w:r>
        <w:rPr>
          <w:noProof/>
        </w:rPr>
        <w:instrText xml:space="preserve"> PAGEREF _Toc131413078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Mortgagee’s receipts, discharges, etc.</w:t>
      </w:r>
      <w:r>
        <w:rPr>
          <w:noProof/>
        </w:rPr>
        <w:tab/>
      </w:r>
      <w:r>
        <w:rPr>
          <w:noProof/>
        </w:rPr>
        <w:fldChar w:fldCharType="begin"/>
      </w:r>
      <w:r>
        <w:rPr>
          <w:noProof/>
        </w:rPr>
        <w:instrText xml:space="preserve"> PAGEREF _Toc131413079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Amount and application of insurance money</w:t>
      </w:r>
      <w:r>
        <w:rPr>
          <w:noProof/>
        </w:rPr>
        <w:tab/>
      </w:r>
      <w:r>
        <w:rPr>
          <w:noProof/>
        </w:rPr>
        <w:fldChar w:fldCharType="begin"/>
      </w:r>
      <w:r>
        <w:rPr>
          <w:noProof/>
        </w:rPr>
        <w:instrText xml:space="preserve"> PAGEREF _Toc131413080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Appointment, powers, remuneration and duties of receiver</w:t>
      </w:r>
      <w:r>
        <w:rPr>
          <w:noProof/>
        </w:rPr>
        <w:tab/>
      </w:r>
      <w:r>
        <w:rPr>
          <w:noProof/>
        </w:rPr>
        <w:fldChar w:fldCharType="begin"/>
      </w:r>
      <w:r>
        <w:rPr>
          <w:noProof/>
        </w:rPr>
        <w:instrText xml:space="preserve"> PAGEREF _Toc131413081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Application of money received by receiver</w:t>
      </w:r>
      <w:r>
        <w:rPr>
          <w:noProof/>
        </w:rPr>
        <w:tab/>
      </w:r>
      <w:r>
        <w:rPr>
          <w:noProof/>
        </w:rPr>
        <w:fldChar w:fldCharType="begin"/>
      </w:r>
      <w:r>
        <w:rPr>
          <w:noProof/>
        </w:rPr>
        <w:instrText xml:space="preserve"> PAGEREF _Toc131413082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Effect of advance on joint account</w:t>
      </w:r>
      <w:r>
        <w:rPr>
          <w:noProof/>
        </w:rPr>
        <w:tab/>
      </w:r>
      <w:r>
        <w:rPr>
          <w:noProof/>
        </w:rPr>
        <w:fldChar w:fldCharType="begin"/>
      </w:r>
      <w:r>
        <w:rPr>
          <w:noProof/>
        </w:rPr>
        <w:instrText xml:space="preserve"> PAGEREF _Toc131413083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Notice of trusts affecting mortgage money</w:t>
      </w:r>
      <w:r>
        <w:rPr>
          <w:noProof/>
        </w:rPr>
        <w:tab/>
      </w:r>
      <w:r>
        <w:rPr>
          <w:noProof/>
        </w:rPr>
        <w:fldChar w:fldCharType="begin"/>
      </w:r>
      <w:r>
        <w:rPr>
          <w:noProof/>
        </w:rPr>
        <w:instrText xml:space="preserve"> PAGEREF _Toc131413084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VII — Leases and tenancies</w:t>
      </w:r>
    </w:p>
    <w:p>
      <w:pPr>
        <w:pStyle w:val="TOC3"/>
        <w:rPr>
          <w:b w:val="0"/>
          <w:noProof/>
          <w:sz w:val="24"/>
          <w:szCs w:val="24"/>
        </w:rPr>
      </w:pPr>
      <w:r>
        <w:rPr>
          <w:noProof/>
          <w:szCs w:val="26"/>
        </w:rPr>
        <w:t>Division 1</w:t>
      </w:r>
      <w:r>
        <w:rPr>
          <w:noProof/>
          <w:snapToGrid w:val="0"/>
          <w:szCs w:val="26"/>
        </w:rPr>
        <w:t> — </w:t>
      </w:r>
      <w:r>
        <w:rPr>
          <w:noProof/>
          <w:szCs w:val="26"/>
        </w:rPr>
        <w:t>Application of this part</w:t>
      </w:r>
    </w:p>
    <w:p>
      <w:pPr>
        <w:pStyle w:val="TOC4"/>
        <w:tabs>
          <w:tab w:val="left" w:pos="1701"/>
        </w:tabs>
        <w:rPr>
          <w:noProof/>
          <w:sz w:val="24"/>
          <w:szCs w:val="24"/>
        </w:rPr>
      </w:pPr>
      <w:r>
        <w:rPr>
          <w:noProof/>
          <w:szCs w:val="24"/>
        </w:rPr>
        <w:t>68A</w:t>
      </w:r>
      <w:r>
        <w:rPr>
          <w:noProof/>
          <w:snapToGrid w:val="0"/>
          <w:szCs w:val="24"/>
        </w:rPr>
        <w:t>.</w:t>
      </w:r>
      <w:r>
        <w:rPr>
          <w:noProof/>
          <w:sz w:val="24"/>
          <w:szCs w:val="24"/>
        </w:rPr>
        <w:tab/>
      </w:r>
      <w:r>
        <w:rPr>
          <w:noProof/>
          <w:snapToGrid w:val="0"/>
          <w:szCs w:val="24"/>
        </w:rPr>
        <w:t>Limitation</w:t>
      </w:r>
      <w:r>
        <w:rPr>
          <w:noProof/>
        </w:rPr>
        <w:tab/>
      </w:r>
      <w:r>
        <w:rPr>
          <w:noProof/>
        </w:rPr>
        <w:fldChar w:fldCharType="begin"/>
      </w:r>
      <w:r>
        <w:rPr>
          <w:noProof/>
        </w:rPr>
        <w:instrText xml:space="preserve"> PAGEREF _Toc131413087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1a</w:t>
      </w:r>
      <w:r>
        <w:rPr>
          <w:noProof/>
          <w:snapToGrid w:val="0"/>
          <w:szCs w:val="26"/>
        </w:rPr>
        <w:t> — </w:t>
      </w:r>
      <w:r>
        <w:rPr>
          <w:noProof/>
          <w:szCs w:val="26"/>
        </w:rPr>
        <w:t>General</w:t>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 xml:space="preserve">This Part to apply to leases under the </w:t>
      </w:r>
      <w:r>
        <w:rPr>
          <w:i/>
          <w:noProof/>
          <w:snapToGrid w:val="0"/>
          <w:szCs w:val="24"/>
        </w:rPr>
        <w:t>Transfer of Land Act 1893</w:t>
      </w:r>
      <w:r>
        <w:rPr>
          <w:noProof/>
        </w:rPr>
        <w:tab/>
      </w:r>
      <w:r>
        <w:rPr>
          <w:noProof/>
        </w:rPr>
        <w:fldChar w:fldCharType="begin"/>
      </w:r>
      <w:r>
        <w:rPr>
          <w:noProof/>
        </w:rPr>
        <w:instrText xml:space="preserve"> PAGEREF _Toc131413089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Tenant not prejudiced by assignment before notice</w:t>
      </w:r>
      <w:r>
        <w:rPr>
          <w:noProof/>
        </w:rPr>
        <w:tab/>
      </w:r>
      <w:r>
        <w:rPr>
          <w:noProof/>
        </w:rPr>
        <w:fldChar w:fldCharType="begin"/>
      </w:r>
      <w:r>
        <w:rPr>
          <w:noProof/>
        </w:rPr>
        <w:instrText xml:space="preserve"> PAGEREF _Toc131413090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Tenancy from year to year not implied</w:t>
      </w:r>
      <w:r>
        <w:rPr>
          <w:noProof/>
        </w:rPr>
        <w:tab/>
      </w:r>
      <w:r>
        <w:rPr>
          <w:noProof/>
        </w:rPr>
        <w:fldChar w:fldCharType="begin"/>
      </w:r>
      <w:r>
        <w:rPr>
          <w:noProof/>
        </w:rPr>
        <w:instrText xml:space="preserve"> PAGEREF _Toc131413091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Termination of tenancies</w:t>
      </w:r>
      <w:r>
        <w:rPr>
          <w:noProof/>
        </w:rPr>
        <w:tab/>
      </w:r>
      <w:r>
        <w:rPr>
          <w:noProof/>
        </w:rPr>
        <w:fldChar w:fldCharType="begin"/>
      </w:r>
      <w:r>
        <w:rPr>
          <w:noProof/>
        </w:rPr>
        <w:instrText xml:space="preserve"> PAGEREF _Toc131413092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Waiver of a covenant in a lease, not to operate as general waiver</w:t>
      </w:r>
      <w:r>
        <w:rPr>
          <w:noProof/>
        </w:rPr>
        <w:tab/>
      </w:r>
      <w:r>
        <w:rPr>
          <w:noProof/>
        </w:rPr>
        <w:fldChar w:fldCharType="begin"/>
      </w:r>
      <w:r>
        <w:rPr>
          <w:noProof/>
        </w:rPr>
        <w:instrText xml:space="preserve"> PAGEREF _Toc131413093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 xml:space="preserve">Abolition of </w:t>
      </w:r>
      <w:r>
        <w:rPr>
          <w:i/>
          <w:noProof/>
          <w:snapToGrid w:val="0"/>
          <w:szCs w:val="24"/>
        </w:rPr>
        <w:t>interesse termini</w:t>
      </w:r>
      <w:r>
        <w:rPr>
          <w:noProof/>
          <w:snapToGrid w:val="0"/>
          <w:szCs w:val="24"/>
        </w:rPr>
        <w:t>, and as to reversionary leases and leases for lives</w:t>
      </w:r>
      <w:r>
        <w:rPr>
          <w:noProof/>
        </w:rPr>
        <w:tab/>
      </w:r>
      <w:r>
        <w:rPr>
          <w:noProof/>
        </w:rPr>
        <w:fldChar w:fldCharType="begin"/>
      </w:r>
      <w:r>
        <w:rPr>
          <w:noProof/>
        </w:rPr>
        <w:instrText xml:space="preserve"> PAGEREF _Toc131413094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Effect of extinguishment of reversion</w:t>
      </w:r>
      <w:r>
        <w:rPr>
          <w:noProof/>
        </w:rPr>
        <w:tab/>
      </w:r>
      <w:r>
        <w:rPr>
          <w:noProof/>
        </w:rPr>
        <w:fldChar w:fldCharType="begin"/>
      </w:r>
      <w:r>
        <w:rPr>
          <w:noProof/>
        </w:rPr>
        <w:instrText xml:space="preserve"> PAGEREF _Toc131413095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Apportionment of conditions on severance</w:t>
      </w:r>
      <w:r>
        <w:rPr>
          <w:noProof/>
        </w:rPr>
        <w:tab/>
      </w:r>
      <w:r>
        <w:rPr>
          <w:noProof/>
        </w:rPr>
        <w:fldChar w:fldCharType="begin"/>
      </w:r>
      <w:r>
        <w:rPr>
          <w:noProof/>
        </w:rPr>
        <w:instrText xml:space="preserve"> PAGEREF _Toc131413096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Rent and benefit of lessee’s covenants to run with reversion</w:t>
      </w:r>
      <w:r>
        <w:rPr>
          <w:noProof/>
        </w:rPr>
        <w:tab/>
      </w:r>
      <w:r>
        <w:rPr>
          <w:noProof/>
        </w:rPr>
        <w:fldChar w:fldCharType="begin"/>
      </w:r>
      <w:r>
        <w:rPr>
          <w:noProof/>
        </w:rPr>
        <w:instrText xml:space="preserve"> PAGEREF _Toc131413097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Obligation of lessor’s covenants to run with reversion</w:t>
      </w:r>
      <w:r>
        <w:rPr>
          <w:noProof/>
        </w:rPr>
        <w:tab/>
      </w:r>
      <w:r>
        <w:rPr>
          <w:noProof/>
        </w:rPr>
        <w:fldChar w:fldCharType="begin"/>
      </w:r>
      <w:r>
        <w:rPr>
          <w:noProof/>
        </w:rPr>
        <w:instrText xml:space="preserve"> PAGEREF _Toc131413098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Effect of licences granted to lessees</w:t>
      </w:r>
      <w:r>
        <w:rPr>
          <w:noProof/>
        </w:rPr>
        <w:tab/>
      </w:r>
      <w:r>
        <w:rPr>
          <w:noProof/>
        </w:rPr>
        <w:fldChar w:fldCharType="begin"/>
      </w:r>
      <w:r>
        <w:rPr>
          <w:noProof/>
        </w:rPr>
        <w:instrText xml:space="preserve"> PAGEREF _Toc131413099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Consent to assign or sublet not to be unreasonably withheld</w:t>
      </w:r>
      <w:r>
        <w:rPr>
          <w:noProof/>
        </w:rPr>
        <w:tab/>
      </w:r>
      <w:r>
        <w:rPr>
          <w:noProof/>
        </w:rPr>
        <w:fldChar w:fldCharType="begin"/>
      </w:r>
      <w:r>
        <w:rPr>
          <w:noProof/>
        </w:rPr>
        <w:instrText xml:space="preserve"> PAGEREF _Toc131413100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Restrictions and relief against forfeiture of leases and under</w:t>
      </w:r>
      <w:r>
        <w:rPr>
          <w:noProof/>
          <w:snapToGrid w:val="0"/>
          <w:szCs w:val="24"/>
        </w:rPr>
        <w:noBreakHyphen/>
        <w:t>leases</w:t>
      </w:r>
      <w:r>
        <w:rPr>
          <w:noProof/>
        </w:rPr>
        <w:tab/>
      </w:r>
      <w:r>
        <w:rPr>
          <w:noProof/>
        </w:rPr>
        <w:fldChar w:fldCharType="begin"/>
      </w:r>
      <w:r>
        <w:rPr>
          <w:noProof/>
        </w:rPr>
        <w:instrText xml:space="preserve"> PAGEREF _Toc131413101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Certain assignments not to be deemed a breach</w:t>
      </w:r>
      <w:r>
        <w:rPr>
          <w:noProof/>
        </w:rPr>
        <w:tab/>
      </w:r>
      <w:r>
        <w:rPr>
          <w:noProof/>
        </w:rPr>
        <w:fldChar w:fldCharType="begin"/>
      </w:r>
      <w:r>
        <w:rPr>
          <w:noProof/>
        </w:rPr>
        <w:instrText xml:space="preserve"> PAGEREF _Toc131413102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Surrender of head lease to grant new lease not to prejudice under</w:t>
      </w:r>
      <w:r>
        <w:rPr>
          <w:noProof/>
          <w:snapToGrid w:val="0"/>
          <w:szCs w:val="24"/>
        </w:rPr>
        <w:noBreakHyphen/>
        <w:t>lease</w:t>
      </w:r>
      <w:r>
        <w:rPr>
          <w:noProof/>
        </w:rPr>
        <w:tab/>
      </w:r>
      <w:r>
        <w:rPr>
          <w:noProof/>
        </w:rPr>
        <w:fldChar w:fldCharType="begin"/>
      </w:r>
      <w:r>
        <w:rPr>
          <w:noProof/>
        </w:rPr>
        <w:instrText xml:space="preserve"> PAGEREF _Toc131413103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Options in leases</w:t>
      </w:r>
    </w:p>
    <w:p>
      <w:pPr>
        <w:pStyle w:val="TOC4"/>
        <w:tabs>
          <w:tab w:val="left" w:pos="1701"/>
        </w:tabs>
        <w:rPr>
          <w:noProof/>
          <w:sz w:val="24"/>
          <w:szCs w:val="24"/>
        </w:rPr>
      </w:pPr>
      <w:r>
        <w:rPr>
          <w:noProof/>
          <w:szCs w:val="24"/>
        </w:rPr>
        <w:t>83A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_Toc131413105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83B</w:t>
      </w:r>
      <w:r>
        <w:rPr>
          <w:noProof/>
          <w:snapToGrid w:val="0"/>
          <w:szCs w:val="24"/>
        </w:rPr>
        <w:t>.</w:t>
      </w:r>
      <w:r>
        <w:rPr>
          <w:noProof/>
          <w:sz w:val="24"/>
          <w:szCs w:val="24"/>
        </w:rPr>
        <w:tab/>
      </w:r>
      <w:r>
        <w:rPr>
          <w:noProof/>
          <w:snapToGrid w:val="0"/>
          <w:szCs w:val="24"/>
        </w:rPr>
        <w:t>Construction and application of Division</w:t>
      </w:r>
      <w:r>
        <w:rPr>
          <w:noProof/>
        </w:rPr>
        <w:tab/>
      </w:r>
      <w:r>
        <w:rPr>
          <w:noProof/>
        </w:rPr>
        <w:fldChar w:fldCharType="begin"/>
      </w:r>
      <w:r>
        <w:rPr>
          <w:noProof/>
        </w:rPr>
        <w:instrText xml:space="preserve"> PAGEREF _Toc131413106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83C</w:t>
      </w:r>
      <w:r>
        <w:rPr>
          <w:noProof/>
          <w:snapToGrid w:val="0"/>
          <w:szCs w:val="24"/>
        </w:rPr>
        <w:t>.</w:t>
      </w:r>
      <w:r>
        <w:rPr>
          <w:noProof/>
          <w:sz w:val="24"/>
          <w:szCs w:val="24"/>
        </w:rPr>
        <w:tab/>
      </w:r>
      <w:r>
        <w:rPr>
          <w:noProof/>
          <w:snapToGrid w:val="0"/>
          <w:szCs w:val="24"/>
        </w:rPr>
        <w:t>Breach of certain obligations not to preclude lessee from exercising option in certain circumstances</w:t>
      </w:r>
      <w:r>
        <w:rPr>
          <w:noProof/>
        </w:rPr>
        <w:tab/>
      </w:r>
      <w:r>
        <w:rPr>
          <w:noProof/>
        </w:rPr>
        <w:fldChar w:fldCharType="begin"/>
      </w:r>
      <w:r>
        <w:rPr>
          <w:noProof/>
        </w:rPr>
        <w:instrText xml:space="preserve"> PAGEREF _Toc131413107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83D</w:t>
      </w:r>
      <w:r>
        <w:rPr>
          <w:noProof/>
          <w:snapToGrid w:val="0"/>
          <w:szCs w:val="24"/>
        </w:rPr>
        <w:t>.</w:t>
      </w:r>
      <w:r>
        <w:rPr>
          <w:noProof/>
          <w:sz w:val="24"/>
          <w:szCs w:val="24"/>
        </w:rPr>
        <w:tab/>
      </w:r>
      <w:r>
        <w:rPr>
          <w:noProof/>
          <w:snapToGrid w:val="0"/>
          <w:szCs w:val="24"/>
        </w:rPr>
        <w:t>Court may grant relief from breach of certain obligations</w:t>
      </w:r>
      <w:r>
        <w:rPr>
          <w:noProof/>
        </w:rPr>
        <w:tab/>
      </w:r>
      <w:r>
        <w:rPr>
          <w:noProof/>
        </w:rPr>
        <w:fldChar w:fldCharType="begin"/>
      </w:r>
      <w:r>
        <w:rPr>
          <w:noProof/>
        </w:rPr>
        <w:instrText xml:space="preserve"> PAGEREF _Toc131413108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83E</w:t>
      </w:r>
      <w:r>
        <w:rPr>
          <w:noProof/>
          <w:snapToGrid w:val="0"/>
          <w:szCs w:val="24"/>
        </w:rPr>
        <w:t>.</w:t>
      </w:r>
      <w:r>
        <w:rPr>
          <w:noProof/>
          <w:sz w:val="24"/>
          <w:szCs w:val="24"/>
        </w:rPr>
        <w:tab/>
      </w:r>
      <w:r>
        <w:rPr>
          <w:noProof/>
          <w:snapToGrid w:val="0"/>
          <w:szCs w:val="24"/>
        </w:rPr>
        <w:t>Lease to continue in force until issue decided</w:t>
      </w:r>
      <w:r>
        <w:rPr>
          <w:noProof/>
        </w:rPr>
        <w:tab/>
      </w:r>
      <w:r>
        <w:rPr>
          <w:noProof/>
        </w:rPr>
        <w:fldChar w:fldCharType="begin"/>
      </w:r>
      <w:r>
        <w:rPr>
          <w:noProof/>
        </w:rPr>
        <w:instrText xml:space="preserve"> PAGEREF _Toc131413109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30"/>
        </w:rPr>
        <w:t>Part VIII — Powers of attorney</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Execution by attorney in his own name</w:t>
      </w:r>
      <w:r>
        <w:rPr>
          <w:noProof/>
        </w:rPr>
        <w:tab/>
      </w:r>
      <w:r>
        <w:rPr>
          <w:noProof/>
        </w:rPr>
        <w:fldChar w:fldCharType="begin"/>
      </w:r>
      <w:r>
        <w:rPr>
          <w:noProof/>
        </w:rPr>
        <w:instrText xml:space="preserve"> PAGEREF _Toc131413111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Continuance until notice of death or revocation received</w:t>
      </w:r>
      <w:r>
        <w:rPr>
          <w:noProof/>
        </w:rPr>
        <w:tab/>
      </w:r>
      <w:r>
        <w:rPr>
          <w:noProof/>
        </w:rPr>
        <w:fldChar w:fldCharType="begin"/>
      </w:r>
      <w:r>
        <w:rPr>
          <w:noProof/>
        </w:rPr>
        <w:instrText xml:space="preserve"> PAGEREF _Toc131413112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Irrevocable power of attorney for value</w:t>
      </w:r>
      <w:r>
        <w:rPr>
          <w:noProof/>
        </w:rPr>
        <w:tab/>
      </w:r>
      <w:r>
        <w:rPr>
          <w:noProof/>
        </w:rPr>
        <w:fldChar w:fldCharType="begin"/>
      </w:r>
      <w:r>
        <w:rPr>
          <w:noProof/>
        </w:rPr>
        <w:instrText xml:space="preserve"> PAGEREF _Toc131413113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Power of attorney made irrevocable for fixed time</w:t>
      </w:r>
      <w:r>
        <w:rPr>
          <w:noProof/>
        </w:rPr>
        <w:tab/>
      </w:r>
      <w:r>
        <w:rPr>
          <w:noProof/>
        </w:rPr>
        <w:fldChar w:fldCharType="begin"/>
      </w:r>
      <w:r>
        <w:rPr>
          <w:noProof/>
        </w:rPr>
        <w:instrText xml:space="preserve"> PAGEREF _Toc131413114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Application to corporations</w:t>
      </w:r>
      <w:r>
        <w:rPr>
          <w:noProof/>
        </w:rPr>
        <w:tab/>
      </w:r>
      <w:r>
        <w:rPr>
          <w:noProof/>
        </w:rPr>
        <w:fldChar w:fldCharType="begin"/>
      </w:r>
      <w:r>
        <w:rPr>
          <w:noProof/>
        </w:rPr>
        <w:instrText xml:space="preserve"> PAGEREF _Toc131413115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IX — Voidable dispositions</w:t>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Voluntary conveyances to defraud creditors voidable</w:t>
      </w:r>
      <w:r>
        <w:rPr>
          <w:noProof/>
        </w:rPr>
        <w:tab/>
      </w:r>
      <w:r>
        <w:rPr>
          <w:noProof/>
        </w:rPr>
        <w:fldChar w:fldCharType="begin"/>
      </w:r>
      <w:r>
        <w:rPr>
          <w:noProof/>
        </w:rPr>
        <w:instrText xml:space="preserve"> PAGEREF _Toc131413117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Voluntary disposition to defraud purchasers voidable</w:t>
      </w:r>
      <w:r>
        <w:rPr>
          <w:noProof/>
        </w:rPr>
        <w:tab/>
      </w:r>
      <w:r>
        <w:rPr>
          <w:noProof/>
        </w:rPr>
        <w:fldChar w:fldCharType="begin"/>
      </w:r>
      <w:r>
        <w:rPr>
          <w:noProof/>
        </w:rPr>
        <w:instrText xml:space="preserve"> PAGEREF _Toc131413118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pacing w:val="-4"/>
          <w:szCs w:val="24"/>
        </w:rPr>
        <w:t>91</w:t>
      </w:r>
      <w:r>
        <w:rPr>
          <w:noProof/>
          <w:snapToGrid w:val="0"/>
          <w:spacing w:val="-4"/>
          <w:szCs w:val="24"/>
        </w:rPr>
        <w:t>.</w:t>
      </w:r>
      <w:r>
        <w:rPr>
          <w:noProof/>
          <w:sz w:val="24"/>
          <w:szCs w:val="24"/>
        </w:rPr>
        <w:tab/>
      </w:r>
      <w:r>
        <w:rPr>
          <w:noProof/>
          <w:snapToGrid w:val="0"/>
          <w:spacing w:val="-4"/>
          <w:szCs w:val="24"/>
        </w:rPr>
        <w:t>Subsequent conveyance not to be evidence of intent to defraud</w:t>
      </w:r>
      <w:r>
        <w:rPr>
          <w:noProof/>
        </w:rPr>
        <w:tab/>
      </w:r>
      <w:r>
        <w:rPr>
          <w:noProof/>
        </w:rPr>
        <w:fldChar w:fldCharType="begin"/>
      </w:r>
      <w:r>
        <w:rPr>
          <w:noProof/>
        </w:rPr>
        <w:instrText xml:space="preserve"> PAGEREF _Toc131413119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Acquisitions of reversions at an under value</w:t>
      </w:r>
      <w:r>
        <w:rPr>
          <w:noProof/>
        </w:rPr>
        <w:tab/>
      </w:r>
      <w:r>
        <w:rPr>
          <w:noProof/>
        </w:rPr>
        <w:fldChar w:fldCharType="begin"/>
      </w:r>
      <w:r>
        <w:rPr>
          <w:noProof/>
        </w:rPr>
        <w:instrText xml:space="preserve"> PAGEREF _Toc131413120 \h </w:instrText>
      </w:r>
      <w:r>
        <w:rPr>
          <w:noProof/>
        </w:rPr>
      </w:r>
      <w:r>
        <w:rPr>
          <w:noProof/>
        </w:rPr>
        <w:fldChar w:fldCharType="separate"/>
      </w:r>
      <w:r>
        <w:rPr>
          <w:noProof/>
        </w:rPr>
        <w:t>64</w:t>
      </w:r>
      <w:r>
        <w:rPr>
          <w:noProof/>
        </w:rPr>
        <w:fldChar w:fldCharType="end"/>
      </w:r>
    </w:p>
    <w:p>
      <w:pPr>
        <w:pStyle w:val="TOC2"/>
        <w:tabs>
          <w:tab w:val="right" w:leader="dot" w:pos="7086"/>
        </w:tabs>
        <w:rPr>
          <w:b w:val="0"/>
          <w:noProof/>
          <w:sz w:val="24"/>
          <w:szCs w:val="24"/>
        </w:rPr>
      </w:pPr>
      <w:r>
        <w:rPr>
          <w:noProof/>
          <w:szCs w:val="30"/>
        </w:rPr>
        <w:t>Part X — Powers of appointment</w:t>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Disclaimer, etc., of powers</w:t>
      </w:r>
      <w:r>
        <w:rPr>
          <w:noProof/>
        </w:rPr>
        <w:tab/>
      </w:r>
      <w:r>
        <w:rPr>
          <w:noProof/>
        </w:rPr>
        <w:fldChar w:fldCharType="begin"/>
      </w:r>
      <w:r>
        <w:rPr>
          <w:noProof/>
        </w:rPr>
        <w:instrText xml:space="preserve"> PAGEREF _Toc131413122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Effect of disclaimer, etc.</w:t>
      </w:r>
      <w:r>
        <w:rPr>
          <w:noProof/>
        </w:rPr>
        <w:tab/>
      </w:r>
      <w:r>
        <w:rPr>
          <w:noProof/>
        </w:rPr>
        <w:fldChar w:fldCharType="begin"/>
      </w:r>
      <w:r>
        <w:rPr>
          <w:noProof/>
        </w:rPr>
        <w:instrText xml:space="preserve"> PAGEREF _Toc131413123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Protection of purchasers claiming under certain void appointments</w:t>
      </w:r>
      <w:r>
        <w:rPr>
          <w:noProof/>
        </w:rPr>
        <w:tab/>
      </w:r>
      <w:r>
        <w:rPr>
          <w:noProof/>
        </w:rPr>
        <w:fldChar w:fldCharType="begin"/>
      </w:r>
      <w:r>
        <w:rPr>
          <w:noProof/>
        </w:rPr>
        <w:instrText xml:space="preserve"> PAGEREF _Toc131413124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Validation of appointments where objects are excluded or take illusory shares</w:t>
      </w:r>
      <w:r>
        <w:rPr>
          <w:noProof/>
        </w:rPr>
        <w:tab/>
      </w:r>
      <w:r>
        <w:rPr>
          <w:noProof/>
        </w:rPr>
        <w:fldChar w:fldCharType="begin"/>
      </w:r>
      <w:r>
        <w:rPr>
          <w:noProof/>
        </w:rPr>
        <w:instrText xml:space="preserve"> PAGEREF _Toc131413125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Execution of powers not testamentary</w:t>
      </w:r>
      <w:r>
        <w:rPr>
          <w:noProof/>
        </w:rPr>
        <w:tab/>
      </w:r>
      <w:r>
        <w:rPr>
          <w:noProof/>
        </w:rPr>
        <w:fldChar w:fldCharType="begin"/>
      </w:r>
      <w:r>
        <w:rPr>
          <w:noProof/>
        </w:rPr>
        <w:instrText xml:space="preserve"> PAGEREF _Toc131413126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Application of this Part to existing powers</w:t>
      </w:r>
      <w:r>
        <w:rPr>
          <w:noProof/>
        </w:rPr>
        <w:tab/>
      </w:r>
      <w:r>
        <w:rPr>
          <w:noProof/>
        </w:rPr>
        <w:fldChar w:fldCharType="begin"/>
      </w:r>
      <w:r>
        <w:rPr>
          <w:noProof/>
        </w:rPr>
        <w:instrText xml:space="preserve"> PAGEREF _Toc131413127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XI — Perpetuities and accumulations</w:t>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_Toc131413129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_Toc131413130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The perpetuity period</w:t>
      </w:r>
      <w:r>
        <w:rPr>
          <w:noProof/>
        </w:rPr>
        <w:tab/>
      </w:r>
      <w:r>
        <w:rPr>
          <w:noProof/>
        </w:rPr>
        <w:fldChar w:fldCharType="begin"/>
      </w:r>
      <w:r>
        <w:rPr>
          <w:noProof/>
        </w:rPr>
        <w:instrText xml:space="preserve"> PAGEREF _Toc131413131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Capacity to procreate or bear a child</w:t>
      </w:r>
      <w:r>
        <w:rPr>
          <w:noProof/>
        </w:rPr>
        <w:tab/>
      </w:r>
      <w:r>
        <w:rPr>
          <w:noProof/>
        </w:rPr>
        <w:fldChar w:fldCharType="begin"/>
      </w:r>
      <w:r>
        <w:rPr>
          <w:noProof/>
        </w:rPr>
        <w:instrText xml:space="preserve"> PAGEREF _Toc131413132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Wait and see rule</w:t>
      </w:r>
      <w:r>
        <w:rPr>
          <w:noProof/>
        </w:rPr>
        <w:tab/>
      </w:r>
      <w:r>
        <w:rPr>
          <w:noProof/>
        </w:rPr>
        <w:fldChar w:fldCharType="begin"/>
      </w:r>
      <w:r>
        <w:rPr>
          <w:noProof/>
        </w:rPr>
        <w:instrText xml:space="preserve"> PAGEREF _Toc131413133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pacing w:val="-4"/>
          <w:szCs w:val="24"/>
        </w:rPr>
        <w:t>104</w:t>
      </w:r>
      <w:r>
        <w:rPr>
          <w:noProof/>
          <w:snapToGrid w:val="0"/>
          <w:spacing w:val="-4"/>
          <w:szCs w:val="24"/>
        </w:rPr>
        <w:t>.</w:t>
      </w:r>
      <w:r>
        <w:rPr>
          <w:noProof/>
          <w:sz w:val="24"/>
          <w:szCs w:val="24"/>
        </w:rPr>
        <w:tab/>
      </w:r>
      <w:r>
        <w:rPr>
          <w:noProof/>
          <w:snapToGrid w:val="0"/>
          <w:spacing w:val="-4"/>
          <w:szCs w:val="24"/>
        </w:rPr>
        <w:t>Power of Court to make declaration as to validity of limitations</w:t>
      </w:r>
      <w:r>
        <w:rPr>
          <w:noProof/>
        </w:rPr>
        <w:tab/>
      </w:r>
      <w:r>
        <w:rPr>
          <w:noProof/>
        </w:rPr>
        <w:fldChar w:fldCharType="begin"/>
      </w:r>
      <w:r>
        <w:rPr>
          <w:noProof/>
        </w:rPr>
        <w:instrText xml:space="preserve"> PAGEREF _Toc131413134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Invalid age contingencies</w:t>
      </w:r>
      <w:r>
        <w:rPr>
          <w:noProof/>
        </w:rPr>
        <w:tab/>
      </w:r>
      <w:r>
        <w:rPr>
          <w:noProof/>
        </w:rPr>
        <w:fldChar w:fldCharType="begin"/>
      </w:r>
      <w:r>
        <w:rPr>
          <w:noProof/>
        </w:rPr>
        <w:instrText xml:space="preserve"> PAGEREF _Toc131413135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Class gifts</w:t>
      </w:r>
      <w:r>
        <w:rPr>
          <w:noProof/>
        </w:rPr>
        <w:tab/>
      </w:r>
      <w:r>
        <w:rPr>
          <w:noProof/>
        </w:rPr>
        <w:fldChar w:fldCharType="begin"/>
      </w:r>
      <w:r>
        <w:rPr>
          <w:noProof/>
        </w:rPr>
        <w:instrText xml:space="preserve"> PAGEREF _Toc131413136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Order of applying rules</w:t>
      </w:r>
      <w:r>
        <w:rPr>
          <w:noProof/>
        </w:rPr>
        <w:tab/>
      </w:r>
      <w:r>
        <w:rPr>
          <w:noProof/>
        </w:rPr>
        <w:fldChar w:fldCharType="begin"/>
      </w:r>
      <w:r>
        <w:rPr>
          <w:noProof/>
        </w:rPr>
        <w:instrText xml:space="preserve"> PAGEREF _Toc131413137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Unborn spouses</w:t>
      </w:r>
      <w:r>
        <w:rPr>
          <w:noProof/>
        </w:rPr>
        <w:tab/>
      </w:r>
      <w:r>
        <w:rPr>
          <w:noProof/>
        </w:rPr>
        <w:fldChar w:fldCharType="begin"/>
      </w:r>
      <w:r>
        <w:rPr>
          <w:noProof/>
        </w:rPr>
        <w:instrText xml:space="preserve"> PAGEREF _Toc131413138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Dependent limitations</w:t>
      </w:r>
      <w:r>
        <w:rPr>
          <w:noProof/>
        </w:rPr>
        <w:tab/>
      </w:r>
      <w:r>
        <w:rPr>
          <w:noProof/>
        </w:rPr>
        <w:fldChar w:fldCharType="begin"/>
      </w:r>
      <w:r>
        <w:rPr>
          <w:noProof/>
        </w:rPr>
        <w:instrText xml:space="preserve"> PAGEREF _Toc131413139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Options</w:t>
      </w:r>
      <w:r>
        <w:rPr>
          <w:noProof/>
        </w:rPr>
        <w:tab/>
      </w:r>
      <w:r>
        <w:rPr>
          <w:noProof/>
        </w:rPr>
        <w:fldChar w:fldCharType="begin"/>
      </w:r>
      <w:r>
        <w:rPr>
          <w:noProof/>
        </w:rPr>
        <w:instrText xml:space="preserve"> PAGEREF _Toc131413140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Application of the rule to possibilities of reverter, rights of entry and resulting trusts</w:t>
      </w:r>
      <w:r>
        <w:rPr>
          <w:noProof/>
        </w:rPr>
        <w:tab/>
      </w:r>
      <w:r>
        <w:rPr>
          <w:noProof/>
        </w:rPr>
        <w:fldChar w:fldCharType="begin"/>
      </w:r>
      <w:r>
        <w:rPr>
          <w:noProof/>
        </w:rPr>
        <w:instrText xml:space="preserve"> PAGEREF _Toc131413141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Powers of appointment</w:t>
      </w:r>
      <w:r>
        <w:rPr>
          <w:noProof/>
        </w:rPr>
        <w:tab/>
      </w:r>
      <w:r>
        <w:rPr>
          <w:noProof/>
        </w:rPr>
        <w:fldChar w:fldCharType="begin"/>
      </w:r>
      <w:r>
        <w:rPr>
          <w:noProof/>
        </w:rPr>
        <w:instrText xml:space="preserve"> PAGEREF _Toc131413142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Accumulations of income</w:t>
      </w:r>
      <w:r>
        <w:rPr>
          <w:noProof/>
        </w:rPr>
        <w:tab/>
      </w:r>
      <w:r>
        <w:rPr>
          <w:noProof/>
        </w:rPr>
        <w:fldChar w:fldCharType="begin"/>
      </w:r>
      <w:r>
        <w:rPr>
          <w:noProof/>
        </w:rPr>
        <w:instrText xml:space="preserve"> PAGEREF _Toc131413143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Rule in Whitby v. Mitchell abolished</w:t>
      </w:r>
      <w:r>
        <w:rPr>
          <w:noProof/>
        </w:rPr>
        <w:tab/>
      </w:r>
      <w:r>
        <w:rPr>
          <w:noProof/>
        </w:rPr>
        <w:fldChar w:fldCharType="begin"/>
      </w:r>
      <w:r>
        <w:rPr>
          <w:noProof/>
        </w:rPr>
        <w:instrText xml:space="preserve"> PAGEREF _Toc131413144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Superannuation funds, etc.</w:t>
      </w:r>
      <w:r>
        <w:rPr>
          <w:noProof/>
        </w:rPr>
        <w:tab/>
      </w:r>
      <w:r>
        <w:rPr>
          <w:noProof/>
        </w:rPr>
        <w:fldChar w:fldCharType="begin"/>
      </w:r>
      <w:r>
        <w:rPr>
          <w:noProof/>
        </w:rPr>
        <w:instrText xml:space="preserve"> PAGEREF _Toc131413145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XII — Succession</w:t>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Intermediate income of executory or contingent gifts</w:t>
      </w:r>
      <w:r>
        <w:rPr>
          <w:noProof/>
        </w:rPr>
        <w:tab/>
      </w:r>
      <w:r>
        <w:rPr>
          <w:noProof/>
        </w:rPr>
        <w:fldChar w:fldCharType="begin"/>
      </w:r>
      <w:r>
        <w:rPr>
          <w:noProof/>
        </w:rPr>
        <w:instrText xml:space="preserve"> PAGEREF _Toc131413147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Application of section 120</w:t>
      </w:r>
      <w:r>
        <w:rPr>
          <w:noProof/>
        </w:rPr>
        <w:tab/>
      </w:r>
      <w:r>
        <w:rPr>
          <w:noProof/>
        </w:rPr>
        <w:fldChar w:fldCharType="begin"/>
      </w:r>
      <w:r>
        <w:rPr>
          <w:noProof/>
        </w:rPr>
        <w:instrText xml:space="preserve"> PAGEREF _Toc131413148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Devolution of property in cases of simultaneous deaths</w:t>
      </w:r>
      <w:r>
        <w:rPr>
          <w:noProof/>
        </w:rPr>
        <w:tab/>
      </w:r>
      <w:r>
        <w:rPr>
          <w:noProof/>
        </w:rPr>
        <w:fldChar w:fldCharType="begin"/>
      </w:r>
      <w:r>
        <w:rPr>
          <w:noProof/>
        </w:rPr>
        <w:instrText xml:space="preserve"> PAGEREF _Toc131413149 \h </w:instrText>
      </w:r>
      <w:r>
        <w:rPr>
          <w:noProof/>
        </w:rPr>
      </w:r>
      <w:r>
        <w:rPr>
          <w:noProof/>
        </w:rPr>
        <w:fldChar w:fldCharType="separate"/>
      </w:r>
      <w:r>
        <w:rPr>
          <w:noProof/>
        </w:rPr>
        <w:t>79</w:t>
      </w:r>
      <w:r>
        <w:rPr>
          <w:noProof/>
        </w:rPr>
        <w:fldChar w:fldCharType="end"/>
      </w:r>
    </w:p>
    <w:p>
      <w:pPr>
        <w:pStyle w:val="TOC2"/>
        <w:tabs>
          <w:tab w:val="right" w:leader="dot" w:pos="7086"/>
        </w:tabs>
        <w:rPr>
          <w:b w:val="0"/>
          <w:noProof/>
          <w:sz w:val="24"/>
          <w:szCs w:val="24"/>
        </w:rPr>
      </w:pPr>
      <w:r>
        <w:rPr>
          <w:noProof/>
          <w:szCs w:val="30"/>
        </w:rPr>
        <w:t>Part XIII — Easements, encroachments and mistake</w:t>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Easement of light and air only by registered grant or instrument</w:t>
      </w:r>
      <w:r>
        <w:rPr>
          <w:noProof/>
        </w:rPr>
        <w:tab/>
      </w:r>
      <w:r>
        <w:rPr>
          <w:noProof/>
        </w:rPr>
        <w:fldChar w:fldCharType="begin"/>
      </w:r>
      <w:r>
        <w:rPr>
          <w:noProof/>
        </w:rPr>
        <w:instrText xml:space="preserve"> PAGEREF _Toc131413151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Power of Court to grant special relief in cases of encroachment</w:t>
      </w:r>
      <w:r>
        <w:rPr>
          <w:noProof/>
        </w:rPr>
        <w:tab/>
      </w:r>
      <w:r>
        <w:rPr>
          <w:noProof/>
        </w:rPr>
        <w:fldChar w:fldCharType="begin"/>
      </w:r>
      <w:r>
        <w:rPr>
          <w:noProof/>
        </w:rPr>
        <w:instrText xml:space="preserve"> PAGEREF _Toc131413152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Relief in cases of mistake as to boundaries or identity of land</w:t>
      </w:r>
      <w:r>
        <w:rPr>
          <w:noProof/>
        </w:rPr>
        <w:tab/>
      </w:r>
      <w:r>
        <w:rPr>
          <w:noProof/>
        </w:rPr>
        <w:fldChar w:fldCharType="begin"/>
      </w:r>
      <w:r>
        <w:rPr>
          <w:noProof/>
        </w:rPr>
        <w:instrText xml:space="preserve"> PAGEREF _Toc131413153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Recovery of payments made under mistake of law</w:t>
      </w:r>
      <w:r>
        <w:rPr>
          <w:noProof/>
        </w:rPr>
        <w:tab/>
      </w:r>
      <w:r>
        <w:rPr>
          <w:noProof/>
        </w:rPr>
        <w:fldChar w:fldCharType="begin"/>
      </w:r>
      <w:r>
        <w:rPr>
          <w:noProof/>
        </w:rPr>
        <w:instrText xml:space="preserve"> PAGEREF _Toc131413154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Payments made under mistake of law or fact not always recoverable</w:t>
      </w:r>
      <w:r>
        <w:rPr>
          <w:noProof/>
        </w:rPr>
        <w:tab/>
      </w:r>
      <w:r>
        <w:rPr>
          <w:noProof/>
        </w:rPr>
        <w:fldChar w:fldCharType="begin"/>
      </w:r>
      <w:r>
        <w:rPr>
          <w:noProof/>
        </w:rPr>
        <w:instrText xml:space="preserve"> PAGEREF _Toc131413155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30"/>
        </w:rPr>
        <w:t>Part XIV — Partition of land and division of chattels</w:t>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In action for partition Court may direct land to be sold</w:t>
      </w:r>
      <w:r>
        <w:rPr>
          <w:noProof/>
        </w:rPr>
        <w:tab/>
      </w:r>
      <w:r>
        <w:rPr>
          <w:noProof/>
        </w:rPr>
        <w:fldChar w:fldCharType="begin"/>
      </w:r>
      <w:r>
        <w:rPr>
          <w:noProof/>
        </w:rPr>
        <w:instrText xml:space="preserve"> PAGEREF _Toc131413157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Proceeds of sale, how applied</w:t>
      </w:r>
      <w:r>
        <w:rPr>
          <w:noProof/>
        </w:rPr>
        <w:tab/>
      </w:r>
      <w:r>
        <w:rPr>
          <w:noProof/>
        </w:rPr>
        <w:fldChar w:fldCharType="begin"/>
      </w:r>
      <w:r>
        <w:rPr>
          <w:noProof/>
        </w:rPr>
        <w:instrText xml:space="preserve"> PAGEREF _Toc131413158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Costs in partition suits</w:t>
      </w:r>
      <w:r>
        <w:rPr>
          <w:noProof/>
        </w:rPr>
        <w:tab/>
      </w:r>
      <w:r>
        <w:rPr>
          <w:noProof/>
        </w:rPr>
        <w:fldChar w:fldCharType="begin"/>
      </w:r>
      <w:r>
        <w:rPr>
          <w:noProof/>
        </w:rPr>
        <w:instrText xml:space="preserve"> PAGEREF _Toc131413159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Division of chattels</w:t>
      </w:r>
      <w:r>
        <w:rPr>
          <w:noProof/>
        </w:rPr>
        <w:tab/>
      </w:r>
      <w:r>
        <w:rPr>
          <w:noProof/>
        </w:rPr>
        <w:fldChar w:fldCharType="begin"/>
      </w:r>
      <w:r>
        <w:rPr>
          <w:noProof/>
        </w:rPr>
        <w:instrText xml:space="preserve"> PAGEREF _Toc131413160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szCs w:val="24"/>
        </w:rPr>
      </w:pPr>
      <w:r>
        <w:rPr>
          <w:noProof/>
          <w:szCs w:val="30"/>
        </w:rPr>
        <w:t>Part XV — Apportionment</w:t>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_Toc131413162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Income apportionable in respect of time</w:t>
      </w:r>
      <w:r>
        <w:rPr>
          <w:noProof/>
        </w:rPr>
        <w:tab/>
      </w:r>
      <w:r>
        <w:rPr>
          <w:noProof/>
        </w:rPr>
        <w:fldChar w:fldCharType="begin"/>
      </w:r>
      <w:r>
        <w:rPr>
          <w:noProof/>
        </w:rPr>
        <w:instrText xml:space="preserve"> PAGEREF _Toc131413163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Time when apportioned part payable</w:t>
      </w:r>
      <w:r>
        <w:rPr>
          <w:noProof/>
        </w:rPr>
        <w:tab/>
      </w:r>
      <w:r>
        <w:rPr>
          <w:noProof/>
        </w:rPr>
        <w:fldChar w:fldCharType="begin"/>
      </w:r>
      <w:r>
        <w:rPr>
          <w:noProof/>
        </w:rPr>
        <w:instrText xml:space="preserve"> PAGEREF _Toc131413164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Recovery of apportioned parts</w:t>
      </w:r>
      <w:r>
        <w:rPr>
          <w:noProof/>
        </w:rPr>
        <w:tab/>
      </w:r>
      <w:r>
        <w:rPr>
          <w:noProof/>
        </w:rPr>
        <w:fldChar w:fldCharType="begin"/>
      </w:r>
      <w:r>
        <w:rPr>
          <w:noProof/>
        </w:rPr>
        <w:instrText xml:space="preserve"> PAGEREF _Toc131413165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Exceptions and application</w:t>
      </w:r>
      <w:r>
        <w:rPr>
          <w:noProof/>
        </w:rPr>
        <w:tab/>
      </w:r>
      <w:r>
        <w:rPr>
          <w:noProof/>
        </w:rPr>
        <w:fldChar w:fldCharType="begin"/>
      </w:r>
      <w:r>
        <w:rPr>
          <w:noProof/>
        </w:rPr>
        <w:instrText xml:space="preserve"> PAGEREF _Toc131413166 \h </w:instrText>
      </w:r>
      <w:r>
        <w:rPr>
          <w:noProof/>
        </w:rPr>
      </w:r>
      <w:r>
        <w:rPr>
          <w:noProof/>
        </w:rPr>
        <w:fldChar w:fldCharType="separate"/>
      </w:r>
      <w:r>
        <w:rPr>
          <w:noProof/>
        </w:rPr>
        <w:t>92</w:t>
      </w:r>
      <w:r>
        <w:rPr>
          <w:noProof/>
        </w:rPr>
        <w:fldChar w:fldCharType="end"/>
      </w:r>
    </w:p>
    <w:p>
      <w:pPr>
        <w:pStyle w:val="TOC2"/>
        <w:tabs>
          <w:tab w:val="right" w:leader="dot" w:pos="7086"/>
        </w:tabs>
        <w:rPr>
          <w:b w:val="0"/>
          <w:noProof/>
          <w:sz w:val="24"/>
          <w:szCs w:val="24"/>
        </w:rPr>
      </w:pPr>
      <w:r>
        <w:rPr>
          <w:noProof/>
          <w:szCs w:val="30"/>
        </w:rPr>
        <w:t>Part XVI — Service of notices</w:t>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Mode of service</w:t>
      </w:r>
      <w:r>
        <w:rPr>
          <w:noProof/>
        </w:rPr>
        <w:tab/>
      </w:r>
      <w:r>
        <w:rPr>
          <w:noProof/>
        </w:rPr>
        <w:fldChar w:fldCharType="begin"/>
      </w:r>
      <w:r>
        <w:rPr>
          <w:noProof/>
        </w:rPr>
        <w:instrText xml:space="preserve"> PAGEREF _Toc131413168 \h </w:instrText>
      </w:r>
      <w:r>
        <w:rPr>
          <w:noProof/>
        </w:rPr>
      </w:r>
      <w:r>
        <w:rPr>
          <w:noProof/>
        </w:rPr>
        <w:fldChar w:fldCharType="separate"/>
      </w:r>
      <w:r>
        <w:rPr>
          <w:noProof/>
        </w:rPr>
        <w:t>93</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_Toc131413169 \h </w:instrText>
      </w:r>
      <w:r>
        <w:rPr>
          <w:noProof/>
        </w:rPr>
      </w:r>
      <w:r>
        <w:rPr>
          <w:noProof/>
        </w:rPr>
        <w:fldChar w:fldCharType="separate"/>
      </w:r>
      <w:r>
        <w:rPr>
          <w:noProof/>
        </w:rPr>
        <w:t>95</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_Toc131413170 \h </w:instrText>
      </w:r>
      <w:r>
        <w:rPr>
          <w:noProof/>
        </w:rPr>
      </w:r>
      <w:r>
        <w:rPr>
          <w:noProof/>
        </w:rPr>
        <w:fldChar w:fldCharType="separate"/>
      </w:r>
      <w:r>
        <w:rPr>
          <w:noProof/>
        </w:rPr>
        <w:t>96</w:t>
      </w:r>
      <w:r>
        <w:rPr>
          <w:noProof/>
        </w:rPr>
        <w:fldChar w:fldCharType="end"/>
      </w:r>
    </w:p>
    <w:p>
      <w:pPr>
        <w:pStyle w:val="TOC5"/>
        <w:rPr>
          <w:b w:val="0"/>
          <w:noProof/>
          <w:sz w:val="24"/>
          <w:szCs w:val="24"/>
        </w:rPr>
      </w:pPr>
      <w:r>
        <w:rPr>
          <w:noProof/>
          <w:szCs w:val="28"/>
        </w:rPr>
        <w:t>Third Schedule</w:t>
      </w:r>
      <w:r>
        <w:rPr>
          <w:noProof/>
        </w:rPr>
        <w:tab/>
      </w:r>
      <w:r>
        <w:rPr>
          <w:noProof/>
        </w:rPr>
        <w:fldChar w:fldCharType="begin"/>
      </w:r>
      <w:r>
        <w:rPr>
          <w:noProof/>
        </w:rPr>
        <w:instrText xml:space="preserve"> PAGEREF _Toc131413171 \h </w:instrText>
      </w:r>
      <w:r>
        <w:rPr>
          <w:noProof/>
        </w:rPr>
      </w:r>
      <w:r>
        <w:rPr>
          <w:noProof/>
        </w:rPr>
        <w:fldChar w:fldCharType="separate"/>
      </w:r>
      <w:r>
        <w:rPr>
          <w:noProof/>
        </w:rPr>
        <w:t>97</w:t>
      </w:r>
      <w:r>
        <w:rPr>
          <w:noProof/>
        </w:rPr>
        <w:fldChar w:fldCharType="end"/>
      </w:r>
    </w:p>
    <w:p>
      <w:pPr>
        <w:pStyle w:val="TOC5"/>
        <w:rPr>
          <w:b w:val="0"/>
          <w:noProof/>
          <w:sz w:val="24"/>
          <w:szCs w:val="24"/>
        </w:rPr>
      </w:pPr>
      <w:r>
        <w:rPr>
          <w:noProof/>
          <w:szCs w:val="28"/>
        </w:rPr>
        <w:t>Fourth Schedule</w:t>
      </w:r>
      <w:r>
        <w:rPr>
          <w:noProof/>
        </w:rPr>
        <w:tab/>
      </w:r>
      <w:r>
        <w:rPr>
          <w:noProof/>
        </w:rPr>
        <w:fldChar w:fldCharType="begin"/>
      </w:r>
      <w:r>
        <w:rPr>
          <w:noProof/>
        </w:rPr>
        <w:instrText xml:space="preserve"> PAGEREF _Toc131413172 \h </w:instrText>
      </w:r>
      <w:r>
        <w:rPr>
          <w:noProof/>
        </w:rPr>
      </w:r>
      <w:r>
        <w:rPr>
          <w:noProof/>
        </w:rPr>
        <w:fldChar w:fldCharType="separate"/>
      </w:r>
      <w:r>
        <w:rPr>
          <w:noProof/>
        </w:rPr>
        <w:t>102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_Toc131413174 \h </w:instrText>
      </w:r>
      <w:r>
        <w:rPr>
          <w:noProof/>
        </w:rPr>
      </w:r>
      <w:r>
        <w:rPr>
          <w:noProof/>
        </w:rPr>
        <w:fldChar w:fldCharType="separate"/>
      </w:r>
      <w:r>
        <w:rPr>
          <w:noProof/>
        </w:rPr>
        <w:t>103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Property Law Act 1969 </w:t>
      </w:r>
    </w:p>
    <w:p>
      <w:pPr>
        <w:pStyle w:val="LongTitle"/>
        <w:rPr>
          <w:snapToGrid w:val="0"/>
        </w:rPr>
      </w:pPr>
      <w:r>
        <w:rPr>
          <w:snapToGrid w:val="0"/>
        </w:rPr>
        <w:t xml:space="preserve">An Act to amend and consolidate the law relating to property and for incidental purposes. </w:t>
      </w:r>
    </w:p>
    <w:p>
      <w:pPr>
        <w:pStyle w:val="Heading2"/>
      </w:pPr>
      <w:bookmarkStart w:id="2" w:name="_Toc122772904"/>
      <w:bookmarkStart w:id="3" w:name="_Toc123003919"/>
      <w:bookmarkStart w:id="4" w:name="_Toc131413011"/>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spacing w:before="180"/>
        <w:rPr>
          <w:snapToGrid w:val="0"/>
        </w:rPr>
      </w:pPr>
      <w:bookmarkStart w:id="5" w:name="_Toc455284752"/>
      <w:bookmarkStart w:id="6" w:name="_Toc131413012"/>
      <w:r>
        <w:rPr>
          <w:rStyle w:val="CharSectno"/>
        </w:rPr>
        <w:t>1</w:t>
      </w:r>
      <w:r>
        <w:rPr>
          <w:snapToGrid w:val="0"/>
        </w:rPr>
        <w:t>.</w:t>
      </w:r>
      <w:r>
        <w:rPr>
          <w:snapToGrid w:val="0"/>
        </w:rPr>
        <w:tab/>
        <w:t>Short title</w:t>
      </w:r>
      <w:bookmarkEnd w:id="5"/>
      <w:bookmarkEnd w:id="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7" w:name="_Toc455284753"/>
      <w:bookmarkStart w:id="8" w:name="_Toc131413013"/>
      <w:r>
        <w:rPr>
          <w:rStyle w:val="CharSectno"/>
        </w:rPr>
        <w:t>2</w:t>
      </w:r>
      <w:r>
        <w:rPr>
          <w:snapToGrid w:val="0"/>
        </w:rPr>
        <w:t>.</w:t>
      </w:r>
      <w:r>
        <w:rPr>
          <w:snapToGrid w:val="0"/>
        </w:rPr>
        <w:tab/>
        <w:t>Commencement</w:t>
      </w:r>
      <w:bookmarkEnd w:id="7"/>
      <w:bookmarkEnd w:id="8"/>
      <w:r>
        <w:rPr>
          <w:snapToGrid w:val="0"/>
        </w:rPr>
        <w:t xml:space="preserve"> </w:t>
      </w:r>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s.76.]</w:t>
      </w:r>
    </w:p>
    <w:p>
      <w:pPr>
        <w:pStyle w:val="Heading5"/>
        <w:spacing w:before="180"/>
        <w:rPr>
          <w:snapToGrid w:val="0"/>
        </w:rPr>
      </w:pPr>
      <w:bookmarkStart w:id="9" w:name="_Toc455284754"/>
      <w:bookmarkStart w:id="10" w:name="_Toc131413014"/>
      <w:r>
        <w:rPr>
          <w:rStyle w:val="CharSectno"/>
        </w:rPr>
        <w:t>4</w:t>
      </w:r>
      <w:r>
        <w:rPr>
          <w:snapToGrid w:val="0"/>
        </w:rPr>
        <w:t>.</w:t>
      </w:r>
      <w:r>
        <w:rPr>
          <w:snapToGrid w:val="0"/>
        </w:rPr>
        <w:tab/>
        <w:t>Repeals</w:t>
      </w:r>
      <w:bookmarkEnd w:id="9"/>
      <w:bookmarkEnd w:id="10"/>
      <w:r>
        <w:rPr>
          <w:snapToGrid w:val="0"/>
        </w:rPr>
        <w:t xml:space="preserve"> </w:t>
      </w:r>
    </w:p>
    <w:p>
      <w:pPr>
        <w:pStyle w:val="Subsection"/>
        <w:spacing w:before="120"/>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11" w:name="_Toc455284755"/>
      <w:bookmarkStart w:id="12" w:name="_Toc131413015"/>
      <w:r>
        <w:rPr>
          <w:rStyle w:val="CharSectno"/>
        </w:rPr>
        <w:t>5</w:t>
      </w:r>
      <w:r>
        <w:rPr>
          <w:snapToGrid w:val="0"/>
        </w:rPr>
        <w:t>.</w:t>
      </w:r>
      <w:r>
        <w:rPr>
          <w:snapToGrid w:val="0"/>
        </w:rPr>
        <w:tab/>
        <w:t>Savings</w:t>
      </w:r>
      <w:bookmarkEnd w:id="11"/>
      <w:bookmarkEnd w:id="12"/>
      <w:r>
        <w:rPr>
          <w:snapToGrid w:val="0"/>
        </w:rPr>
        <w:t xml:space="preserve"> </w:t>
      </w:r>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spacing w:val="-4"/>
        </w:rPr>
      </w:pPr>
      <w:r>
        <w:rPr>
          <w:snapToGrid w:val="0"/>
          <w:spacing w:val="-4"/>
        </w:rPr>
        <w:tab/>
        <w:t>(c)</w:t>
      </w:r>
      <w:r>
        <w:rPr>
          <w:snapToGrid w:val="0"/>
          <w:spacing w:val="-4"/>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13" w:name="_Toc455284756"/>
      <w:bookmarkStart w:id="14" w:name="_Toc131413016"/>
      <w:r>
        <w:rPr>
          <w:rStyle w:val="CharSectno"/>
        </w:rPr>
        <w:t>6</w:t>
      </w:r>
      <w:r>
        <w:rPr>
          <w:snapToGrid w:val="0"/>
        </w:rPr>
        <w:t>.</w:t>
      </w:r>
      <w:r>
        <w:rPr>
          <w:snapToGrid w:val="0"/>
        </w:rPr>
        <w:tab/>
        <w:t>Application of this Act to certain Acts</w:t>
      </w:r>
      <w:bookmarkEnd w:id="13"/>
      <w:bookmarkEnd w:id="14"/>
      <w:r>
        <w:rPr>
          <w:snapToGrid w:val="0"/>
        </w:rPr>
        <w:t xml:space="preserve"> </w:t>
      </w:r>
    </w:p>
    <w:p>
      <w:pPr>
        <w:pStyle w:val="Subsection"/>
        <w:keepNext/>
        <w:spacing w:before="120"/>
        <w:rPr>
          <w:snapToGrid w:val="0"/>
        </w:rPr>
      </w:pPr>
      <w:r>
        <w:rPr>
          <w:snapToGrid w:val="0"/>
        </w:rPr>
        <w:tab/>
      </w:r>
      <w:r>
        <w:rPr>
          <w:snapToGrid w:val="0"/>
        </w:rPr>
        <w:tab/>
        <w:t>Except as in this Act expressly provided, this Act — </w:t>
      </w:r>
    </w:p>
    <w:p>
      <w:pPr>
        <w:pStyle w:val="Indenta"/>
        <w:rPr>
          <w:snapToGrid w:val="0"/>
          <w:spacing w:val="-4"/>
        </w:rPr>
      </w:pPr>
      <w:r>
        <w:rPr>
          <w:snapToGrid w:val="0"/>
          <w:spacing w:val="-4"/>
        </w:rPr>
        <w:tab/>
        <w:t>(a)</w:t>
      </w:r>
      <w:r>
        <w:rPr>
          <w:snapToGrid w:val="0"/>
          <w:spacing w:val="-4"/>
        </w:rPr>
        <w:tab/>
        <w:t xml:space="preserve">so far as inconsistent with the </w:t>
      </w:r>
      <w:r>
        <w:rPr>
          <w:i/>
          <w:snapToGrid w:val="0"/>
          <w:spacing w:val="-4"/>
        </w:rPr>
        <w:t>Transfer of Land Act 1893</w:t>
      </w:r>
      <w:r>
        <w:rPr>
          <w:snapToGrid w:val="0"/>
          <w:spacing w:val="-4"/>
        </w:rPr>
        <w:t xml:space="preserve">, or the </w:t>
      </w:r>
      <w:r>
        <w:rPr>
          <w:i/>
          <w:snapToGrid w:val="0"/>
          <w:spacing w:val="-4"/>
        </w:rPr>
        <w:t>Strata Titles Act 1966</w:t>
      </w:r>
      <w:r>
        <w:rPr>
          <w:snapToGrid w:val="0"/>
          <w:spacing w:val="-4"/>
        </w:rPr>
        <w:t xml:space="preserve"> </w:t>
      </w:r>
      <w:r>
        <w:rPr>
          <w:snapToGrid w:val="0"/>
          <w:spacing w:val="-4"/>
          <w:vertAlign w:val="superscript"/>
        </w:rPr>
        <w:t>3</w:t>
      </w:r>
      <w:r>
        <w:rPr>
          <w:snapToGrid w:val="0"/>
          <w:spacing w:val="-4"/>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15" w:name="_Toc455284757"/>
      <w:bookmarkStart w:id="16" w:name="_Toc131413017"/>
      <w:r>
        <w:rPr>
          <w:rStyle w:val="CharSectno"/>
        </w:rPr>
        <w:t>7</w:t>
      </w:r>
      <w:r>
        <w:rPr>
          <w:snapToGrid w:val="0"/>
        </w:rPr>
        <w:t>.</w:t>
      </w:r>
      <w:r>
        <w:rPr>
          <w:snapToGrid w:val="0"/>
        </w:rPr>
        <w:tab/>
        <w:t>Definitions</w:t>
      </w:r>
      <w:bookmarkEnd w:id="15"/>
      <w:bookmarkEnd w:id="16"/>
      <w:r>
        <w:rPr>
          <w:snapToGrid w:val="0"/>
        </w:rPr>
        <w:t xml:space="preserve"> </w:t>
      </w:r>
    </w:p>
    <w:p>
      <w:pPr>
        <w:pStyle w:val="Subsection"/>
        <w:keepNext/>
        <w:spacing w:before="120"/>
        <w:rPr>
          <w:snapToGrid w:val="0"/>
        </w:rPr>
      </w:pPr>
      <w:r>
        <w:rPr>
          <w:snapToGrid w:val="0"/>
        </w:rPr>
        <w:tab/>
      </w:r>
      <w:r>
        <w:rPr>
          <w:snapToGrid w:val="0"/>
        </w:rPr>
        <w:tab/>
        <w:t>In this Act unless the contrary intention appears — </w:t>
      </w:r>
    </w:p>
    <w:p>
      <w:pPr>
        <w:pStyle w:val="Defstart"/>
      </w:pPr>
      <w:r>
        <w:rPr>
          <w:b/>
        </w:rPr>
        <w:tab/>
        <w:t>“</w:t>
      </w:r>
      <w:r>
        <w:rPr>
          <w:rStyle w:val="CharDefText"/>
        </w:rPr>
        <w:t>bankruptcy</w:t>
      </w:r>
      <w:r>
        <w:rPr>
          <w:b/>
        </w:rPr>
        <w:t>”</w:t>
      </w:r>
      <w:r>
        <w:t xml:space="preserve"> includes insolvency and liquidation by arrangement, and also any other act or proceeding in law having under any law for the time being in force, effects or results similar to those of bankruptcy;</w:t>
      </w:r>
    </w:p>
    <w:p>
      <w:pPr>
        <w:pStyle w:val="Defstart"/>
        <w:rPr>
          <w:spacing w:val="-4"/>
        </w:rPr>
      </w:pPr>
      <w:r>
        <w:rPr>
          <w:b/>
          <w:spacing w:val="-4"/>
        </w:rPr>
        <w:tab/>
        <w:t>“</w:t>
      </w:r>
      <w:r>
        <w:rPr>
          <w:rStyle w:val="CharDefText"/>
          <w:spacing w:val="-4"/>
        </w:rPr>
        <w:t>conveyance</w:t>
      </w:r>
      <w:r>
        <w:rPr>
          <w:b/>
          <w:spacing w:val="-4"/>
        </w:rPr>
        <w:t>”</w:t>
      </w:r>
      <w:r>
        <w:rPr>
          <w:spacing w:val="-4"/>
        </w:rPr>
        <w:t xml:space="preserve"> includes a mortgage, charge, lease, assignment, appointment, transfer, assent, vesting declaration, disclaimer, release, surrender, extinguishment and every other assurance of property or of an interest therein by any instrument, except a will; and </w:t>
      </w:r>
      <w:r>
        <w:rPr>
          <w:b/>
          <w:spacing w:val="-4"/>
        </w:rPr>
        <w:t>“</w:t>
      </w:r>
      <w:r>
        <w:rPr>
          <w:rStyle w:val="CharDefText"/>
          <w:spacing w:val="-4"/>
        </w:rPr>
        <w:t>convey</w:t>
      </w:r>
      <w:r>
        <w:rPr>
          <w:b/>
          <w:spacing w:val="-4"/>
        </w:rPr>
        <w:t>”</w:t>
      </w:r>
      <w:r>
        <w:rPr>
          <w:spacing w:val="-4"/>
        </w:rPr>
        <w:t xml:space="preserve"> has a corresponding meaning;</w:t>
      </w:r>
    </w:p>
    <w:p>
      <w:pPr>
        <w:pStyle w:val="Defstart"/>
      </w:pPr>
      <w:r>
        <w:rPr>
          <w:b/>
        </w:rPr>
        <w:tab/>
        <w:t>“</w:t>
      </w:r>
      <w:r>
        <w:rPr>
          <w:rStyle w:val="CharDefText"/>
        </w:rPr>
        <w:t>Court</w:t>
      </w:r>
      <w:r>
        <w:rPr>
          <w:b/>
        </w:rPr>
        <w:t>”</w:t>
      </w:r>
      <w:r>
        <w:t xml:space="preserve"> means the Supreme Court or a Judge;</w:t>
      </w:r>
    </w:p>
    <w:p>
      <w:pPr>
        <w:pStyle w:val="Defstart"/>
      </w:pPr>
      <w:r>
        <w:rPr>
          <w:b/>
        </w:rPr>
        <w:tab/>
        <w:t>“</w:t>
      </w:r>
      <w:r>
        <w:rPr>
          <w:rStyle w:val="CharDefText"/>
        </w:rPr>
        <w:t>deed</w:t>
      </w:r>
      <w:r>
        <w:rPr>
          <w:b/>
        </w:rPr>
        <w:t>”</w:t>
      </w:r>
      <w:r>
        <w:t xml:space="preserve"> in relation to land under the </w:t>
      </w:r>
      <w:r>
        <w:rPr>
          <w:i/>
        </w:rPr>
        <w:t>Transfer of Land Act 1893</w:t>
      </w:r>
      <w:r>
        <w:t>, includes an instrument having the effect of a deed under that Act;</w:t>
      </w:r>
    </w:p>
    <w:p>
      <w:pPr>
        <w:pStyle w:val="Defstart"/>
      </w:pPr>
      <w:r>
        <w:rPr>
          <w:b/>
        </w:rPr>
        <w:tab/>
        <w:t>“</w:t>
      </w:r>
      <w:r>
        <w:rPr>
          <w:rStyle w:val="CharDefText"/>
        </w:rPr>
        <w:t>disposition</w:t>
      </w:r>
      <w:r>
        <w:rPr>
          <w:b/>
        </w:rPr>
        <w:t>”</w:t>
      </w:r>
      <w:r>
        <w:t xml:space="preserve"> includes a conveyance and also a devise, bequest or an appointment of property contained in a will; and </w:t>
      </w:r>
      <w:r>
        <w:rPr>
          <w:b/>
        </w:rPr>
        <w:t>“</w:t>
      </w:r>
      <w:r>
        <w:rPr>
          <w:rStyle w:val="CharDefText"/>
        </w:rPr>
        <w:t>dispose of</w:t>
      </w:r>
      <w:r>
        <w:rPr>
          <w:b/>
        </w:rPr>
        <w:t>”</w:t>
      </w:r>
      <w:r>
        <w:t xml:space="preserve"> has a corresponding meaning;</w:t>
      </w:r>
    </w:p>
    <w:p>
      <w:pPr>
        <w:pStyle w:val="Defstart"/>
      </w:pPr>
      <w:r>
        <w:rPr>
          <w:b/>
        </w:rPr>
        <w:tab/>
        <w:t>“</w:t>
      </w:r>
      <w:r>
        <w:rPr>
          <w:rStyle w:val="CharDefText"/>
        </w:rPr>
        <w:t>encumbrance</w:t>
      </w:r>
      <w:r>
        <w:rPr>
          <w:b/>
        </w:rPr>
        <w:t>”</w:t>
      </w:r>
      <w:r>
        <w:t xml:space="preserve"> includes a legal or equitable mortgage, a trust for securing money, a lien and a charge of a portion, annuity, or other capital or annual sum; and </w:t>
      </w:r>
      <w:r>
        <w:rPr>
          <w:b/>
        </w:rPr>
        <w:t>“</w:t>
      </w:r>
      <w:r>
        <w:rPr>
          <w:rStyle w:val="CharDefText"/>
        </w:rPr>
        <w:t>encumbrancee</w:t>
      </w:r>
      <w:r>
        <w:rPr>
          <w:b/>
        </w:rPr>
        <w:t>”</w:t>
      </w:r>
      <w:r>
        <w:t xml:space="preserve"> has a corresponding meaning, and includes every person entitled to the benefit of an encumbrance or entitled to require payment or discharge of the encumbrance;</w:t>
      </w:r>
    </w:p>
    <w:p>
      <w:pPr>
        <w:pStyle w:val="Defstart"/>
      </w:pPr>
      <w:r>
        <w:rPr>
          <w:b/>
        </w:rPr>
        <w:tab/>
        <w:t>“</w:t>
      </w:r>
      <w:r>
        <w:rPr>
          <w:rStyle w:val="CharDefText"/>
        </w:rPr>
        <w:t>fine</w:t>
      </w:r>
      <w:r>
        <w:rPr>
          <w:b/>
        </w:rPr>
        <w:t>”</w:t>
      </w:r>
      <w:r>
        <w:t xml:space="preserve"> includes a premium or foregift and any payment, consideration or benefit in the nature of a fine, premium or foregift;</w:t>
      </w:r>
    </w:p>
    <w:p>
      <w:pPr>
        <w:pStyle w:val="Defstart"/>
        <w:spacing w:before="100"/>
      </w:pPr>
      <w:r>
        <w:rPr>
          <w:b/>
        </w:rPr>
        <w:tab/>
        <w:t>“</w:t>
      </w:r>
      <w:r>
        <w:rPr>
          <w:rStyle w:val="CharDefText"/>
        </w:rPr>
        <w:t>income</w:t>
      </w:r>
      <w:r>
        <w:rPr>
          <w:b/>
        </w:rPr>
        <w:t>”</w:t>
      </w:r>
      <w:r>
        <w:t xml:space="preserve"> in relation to land includes rents and profits;</w:t>
      </w:r>
    </w:p>
    <w:p>
      <w:pPr>
        <w:pStyle w:val="Defstart"/>
        <w:spacing w:before="100"/>
      </w:pPr>
      <w:r>
        <w:rPr>
          <w:b/>
        </w:rPr>
        <w:tab/>
        <w:t>“</w:t>
      </w:r>
      <w:r>
        <w:rPr>
          <w:rStyle w:val="CharDefText"/>
        </w:rPr>
        <w:t>instrument</w:t>
      </w:r>
      <w:r>
        <w:rPr>
          <w:b/>
        </w:rPr>
        <w:t>”</w:t>
      </w:r>
      <w:r>
        <w:t xml:space="preserve"> includes deed and will but does not include a statute, unless the statute creates a settlement;</w:t>
      </w:r>
    </w:p>
    <w:p>
      <w:pPr>
        <w:pStyle w:val="Defstart"/>
        <w:spacing w:before="100"/>
      </w:pPr>
      <w:r>
        <w:rPr>
          <w:b/>
        </w:rPr>
        <w:tab/>
        <w:t>“</w:t>
      </w:r>
      <w:r>
        <w:rPr>
          <w:rStyle w:val="CharDefText"/>
        </w:rPr>
        <w:t>land</w:t>
      </w:r>
      <w:r>
        <w:rPr>
          <w:b/>
        </w:rPr>
        <w:t>”</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t>“</w:t>
      </w:r>
      <w:r>
        <w:rPr>
          <w:rStyle w:val="CharDefText"/>
        </w:rPr>
        <w:t xml:space="preserve">land under the </w:t>
      </w:r>
      <w:r>
        <w:rPr>
          <w:rStyle w:val="CharDefText"/>
          <w:i/>
        </w:rPr>
        <w:t>Transfer of Land Act 1893</w:t>
      </w:r>
      <w:r>
        <w:rPr>
          <w:b/>
        </w:rPr>
        <w:t>”</w:t>
      </w:r>
      <w:r>
        <w:t xml:space="preserve"> means any estate or interest registered under that Act;</w:t>
      </w:r>
    </w:p>
    <w:p>
      <w:pPr>
        <w:pStyle w:val="Defstart"/>
        <w:spacing w:before="100"/>
      </w:pPr>
      <w:r>
        <w:rPr>
          <w:b/>
        </w:rPr>
        <w:tab/>
        <w:t>“</w:t>
      </w:r>
      <w:r>
        <w:rPr>
          <w:rStyle w:val="CharDefText"/>
        </w:rPr>
        <w:t>lease</w:t>
      </w:r>
      <w:r>
        <w:rPr>
          <w:b/>
        </w:rPr>
        <w:t>”</w:t>
      </w:r>
      <w:r>
        <w:t xml:space="preserve"> includes an under</w:t>
      </w:r>
      <w:r>
        <w:noBreakHyphen/>
        <w:t>lease or other tenancy;</w:t>
      </w:r>
    </w:p>
    <w:p>
      <w:pPr>
        <w:pStyle w:val="Defstart"/>
        <w:spacing w:before="100"/>
      </w:pPr>
      <w:r>
        <w:rPr>
          <w:b/>
        </w:rPr>
        <w:tab/>
        <w:t>“</w:t>
      </w:r>
      <w:r>
        <w:rPr>
          <w:rStyle w:val="CharDefText"/>
        </w:rPr>
        <w:t>lessee</w:t>
      </w:r>
      <w:r>
        <w:rPr>
          <w:b/>
        </w:rPr>
        <w:t>”</w:t>
      </w:r>
      <w:r>
        <w:t xml:space="preserve"> includes an underlessee and a person deriving title under a lessee or underlessee;</w:t>
      </w:r>
    </w:p>
    <w:p>
      <w:pPr>
        <w:pStyle w:val="Defstart"/>
        <w:spacing w:before="100"/>
      </w:pPr>
      <w:r>
        <w:rPr>
          <w:b/>
        </w:rPr>
        <w:tab/>
        <w:t>“</w:t>
      </w:r>
      <w:r>
        <w:rPr>
          <w:rStyle w:val="CharDefText"/>
        </w:rPr>
        <w:t>lessor</w:t>
      </w:r>
      <w:r>
        <w:rPr>
          <w:b/>
        </w:rPr>
        <w:t>”</w:t>
      </w:r>
      <w:r>
        <w:t xml:space="preserve"> includes an underlessor and a person deriving title under a lessor or underlessor;</w:t>
      </w:r>
    </w:p>
    <w:p>
      <w:pPr>
        <w:pStyle w:val="Defstart"/>
        <w:spacing w:before="100"/>
      </w:pPr>
      <w:r>
        <w:rPr>
          <w:b/>
        </w:rPr>
        <w:tab/>
        <w:t>“</w:t>
      </w:r>
      <w:r>
        <w:rPr>
          <w:rStyle w:val="CharDefText"/>
        </w:rPr>
        <w:t>mines and minerals</w:t>
      </w:r>
      <w:r>
        <w:rPr>
          <w:b/>
        </w:rPr>
        <w:t>”</w:t>
      </w:r>
      <w:r>
        <w:t xml:space="preserve"> include any strata or seam of minerals or substances in or under any land and the right to work and get the minerals and substances;</w:t>
      </w:r>
    </w:p>
    <w:p>
      <w:pPr>
        <w:pStyle w:val="Defstart"/>
        <w:spacing w:before="100"/>
      </w:pPr>
      <w:r>
        <w:rPr>
          <w:b/>
        </w:rPr>
        <w:tab/>
        <w:t>“</w:t>
      </w:r>
      <w:r>
        <w:rPr>
          <w:rStyle w:val="CharDefText"/>
        </w:rPr>
        <w:t>mortgage</w:t>
      </w:r>
      <w:r>
        <w:rPr>
          <w:b/>
        </w:rPr>
        <w:t>”</w:t>
      </w:r>
      <w:r>
        <w:t xml:space="preserve"> includes a charge or lien on any property for securing money or money’s worth;</w:t>
      </w:r>
    </w:p>
    <w:p>
      <w:pPr>
        <w:pStyle w:val="Defstart"/>
        <w:spacing w:before="100"/>
      </w:pPr>
      <w:r>
        <w:rPr>
          <w:b/>
        </w:rPr>
        <w:tab/>
        <w:t>“</w:t>
      </w:r>
      <w:r>
        <w:rPr>
          <w:rStyle w:val="CharDefText"/>
        </w:rPr>
        <w:t>mortgage</w:t>
      </w:r>
      <w:r>
        <w:rPr>
          <w:b/>
        </w:rPr>
        <w:t>”</w:t>
      </w:r>
      <w:r>
        <w:t xml:space="preserve">, </w:t>
      </w:r>
      <w:r>
        <w:rPr>
          <w:b/>
        </w:rPr>
        <w:t>“</w:t>
      </w:r>
      <w:r>
        <w:rPr>
          <w:rStyle w:val="CharDefText"/>
        </w:rPr>
        <w:t>mortgagee</w:t>
      </w:r>
      <w:r>
        <w:rPr>
          <w:b/>
        </w:rPr>
        <w:t>”</w:t>
      </w:r>
      <w:r>
        <w:t xml:space="preserve"> and </w:t>
      </w:r>
      <w:r>
        <w:rPr>
          <w:b/>
        </w:rPr>
        <w:t>“</w:t>
      </w:r>
      <w:r>
        <w:rPr>
          <w:rStyle w:val="CharDefText"/>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t>“</w:t>
      </w:r>
      <w:r>
        <w:rPr>
          <w:rStyle w:val="CharDefText"/>
        </w:rPr>
        <w:t>mortgage money</w:t>
      </w:r>
      <w:r>
        <w:rPr>
          <w:b/>
        </w:rPr>
        <w:t>”</w:t>
      </w:r>
      <w:r>
        <w:t xml:space="preserve"> means the principal interest or other money or money’s worth secured by a mortgage;</w:t>
      </w:r>
    </w:p>
    <w:p>
      <w:pPr>
        <w:pStyle w:val="Defstart"/>
        <w:spacing w:before="100"/>
      </w:pPr>
      <w:r>
        <w:rPr>
          <w:b/>
        </w:rPr>
        <w:tab/>
        <w:t>“</w:t>
      </w:r>
      <w:r>
        <w:rPr>
          <w:rStyle w:val="CharDefText"/>
        </w:rPr>
        <w:t>mortgagee</w:t>
      </w:r>
      <w:r>
        <w:rPr>
          <w:b/>
        </w:rPr>
        <w:t>”</w:t>
      </w:r>
      <w:r>
        <w:t xml:space="preserve"> includes any person from time to time deriving title under the original mortgagee and </w:t>
      </w:r>
      <w:r>
        <w:rPr>
          <w:b/>
        </w:rPr>
        <w:t>“</w:t>
      </w:r>
      <w:r>
        <w:rPr>
          <w:rStyle w:val="CharDefText"/>
        </w:rPr>
        <w:t>mortgagee in possession</w:t>
      </w:r>
      <w:r>
        <w:rPr>
          <w:b/>
        </w:rPr>
        <w:t>”</w:t>
      </w:r>
      <w:r>
        <w:t xml:space="preserve"> means a mortgagee who in right of the mortgage has entered into and is in possession of the mortgaged property;</w:t>
      </w:r>
    </w:p>
    <w:p>
      <w:pPr>
        <w:pStyle w:val="Defstart"/>
      </w:pPr>
      <w:r>
        <w:rPr>
          <w:b/>
        </w:rPr>
        <w:tab/>
        <w:t>“</w:t>
      </w:r>
      <w:r>
        <w:rPr>
          <w:rStyle w:val="CharDefText"/>
        </w:rPr>
        <w:t>mortgagor</w:t>
      </w:r>
      <w:r>
        <w:rPr>
          <w:b/>
        </w:rPr>
        <w:t>”</w:t>
      </w:r>
      <w:r>
        <w:t xml:space="preserve"> includes any person from time to time deriving title under the original mortgagor or entitled to redeem a mortgage, according to his estate, interest, or right in the mortgaged property;</w:t>
      </w:r>
    </w:p>
    <w:p>
      <w:pPr>
        <w:pStyle w:val="Defstart"/>
      </w:pPr>
      <w:r>
        <w:rPr>
          <w:b/>
        </w:rPr>
        <w:tab/>
        <w:t>“</w:t>
      </w:r>
      <w:r>
        <w:rPr>
          <w:rStyle w:val="CharDefText"/>
        </w:rPr>
        <w:t>notice</w:t>
      </w:r>
      <w:r>
        <w:rPr>
          <w:b/>
        </w:rPr>
        <w:t>”</w:t>
      </w:r>
      <w:r>
        <w:t xml:space="preserve"> includes constructive notice;</w:t>
      </w:r>
    </w:p>
    <w:p>
      <w:pPr>
        <w:pStyle w:val="Defstart"/>
      </w:pPr>
      <w:r>
        <w:rPr>
          <w:b/>
        </w:rPr>
        <w:tab/>
        <w:t>“</w:t>
      </w:r>
      <w:r>
        <w:rPr>
          <w:rStyle w:val="CharDefText"/>
        </w:rPr>
        <w:t>periodic tenancy</w:t>
      </w:r>
      <w:r>
        <w:rPr>
          <w:b/>
        </w:rPr>
        <w:t>”</w:t>
      </w:r>
      <w:r>
        <w:t xml:space="preserve"> means a tenancy of no fixed duration and in respect of which the rent is payable weekly, monthly, yearly or for any other recurring period;</w:t>
      </w:r>
    </w:p>
    <w:p>
      <w:pPr>
        <w:pStyle w:val="Defstart"/>
      </w:pPr>
      <w:r>
        <w:rPr>
          <w:b/>
        </w:rPr>
        <w:tab/>
        <w:t>“</w:t>
      </w:r>
      <w:r>
        <w:rPr>
          <w:rStyle w:val="CharDefText"/>
        </w:rPr>
        <w:t>personal representative</w:t>
      </w:r>
      <w:r>
        <w:rPr>
          <w:b/>
        </w:rPr>
        <w:t>”</w:t>
      </w:r>
      <w:r>
        <w:t xml:space="preserve"> means the executor, original or by representation or the administrator for the time being of a deceased person;</w:t>
      </w:r>
    </w:p>
    <w:p>
      <w:pPr>
        <w:pStyle w:val="Defstart"/>
      </w:pPr>
      <w:r>
        <w:rPr>
          <w:b/>
        </w:rPr>
        <w:tab/>
        <w:t>“</w:t>
      </w:r>
      <w:r>
        <w:rPr>
          <w:rStyle w:val="CharDefText"/>
        </w:rPr>
        <w:t>possession</w:t>
      </w:r>
      <w:r>
        <w:rPr>
          <w:b/>
        </w:rPr>
        <w:t>”</w:t>
      </w:r>
      <w:r>
        <w:t xml:space="preserve"> in relation to land includes the receipt of income therefrom or the right to receive the income;</w:t>
      </w:r>
    </w:p>
    <w:p>
      <w:pPr>
        <w:pStyle w:val="Defstart"/>
      </w:pPr>
      <w:r>
        <w:rPr>
          <w:b/>
        </w:rPr>
        <w:tab/>
        <w:t>“</w:t>
      </w:r>
      <w:r>
        <w:rPr>
          <w:rStyle w:val="CharDefText"/>
        </w:rPr>
        <w:t>property</w:t>
      </w:r>
      <w:r>
        <w:rPr>
          <w:b/>
        </w:rPr>
        <w:t>”</w:t>
      </w:r>
      <w:r>
        <w:t xml:space="preserve"> includes real and personal property and any estate or interest therein and any thing or chose in action;</w:t>
      </w:r>
    </w:p>
    <w:p>
      <w:pPr>
        <w:pStyle w:val="Defstart"/>
      </w:pPr>
      <w:r>
        <w:rPr>
          <w:b/>
        </w:rPr>
        <w:tab/>
        <w:t>“</w:t>
      </w:r>
      <w:r>
        <w:rPr>
          <w:rStyle w:val="CharDefText"/>
        </w:rPr>
        <w:t>purchaser</w:t>
      </w:r>
      <w:r>
        <w:rPr>
          <w:b/>
        </w:rPr>
        <w:t>”</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b/>
        </w:rPr>
        <w:t>“</w:t>
      </w:r>
      <w:r>
        <w:rPr>
          <w:rStyle w:val="CharDefText"/>
        </w:rPr>
        <w:t>purchase</w:t>
      </w:r>
      <w:r>
        <w:rPr>
          <w:b/>
        </w:rPr>
        <w:t>”</w:t>
      </w:r>
      <w:r>
        <w:t xml:space="preserve"> has a corresponding meaning;</w:t>
      </w:r>
    </w:p>
    <w:p>
      <w:pPr>
        <w:pStyle w:val="Defstart"/>
      </w:pPr>
      <w:r>
        <w:rPr>
          <w:b/>
        </w:rPr>
        <w:tab/>
        <w:t>“</w:t>
      </w:r>
      <w:r>
        <w:rPr>
          <w:rStyle w:val="CharDefText"/>
        </w:rPr>
        <w:t>registered or duly registered</w:t>
      </w:r>
      <w:r>
        <w:rPr>
          <w:b/>
        </w:rPr>
        <w:t>”</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t>“</w:t>
      </w:r>
      <w:r>
        <w:rPr>
          <w:rStyle w:val="CharDefText"/>
        </w:rPr>
        <w:t>rent</w:t>
      </w:r>
      <w:r>
        <w:rPr>
          <w:b/>
        </w:rPr>
        <w: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t>“</w:t>
      </w:r>
      <w:r>
        <w:rPr>
          <w:rStyle w:val="CharDefText"/>
        </w:rPr>
        <w:t>represented person</w:t>
      </w:r>
      <w:r>
        <w:rPr>
          <w:b/>
        </w:rPr>
        <w:t>”</w:t>
      </w:r>
      <w:r>
        <w:t xml:space="preserve"> means a person in respect of whom an administration order is in force under Part 6 of the </w:t>
      </w:r>
      <w:r>
        <w:rPr>
          <w:i/>
        </w:rPr>
        <w:t>Guardianship and Administration Act 1990</w:t>
      </w:r>
      <w:r>
        <w:t>;</w:t>
      </w:r>
    </w:p>
    <w:p>
      <w:pPr>
        <w:pStyle w:val="Defstart"/>
      </w:pPr>
      <w:r>
        <w:rPr>
          <w:b/>
        </w:rPr>
        <w:tab/>
        <w:t>“</w:t>
      </w:r>
      <w:r>
        <w:rPr>
          <w:rStyle w:val="CharDefText"/>
        </w:rPr>
        <w:t>right of redemption</w:t>
      </w:r>
      <w:r>
        <w:rPr>
          <w:b/>
        </w:rPr>
        <w:t>”</w:t>
      </w:r>
      <w:r>
        <w:t xml:space="preserve"> in relation to a mortgage includes an option to repurchase only if the option in effect creates a right of redemption;</w:t>
      </w:r>
    </w:p>
    <w:p>
      <w:pPr>
        <w:pStyle w:val="Defstart"/>
      </w:pPr>
      <w:r>
        <w:rPr>
          <w:b/>
        </w:rPr>
        <w:tab/>
        <w:t>“</w:t>
      </w:r>
      <w:r>
        <w:rPr>
          <w:rStyle w:val="CharDefText"/>
        </w:rPr>
        <w:t>sale</w:t>
      </w:r>
      <w:r>
        <w:rPr>
          <w:b/>
        </w:rPr>
        <w:t>”</w:t>
      </w:r>
      <w:r>
        <w:t xml:space="preserve"> means a sale properly so called;</w:t>
      </w:r>
    </w:p>
    <w:p>
      <w:pPr>
        <w:pStyle w:val="Defstart"/>
      </w:pPr>
      <w:r>
        <w:rPr>
          <w:b/>
        </w:rPr>
        <w:tab/>
        <w:t>“</w:t>
      </w:r>
      <w:r>
        <w:rPr>
          <w:rStyle w:val="CharDefText"/>
        </w:rPr>
        <w:t>securities</w:t>
      </w:r>
      <w:r>
        <w:rPr>
          <w:b/>
        </w:rPr>
        <w:t>”</w:t>
      </w:r>
      <w:r>
        <w:t xml:space="preserve"> include stocks, funds and shares;</w:t>
      </w:r>
    </w:p>
    <w:p>
      <w:pPr>
        <w:pStyle w:val="Defstart"/>
      </w:pPr>
      <w:r>
        <w:rPr>
          <w:b/>
        </w:rPr>
        <w:tab/>
        <w:t>“</w:t>
      </w:r>
      <w:r>
        <w:rPr>
          <w:rStyle w:val="CharDefText"/>
        </w:rPr>
        <w:t>valuable consideration</w:t>
      </w:r>
      <w:r>
        <w:rPr>
          <w:b/>
        </w:rPr>
        <w:t>”</w:t>
      </w:r>
      <w:r>
        <w:t xml:space="preserve"> includes marriage but does not include a nominal consideration in money;</w:t>
      </w:r>
    </w:p>
    <w:p>
      <w:pPr>
        <w:pStyle w:val="Defstart"/>
      </w:pPr>
      <w:r>
        <w:rPr>
          <w:b/>
        </w:rPr>
        <w:tab/>
        <w:t>“</w:t>
      </w:r>
      <w:r>
        <w:rPr>
          <w:rStyle w:val="CharDefText"/>
        </w:rPr>
        <w:t>will</w:t>
      </w:r>
      <w:r>
        <w:rPr>
          <w:b/>
        </w:rPr>
        <w:t>”</w:t>
      </w:r>
      <w:r>
        <w:t xml:space="preserve"> includes codicil and every other testamentary disposition.</w:t>
      </w:r>
    </w:p>
    <w:p>
      <w:pPr>
        <w:pStyle w:val="Footnotesection"/>
      </w:pPr>
      <w:r>
        <w:tab/>
        <w:t xml:space="preserve">[Section 7 amended by No. 24 of 1990 s.123.] </w:t>
      </w:r>
    </w:p>
    <w:p>
      <w:pPr>
        <w:pStyle w:val="Heading2"/>
      </w:pPr>
      <w:bookmarkStart w:id="17" w:name="_Toc122772911"/>
      <w:bookmarkStart w:id="18" w:name="_Toc123003926"/>
      <w:bookmarkStart w:id="19" w:name="_Toc131413018"/>
      <w:r>
        <w:rPr>
          <w:rStyle w:val="CharPartNo"/>
        </w:rPr>
        <w:t>Part II</w:t>
      </w:r>
      <w:r>
        <w:rPr>
          <w:rStyle w:val="CharDivNo"/>
        </w:rPr>
        <w:t> </w:t>
      </w:r>
      <w:r>
        <w:t>—</w:t>
      </w:r>
      <w:r>
        <w:rPr>
          <w:rStyle w:val="CharDivText"/>
        </w:rPr>
        <w:t> </w:t>
      </w:r>
      <w:r>
        <w:rPr>
          <w:rStyle w:val="CharPartText"/>
        </w:rPr>
        <w:t>Deeds and other instruments</w:t>
      </w:r>
      <w:bookmarkEnd w:id="17"/>
      <w:bookmarkEnd w:id="18"/>
      <w:bookmarkEnd w:id="19"/>
      <w:r>
        <w:rPr>
          <w:rStyle w:val="CharPartText"/>
        </w:rPr>
        <w:t xml:space="preserve"> </w:t>
      </w:r>
    </w:p>
    <w:p>
      <w:pPr>
        <w:pStyle w:val="Heading5"/>
        <w:spacing w:before="180"/>
        <w:rPr>
          <w:snapToGrid w:val="0"/>
        </w:rPr>
      </w:pPr>
      <w:bookmarkStart w:id="20" w:name="_Toc455284758"/>
      <w:bookmarkStart w:id="21" w:name="_Toc131413019"/>
      <w:r>
        <w:rPr>
          <w:rStyle w:val="CharSectno"/>
        </w:rPr>
        <w:t>8</w:t>
      </w:r>
      <w:r>
        <w:rPr>
          <w:snapToGrid w:val="0"/>
        </w:rPr>
        <w:t>.</w:t>
      </w:r>
      <w:r>
        <w:rPr>
          <w:snapToGrid w:val="0"/>
        </w:rPr>
        <w:tab/>
        <w:t>Construction of expressions used in deeds and other instruments</w:t>
      </w:r>
      <w:bookmarkEnd w:id="20"/>
      <w:bookmarkEnd w:id="21"/>
      <w:r>
        <w:rPr>
          <w:snapToGrid w:val="0"/>
        </w:rPr>
        <w:t xml:space="preserve"> </w:t>
      </w:r>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 </w:t>
      </w:r>
    </w:p>
    <w:p>
      <w:pPr>
        <w:pStyle w:val="Indenta"/>
        <w:spacing w:before="60"/>
        <w:rPr>
          <w:snapToGrid w:val="0"/>
        </w:rPr>
      </w:pPr>
      <w:r>
        <w:rPr>
          <w:snapToGrid w:val="0"/>
        </w:rPr>
        <w:tab/>
        <w:t>(a)</w:t>
      </w:r>
      <w:r>
        <w:rPr>
          <w:snapToGrid w:val="0"/>
        </w:rPr>
        <w:tab/>
      </w:r>
      <w:r>
        <w:rPr>
          <w:b/>
          <w:snapToGrid w:val="0"/>
        </w:rPr>
        <w:t>“</w:t>
      </w:r>
      <w:r>
        <w:rPr>
          <w:rStyle w:val="CharDefText"/>
        </w:rPr>
        <w:t>month</w:t>
      </w:r>
      <w:r>
        <w:rPr>
          <w:b/>
          <w:snapToGrid w:val="0"/>
        </w:rPr>
        <w:t>”</w:t>
      </w:r>
      <w:r>
        <w:rPr>
          <w:snapToGrid w:val="0"/>
        </w:rPr>
        <w:t xml:space="preserve"> means a calendar month;</w:t>
      </w:r>
    </w:p>
    <w:p>
      <w:pPr>
        <w:pStyle w:val="Indenta"/>
        <w:spacing w:before="60"/>
        <w:rPr>
          <w:snapToGrid w:val="0"/>
        </w:rPr>
      </w:pPr>
      <w:r>
        <w:rPr>
          <w:snapToGrid w:val="0"/>
        </w:rPr>
        <w:tab/>
        <w:t>(b)</w:t>
      </w:r>
      <w:r>
        <w:rPr>
          <w:snapToGrid w:val="0"/>
        </w:rPr>
        <w:tab/>
      </w:r>
      <w:r>
        <w:rPr>
          <w:b/>
          <w:snapToGrid w:val="0"/>
        </w:rPr>
        <w:t>“</w:t>
      </w:r>
      <w:r>
        <w:rPr>
          <w:rStyle w:val="CharDefText"/>
        </w:rPr>
        <w:t>person</w:t>
      </w:r>
      <w:r>
        <w:rPr>
          <w:b/>
          <w:snapToGrid w:val="0"/>
        </w:rPr>
        <w:t>”</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 </w:t>
      </w:r>
    </w:p>
    <w:p>
      <w:pPr>
        <w:pStyle w:val="Indenti"/>
        <w:rPr>
          <w:snapToGrid w:val="0"/>
          <w:spacing w:val="-4"/>
        </w:rPr>
      </w:pPr>
      <w:r>
        <w:rPr>
          <w:snapToGrid w:val="0"/>
          <w:spacing w:val="-4"/>
        </w:rPr>
        <w:tab/>
        <w:t>(i)</w:t>
      </w:r>
      <w:r>
        <w:rPr>
          <w:snapToGrid w:val="0"/>
          <w:spacing w:val="-4"/>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rPr>
          <w:snapToGrid w:val="0"/>
        </w:rPr>
      </w:pPr>
      <w:r>
        <w:rPr>
          <w:snapToGrid w:val="0"/>
        </w:rPr>
        <w:tab/>
        <w:t>(ii)</w:t>
      </w:r>
      <w:r>
        <w:rPr>
          <w:snapToGrid w:val="0"/>
        </w:rPr>
        <w:tab/>
        <w:t>in any valuation obtained or to be obtained for the purposes of any such duty or tax,</w:t>
      </w:r>
    </w:p>
    <w:p>
      <w:pPr>
        <w:pStyle w:val="Indenta"/>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spacing w:before="80"/>
        <w:ind w:left="890" w:hanging="890"/>
      </w:pPr>
      <w:r>
        <w:tab/>
        <w:t xml:space="preserve">[Section 8 amended by No. 102 of 1979 s.3.] </w:t>
      </w:r>
    </w:p>
    <w:p>
      <w:pPr>
        <w:pStyle w:val="Heading5"/>
        <w:spacing w:before="180"/>
        <w:rPr>
          <w:snapToGrid w:val="0"/>
        </w:rPr>
      </w:pPr>
      <w:bookmarkStart w:id="22" w:name="_Toc455284759"/>
      <w:bookmarkStart w:id="23" w:name="_Toc131413020"/>
      <w:r>
        <w:rPr>
          <w:rStyle w:val="CharSectno"/>
        </w:rPr>
        <w:t>8A</w:t>
      </w:r>
      <w:r>
        <w:rPr>
          <w:snapToGrid w:val="0"/>
        </w:rPr>
        <w:t>.</w:t>
      </w:r>
      <w:r>
        <w:rPr>
          <w:snapToGrid w:val="0"/>
        </w:rPr>
        <w:tab/>
        <w:t>Other valuation procedures</w:t>
      </w:r>
      <w:bookmarkEnd w:id="22"/>
      <w:bookmarkEnd w:id="23"/>
      <w:r>
        <w:rPr>
          <w:snapToGrid w:val="0"/>
        </w:rPr>
        <w:t xml:space="preserve"> </w:t>
      </w:r>
    </w:p>
    <w:p>
      <w:pPr>
        <w:pStyle w:val="Subsection"/>
        <w:spacing w:before="120"/>
        <w:rPr>
          <w:snapToGrid w:val="0"/>
          <w:spacing w:val="-4"/>
        </w:rPr>
      </w:pPr>
      <w:r>
        <w:rPr>
          <w:snapToGrid w:val="0"/>
          <w:spacing w:val="-4"/>
        </w:rPr>
        <w:tab/>
        <w:t>(1)</w:t>
      </w:r>
      <w:r>
        <w:rPr>
          <w:snapToGrid w:val="0"/>
          <w:spacing w:val="-4"/>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spacing w:before="120"/>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spacing w:before="80"/>
        <w:ind w:left="890" w:hanging="890"/>
      </w:pPr>
      <w:r>
        <w:tab/>
        <w:t xml:space="preserve">[Section 8A inserted by No. 102 of 1979 s.4.] </w:t>
      </w:r>
    </w:p>
    <w:p>
      <w:pPr>
        <w:pStyle w:val="Heading5"/>
        <w:spacing w:before="180"/>
        <w:rPr>
          <w:snapToGrid w:val="0"/>
        </w:rPr>
      </w:pPr>
      <w:bookmarkStart w:id="24" w:name="_Toc455284760"/>
      <w:bookmarkStart w:id="25" w:name="_Toc131413021"/>
      <w:r>
        <w:rPr>
          <w:rStyle w:val="CharSectno"/>
        </w:rPr>
        <w:t>9</w:t>
      </w:r>
      <w:r>
        <w:rPr>
          <w:snapToGrid w:val="0"/>
        </w:rPr>
        <w:t>.</w:t>
      </w:r>
      <w:r>
        <w:rPr>
          <w:snapToGrid w:val="0"/>
        </w:rPr>
        <w:tab/>
        <w:t>Formalities of deed</w:t>
      </w:r>
      <w:bookmarkEnd w:id="24"/>
      <w:bookmarkEnd w:id="25"/>
      <w:r>
        <w:rPr>
          <w:snapToGrid w:val="0"/>
        </w:rPr>
        <w:t xml:space="preserve"> </w:t>
      </w:r>
    </w:p>
    <w:p>
      <w:pPr>
        <w:pStyle w:val="Subsection"/>
        <w:keepNext/>
        <w:spacing w:before="120"/>
        <w:rPr>
          <w:snapToGrid w:val="0"/>
        </w:rPr>
      </w:pPr>
      <w:r>
        <w:rPr>
          <w:snapToGrid w:val="0"/>
        </w:rPr>
        <w:tab/>
        <w:t>(1)</w:t>
      </w:r>
      <w:r>
        <w:rPr>
          <w:snapToGrid w:val="0"/>
        </w:rPr>
        <w:tab/>
        <w:t>Every deed, whether or not affecting property —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spacing w:before="120"/>
        <w:rPr>
          <w:snapToGrid w:val="0"/>
        </w:rPr>
      </w:pPr>
      <w:r>
        <w:rPr>
          <w:snapToGrid w:val="0"/>
        </w:rPr>
        <w:tab/>
        <w:t>(3)</w:t>
      </w:r>
      <w:r>
        <w:rPr>
          <w:snapToGrid w:val="0"/>
        </w:rPr>
        <w:tab/>
        <w:t>Formal delivery and indenting are not necessary in any case.</w:t>
      </w:r>
    </w:p>
    <w:p>
      <w:pPr>
        <w:pStyle w:val="Subsection"/>
        <w:spacing w:before="120"/>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spacing w:before="180"/>
        <w:rPr>
          <w:snapToGrid w:val="0"/>
        </w:rPr>
      </w:pPr>
      <w:bookmarkStart w:id="26" w:name="_Toc455284761"/>
      <w:bookmarkStart w:id="27" w:name="_Toc131413022"/>
      <w:r>
        <w:rPr>
          <w:rStyle w:val="CharSectno"/>
        </w:rPr>
        <w:t>10</w:t>
      </w:r>
      <w:r>
        <w:rPr>
          <w:snapToGrid w:val="0"/>
        </w:rPr>
        <w:t>.</w:t>
      </w:r>
      <w:r>
        <w:rPr>
          <w:snapToGrid w:val="0"/>
        </w:rPr>
        <w:tab/>
        <w:t>Execution of instruments by or on behalf of corporations</w:t>
      </w:r>
      <w:bookmarkEnd w:id="26"/>
      <w:bookmarkEnd w:id="27"/>
      <w:r>
        <w:rPr>
          <w:snapToGrid w:val="0"/>
        </w:rPr>
        <w:t xml:space="preserve"> </w:t>
      </w:r>
    </w:p>
    <w:p>
      <w:pPr>
        <w:pStyle w:val="Subsection"/>
        <w:spacing w:before="120"/>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spacing w:before="120"/>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spacing w:before="120"/>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spacing w:before="120"/>
        <w:rPr>
          <w:snapToGrid w:val="0"/>
        </w:rPr>
      </w:pPr>
      <w:r>
        <w:rPr>
          <w:snapToGrid w:val="0"/>
        </w:rPr>
        <w:tab/>
        <w:t>(4)</w:t>
      </w:r>
      <w:r>
        <w:rPr>
          <w:snapToGrid w:val="0"/>
        </w:rPr>
        <w:tab/>
        <w:t>When a person is authorized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authorized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authorized.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authorized by law or by practice or by the statute, charter, memorandum or articles, deed or settlement or other instrument constituting the corporation or regulating the affairs thereof, are (in addition to the modes authorized by this section) as effectual as if this section had not come into operation.</w:t>
      </w:r>
    </w:p>
    <w:p>
      <w:pPr>
        <w:pStyle w:val="Heading5"/>
        <w:rPr>
          <w:snapToGrid w:val="0"/>
        </w:rPr>
      </w:pPr>
      <w:bookmarkStart w:id="28" w:name="_Toc455284762"/>
      <w:bookmarkStart w:id="29" w:name="_Toc131413023"/>
      <w:r>
        <w:rPr>
          <w:rStyle w:val="CharSectno"/>
        </w:rPr>
        <w:t>11</w:t>
      </w:r>
      <w:r>
        <w:rPr>
          <w:snapToGrid w:val="0"/>
        </w:rPr>
        <w:t>.</w:t>
      </w:r>
      <w:r>
        <w:rPr>
          <w:snapToGrid w:val="0"/>
        </w:rPr>
        <w:tab/>
        <w:t>Persons taking who are not parties</w:t>
      </w:r>
      <w:bookmarkEnd w:id="28"/>
      <w:bookmarkEnd w:id="29"/>
      <w:r>
        <w:rPr>
          <w:snapToGrid w:val="0"/>
        </w:rPr>
        <w:t xml:space="preserve"> </w:t>
      </w:r>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30" w:name="_Toc455284763"/>
      <w:bookmarkStart w:id="31" w:name="_Toc131413024"/>
      <w:r>
        <w:rPr>
          <w:rStyle w:val="CharSectno"/>
        </w:rPr>
        <w:t>12</w:t>
      </w:r>
      <w:r>
        <w:rPr>
          <w:snapToGrid w:val="0"/>
        </w:rPr>
        <w:t>.</w:t>
      </w:r>
      <w:r>
        <w:rPr>
          <w:snapToGrid w:val="0"/>
        </w:rPr>
        <w:tab/>
        <w:t>Description of deeds</w:t>
      </w:r>
      <w:bookmarkEnd w:id="30"/>
      <w:bookmarkEnd w:id="31"/>
      <w:r>
        <w:rPr>
          <w:snapToGrid w:val="0"/>
        </w:rPr>
        <w:t xml:space="preserve"> </w:t>
      </w:r>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32" w:name="_Toc455284764"/>
      <w:bookmarkStart w:id="33" w:name="_Toc131413025"/>
      <w:r>
        <w:rPr>
          <w:rStyle w:val="CharSectno"/>
        </w:rPr>
        <w:t>13</w:t>
      </w:r>
      <w:r>
        <w:rPr>
          <w:snapToGrid w:val="0"/>
        </w:rPr>
        <w:t>.</w:t>
      </w:r>
      <w:r>
        <w:rPr>
          <w:snapToGrid w:val="0"/>
        </w:rPr>
        <w:tab/>
        <w:t>Conditions and certain covenants not implied</w:t>
      </w:r>
      <w:bookmarkEnd w:id="32"/>
      <w:bookmarkEnd w:id="33"/>
      <w:r>
        <w:rPr>
          <w:snapToGrid w:val="0"/>
        </w:rPr>
        <w:t xml:space="preserve"> </w:t>
      </w:r>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34" w:name="_Toc455284765"/>
      <w:bookmarkStart w:id="35" w:name="_Toc131413026"/>
      <w:r>
        <w:rPr>
          <w:rStyle w:val="CharSectno"/>
        </w:rPr>
        <w:t>14</w:t>
      </w:r>
      <w:r>
        <w:rPr>
          <w:snapToGrid w:val="0"/>
        </w:rPr>
        <w:t>.</w:t>
      </w:r>
      <w:r>
        <w:rPr>
          <w:snapToGrid w:val="0"/>
        </w:rPr>
        <w:tab/>
        <w:t>Receipt in deed sufficient</w:t>
      </w:r>
      <w:bookmarkEnd w:id="34"/>
      <w:bookmarkEnd w:id="35"/>
      <w:r>
        <w:rPr>
          <w:snapToGrid w:val="0"/>
        </w:rPr>
        <w:t xml:space="preserve"> </w:t>
      </w:r>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36" w:name="_Toc455284766"/>
      <w:bookmarkStart w:id="37" w:name="_Toc131413027"/>
      <w:r>
        <w:rPr>
          <w:rStyle w:val="CharSectno"/>
        </w:rPr>
        <w:t>15</w:t>
      </w:r>
      <w:r>
        <w:rPr>
          <w:snapToGrid w:val="0"/>
        </w:rPr>
        <w:t>.</w:t>
      </w:r>
      <w:r>
        <w:rPr>
          <w:snapToGrid w:val="0"/>
        </w:rPr>
        <w:tab/>
        <w:t>Receipt in deed or endorsed evidence</w:t>
      </w:r>
      <w:bookmarkEnd w:id="36"/>
      <w:bookmarkEnd w:id="37"/>
      <w:r>
        <w:rPr>
          <w:snapToGrid w:val="0"/>
        </w:rPr>
        <w:t xml:space="preserve"> </w:t>
      </w:r>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38" w:name="_Toc455284767"/>
      <w:bookmarkStart w:id="39" w:name="_Toc131413028"/>
      <w:r>
        <w:rPr>
          <w:rStyle w:val="CharSectno"/>
        </w:rPr>
        <w:t>16</w:t>
      </w:r>
      <w:r>
        <w:rPr>
          <w:snapToGrid w:val="0"/>
        </w:rPr>
        <w:t>.</w:t>
      </w:r>
      <w:r>
        <w:rPr>
          <w:snapToGrid w:val="0"/>
        </w:rPr>
        <w:tab/>
        <w:t>Construction of supplemental or annexed instrument</w:t>
      </w:r>
      <w:bookmarkEnd w:id="38"/>
      <w:bookmarkEnd w:id="39"/>
      <w:r>
        <w:rPr>
          <w:snapToGrid w:val="0"/>
        </w:rPr>
        <w:t xml:space="preserve"> </w:t>
      </w:r>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40" w:name="_Toc122772922"/>
      <w:bookmarkStart w:id="41" w:name="_Toc123003937"/>
      <w:bookmarkStart w:id="42" w:name="_Toc131413029"/>
      <w:r>
        <w:rPr>
          <w:rStyle w:val="CharPartNo"/>
        </w:rPr>
        <w:t>Part III</w:t>
      </w:r>
      <w:r>
        <w:rPr>
          <w:rStyle w:val="CharDivNo"/>
        </w:rPr>
        <w:t> </w:t>
      </w:r>
      <w:r>
        <w:t>—</w:t>
      </w:r>
      <w:r>
        <w:rPr>
          <w:rStyle w:val="CharDivText"/>
        </w:rPr>
        <w:t> </w:t>
      </w:r>
      <w:r>
        <w:rPr>
          <w:rStyle w:val="CharPartText"/>
        </w:rPr>
        <w:t>General rules affecting property</w:t>
      </w:r>
      <w:bookmarkEnd w:id="40"/>
      <w:bookmarkEnd w:id="41"/>
      <w:bookmarkEnd w:id="42"/>
      <w:r>
        <w:rPr>
          <w:rStyle w:val="CharPartText"/>
        </w:rPr>
        <w:t xml:space="preserve"> </w:t>
      </w:r>
    </w:p>
    <w:p>
      <w:pPr>
        <w:pStyle w:val="Heading5"/>
        <w:rPr>
          <w:snapToGrid w:val="0"/>
        </w:rPr>
      </w:pPr>
      <w:bookmarkStart w:id="43" w:name="_Toc455284768"/>
      <w:bookmarkStart w:id="44" w:name="_Toc131413030"/>
      <w:r>
        <w:rPr>
          <w:rStyle w:val="CharSectno"/>
        </w:rPr>
        <w:t>17</w:t>
      </w:r>
      <w:r>
        <w:rPr>
          <w:snapToGrid w:val="0"/>
        </w:rPr>
        <w:t>.</w:t>
      </w:r>
      <w:r>
        <w:rPr>
          <w:snapToGrid w:val="0"/>
        </w:rPr>
        <w:tab/>
        <w:t>Tenant for life without impeachment of waste, not to commit equitable waste</w:t>
      </w:r>
      <w:bookmarkEnd w:id="43"/>
      <w:bookmarkEnd w:id="44"/>
      <w:r>
        <w:rPr>
          <w:snapToGrid w:val="0"/>
        </w:rPr>
        <w:t xml:space="preserve"> </w:t>
      </w:r>
    </w:p>
    <w:p>
      <w:pPr>
        <w:pStyle w:val="Subsection"/>
        <w:spacing w:before="120"/>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45" w:name="_Toc455284769"/>
      <w:bookmarkStart w:id="46" w:name="_Toc131413031"/>
      <w:r>
        <w:rPr>
          <w:rStyle w:val="CharSectno"/>
        </w:rPr>
        <w:t>18</w:t>
      </w:r>
      <w:r>
        <w:rPr>
          <w:snapToGrid w:val="0"/>
        </w:rPr>
        <w:t>.</w:t>
      </w:r>
      <w:r>
        <w:rPr>
          <w:snapToGrid w:val="0"/>
        </w:rPr>
        <w:tab/>
        <w:t>No merger at law where none in equity</w:t>
      </w:r>
      <w:bookmarkEnd w:id="45"/>
      <w:bookmarkEnd w:id="46"/>
      <w:r>
        <w:rPr>
          <w:snapToGrid w:val="0"/>
        </w:rPr>
        <w:t xml:space="preserve"> </w:t>
      </w:r>
    </w:p>
    <w:p>
      <w:pPr>
        <w:pStyle w:val="Subsection"/>
        <w:spacing w:before="120"/>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47" w:name="_Toc455284770"/>
      <w:bookmarkStart w:id="48" w:name="_Toc131413032"/>
      <w:r>
        <w:rPr>
          <w:rStyle w:val="CharSectno"/>
        </w:rPr>
        <w:t>19</w:t>
      </w:r>
      <w:r>
        <w:rPr>
          <w:snapToGrid w:val="0"/>
        </w:rPr>
        <w:t>.</w:t>
      </w:r>
      <w:r>
        <w:rPr>
          <w:snapToGrid w:val="0"/>
        </w:rPr>
        <w:tab/>
        <w:t>Suits for possession of land by mortgagors</w:t>
      </w:r>
      <w:bookmarkEnd w:id="47"/>
      <w:bookmarkEnd w:id="48"/>
      <w:r>
        <w:rPr>
          <w:snapToGrid w:val="0"/>
        </w:rPr>
        <w:t xml:space="preserve"> </w:t>
      </w:r>
    </w:p>
    <w:p>
      <w:pPr>
        <w:pStyle w:val="Subsection"/>
        <w:spacing w:before="120"/>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spacing w:before="120"/>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49" w:name="_Toc455284771"/>
      <w:bookmarkStart w:id="50" w:name="_Toc131413033"/>
      <w:r>
        <w:rPr>
          <w:rStyle w:val="CharSectno"/>
        </w:rPr>
        <w:t>20</w:t>
      </w:r>
      <w:r>
        <w:rPr>
          <w:snapToGrid w:val="0"/>
        </w:rPr>
        <w:t>.</w:t>
      </w:r>
      <w:r>
        <w:rPr>
          <w:snapToGrid w:val="0"/>
        </w:rPr>
        <w:tab/>
        <w:t>Assignment of debts and choses in action</w:t>
      </w:r>
      <w:bookmarkEnd w:id="49"/>
      <w:bookmarkEnd w:id="50"/>
      <w:r>
        <w:rPr>
          <w:snapToGrid w:val="0"/>
        </w:rPr>
        <w:t xml:space="preserve"> </w:t>
      </w:r>
    </w:p>
    <w:p>
      <w:pPr>
        <w:pStyle w:val="Subsection"/>
        <w:spacing w:before="120"/>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spacing w:val="-4"/>
        </w:rPr>
      </w:pPr>
      <w:r>
        <w:rPr>
          <w:snapToGrid w:val="0"/>
          <w:spacing w:val="-4"/>
        </w:rPr>
        <w:tab/>
        <w:t>(3)</w:t>
      </w:r>
      <w:r>
        <w:rPr>
          <w:snapToGrid w:val="0"/>
          <w:spacing w:val="-4"/>
        </w:rPr>
        <w:tab/>
        <w:t xml:space="preserve">For the purposes of this section </w:t>
      </w:r>
      <w:r>
        <w:rPr>
          <w:b/>
          <w:snapToGrid w:val="0"/>
          <w:spacing w:val="-4"/>
        </w:rPr>
        <w:t>“</w:t>
      </w:r>
      <w:r>
        <w:rPr>
          <w:rStyle w:val="CharDefText"/>
          <w:spacing w:val="-4"/>
        </w:rPr>
        <w:t>any debt or other legal chose in action</w:t>
      </w:r>
      <w:r>
        <w:rPr>
          <w:b/>
          <w:snapToGrid w:val="0"/>
          <w:spacing w:val="-4"/>
        </w:rPr>
        <w:t>”</w:t>
      </w:r>
      <w:r>
        <w:rPr>
          <w:snapToGrid w:val="0"/>
          <w:spacing w:val="-4"/>
        </w:rPr>
        <w:t xml:space="preserve"> includes a part of any debt or other legal chose in action.</w:t>
      </w:r>
    </w:p>
    <w:p>
      <w:pPr>
        <w:pStyle w:val="Heading5"/>
        <w:rPr>
          <w:snapToGrid w:val="0"/>
        </w:rPr>
      </w:pPr>
      <w:bookmarkStart w:id="51" w:name="_Toc455284772"/>
      <w:bookmarkStart w:id="52" w:name="_Toc131413034"/>
      <w:r>
        <w:rPr>
          <w:rStyle w:val="CharSectno"/>
        </w:rPr>
        <w:t>21</w:t>
      </w:r>
      <w:r>
        <w:rPr>
          <w:snapToGrid w:val="0"/>
        </w:rPr>
        <w:t>.</w:t>
      </w:r>
      <w:r>
        <w:rPr>
          <w:snapToGrid w:val="0"/>
        </w:rPr>
        <w:tab/>
        <w:t>Stipulations not of the essence of a contract</w:t>
      </w:r>
      <w:bookmarkEnd w:id="51"/>
      <w:bookmarkEnd w:id="52"/>
      <w:r>
        <w:rPr>
          <w:snapToGrid w:val="0"/>
        </w:rPr>
        <w:t xml:space="preserve"> </w:t>
      </w:r>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53" w:name="_Toc455284773"/>
      <w:bookmarkStart w:id="54" w:name="_Toc131413035"/>
      <w:r>
        <w:rPr>
          <w:rStyle w:val="CharSectno"/>
        </w:rPr>
        <w:t>22</w:t>
      </w:r>
      <w:r>
        <w:rPr>
          <w:snapToGrid w:val="0"/>
        </w:rPr>
        <w:t>.</w:t>
      </w:r>
      <w:r>
        <w:rPr>
          <w:snapToGrid w:val="0"/>
        </w:rPr>
        <w:tab/>
        <w:t>Satisfied terms, whether created out of freehold or leasehold land, to cease</w:t>
      </w:r>
      <w:bookmarkEnd w:id="53"/>
      <w:bookmarkEnd w:id="54"/>
      <w:r>
        <w:rPr>
          <w:snapToGrid w:val="0"/>
        </w:rPr>
        <w:t xml:space="preserve"> </w:t>
      </w:r>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55" w:name="_Toc455284774"/>
      <w:bookmarkStart w:id="56" w:name="_Toc131413036"/>
      <w:r>
        <w:rPr>
          <w:rStyle w:val="CharSectno"/>
        </w:rPr>
        <w:t>23</w:t>
      </w:r>
      <w:r>
        <w:rPr>
          <w:snapToGrid w:val="0"/>
        </w:rPr>
        <w:t>.</w:t>
      </w:r>
      <w:r>
        <w:rPr>
          <w:snapToGrid w:val="0"/>
        </w:rPr>
        <w:tab/>
        <w:t>Estates tail abolished</w:t>
      </w:r>
      <w:bookmarkEnd w:id="55"/>
      <w:bookmarkEnd w:id="56"/>
      <w:r>
        <w:rPr>
          <w:snapToGrid w:val="0"/>
        </w:rPr>
        <w:t xml:space="preserve"> </w:t>
      </w:r>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b/>
          <w:snapToGrid w:val="0"/>
        </w:rPr>
        <w:t>“</w:t>
      </w:r>
      <w:r>
        <w:rPr>
          <w:rStyle w:val="CharDefText"/>
        </w:rPr>
        <w:t>estate tail</w:t>
      </w:r>
      <w:r>
        <w:rPr>
          <w:b/>
          <w:snapToGrid w:val="0"/>
        </w:rPr>
        <w:t>”</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57" w:name="_Toc455284775"/>
      <w:bookmarkStart w:id="58" w:name="_Toc131413037"/>
      <w:r>
        <w:rPr>
          <w:rStyle w:val="CharSectno"/>
        </w:rPr>
        <w:t>24</w:t>
      </w:r>
      <w:r>
        <w:rPr>
          <w:snapToGrid w:val="0"/>
        </w:rPr>
        <w:t>.</w:t>
      </w:r>
      <w:r>
        <w:rPr>
          <w:snapToGrid w:val="0"/>
        </w:rPr>
        <w:tab/>
        <w:t xml:space="preserve">Creation by deed of freehold </w:t>
      </w:r>
      <w:r>
        <w:rPr>
          <w:i/>
          <w:snapToGrid w:val="0"/>
        </w:rPr>
        <w:t>in futuro</w:t>
      </w:r>
      <w:bookmarkEnd w:id="57"/>
      <w:bookmarkEnd w:id="58"/>
      <w:r>
        <w:rPr>
          <w:snapToGrid w:val="0"/>
        </w:rPr>
        <w:t xml:space="preserve"> </w:t>
      </w:r>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59" w:name="_Toc455284776"/>
      <w:bookmarkStart w:id="60" w:name="_Toc131413038"/>
      <w:r>
        <w:rPr>
          <w:rStyle w:val="CharSectno"/>
        </w:rPr>
        <w:t>25</w:t>
      </w:r>
      <w:r>
        <w:rPr>
          <w:snapToGrid w:val="0"/>
        </w:rPr>
        <w:t>.</w:t>
      </w:r>
      <w:r>
        <w:rPr>
          <w:snapToGrid w:val="0"/>
        </w:rPr>
        <w:tab/>
        <w:t>Creation by deed of estate in chattel real</w:t>
      </w:r>
      <w:bookmarkEnd w:id="59"/>
      <w:bookmarkEnd w:id="60"/>
      <w:r>
        <w:rPr>
          <w:snapToGrid w:val="0"/>
        </w:rPr>
        <w:t xml:space="preserve"> </w:t>
      </w:r>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61" w:name="_Toc455284777"/>
      <w:bookmarkStart w:id="62" w:name="_Toc131413039"/>
      <w:r>
        <w:rPr>
          <w:rStyle w:val="CharSectno"/>
        </w:rPr>
        <w:t>26</w:t>
      </w:r>
      <w:r>
        <w:rPr>
          <w:snapToGrid w:val="0"/>
        </w:rPr>
        <w:t>.</w:t>
      </w:r>
      <w:r>
        <w:rPr>
          <w:snapToGrid w:val="0"/>
        </w:rPr>
        <w:tab/>
        <w:t>Contingent remainders to take effect notwithstanding premature failure of preceding estate</w:t>
      </w:r>
      <w:bookmarkEnd w:id="61"/>
      <w:bookmarkEnd w:id="62"/>
      <w:r>
        <w:rPr>
          <w:snapToGrid w:val="0"/>
        </w:rPr>
        <w:t xml:space="preserve"> </w:t>
      </w:r>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63" w:name="_Toc455284778"/>
      <w:bookmarkStart w:id="64" w:name="_Toc131413040"/>
      <w:r>
        <w:rPr>
          <w:rStyle w:val="CharSectno"/>
        </w:rPr>
        <w:t>27</w:t>
      </w:r>
      <w:r>
        <w:rPr>
          <w:snapToGrid w:val="0"/>
        </w:rPr>
        <w:t>.</w:t>
      </w:r>
      <w:r>
        <w:rPr>
          <w:snapToGrid w:val="0"/>
        </w:rPr>
        <w:tab/>
        <w:t>Rule in Shelley’s Case abolished</w:t>
      </w:r>
      <w:bookmarkEnd w:id="63"/>
      <w:bookmarkEnd w:id="64"/>
      <w:r>
        <w:rPr>
          <w:snapToGrid w:val="0"/>
        </w:rPr>
        <w:t xml:space="preserve"> </w:t>
      </w:r>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65" w:name="_Toc455284779"/>
      <w:bookmarkStart w:id="66" w:name="_Toc131413041"/>
      <w:r>
        <w:rPr>
          <w:rStyle w:val="CharSectno"/>
        </w:rPr>
        <w:t>28</w:t>
      </w:r>
      <w:r>
        <w:rPr>
          <w:snapToGrid w:val="0"/>
        </w:rPr>
        <w:t>.</w:t>
      </w:r>
      <w:r>
        <w:rPr>
          <w:snapToGrid w:val="0"/>
        </w:rPr>
        <w:tab/>
        <w:t>Restriction on executory limitations</w:t>
      </w:r>
      <w:bookmarkEnd w:id="65"/>
      <w:bookmarkEnd w:id="66"/>
      <w:r>
        <w:rPr>
          <w:snapToGrid w:val="0"/>
        </w:rPr>
        <w:t xml:space="preserve"> </w:t>
      </w:r>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67" w:name="_Toc455284780"/>
      <w:bookmarkStart w:id="68" w:name="_Toc131413042"/>
      <w:r>
        <w:rPr>
          <w:rStyle w:val="CharSectno"/>
        </w:rPr>
        <w:t>29</w:t>
      </w:r>
      <w:r>
        <w:rPr>
          <w:snapToGrid w:val="0"/>
        </w:rPr>
        <w:t>.</w:t>
      </w:r>
      <w:r>
        <w:rPr>
          <w:snapToGrid w:val="0"/>
        </w:rPr>
        <w:tab/>
        <w:t>Corporations may hold as joint tenants</w:t>
      </w:r>
      <w:bookmarkEnd w:id="67"/>
      <w:bookmarkEnd w:id="68"/>
      <w:r>
        <w:rPr>
          <w:snapToGrid w:val="0"/>
        </w:rPr>
        <w:t xml:space="preserve"> </w:t>
      </w:r>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69" w:name="_Toc455284781"/>
      <w:bookmarkStart w:id="70" w:name="_Toc131413043"/>
      <w:r>
        <w:rPr>
          <w:rStyle w:val="CharSectno"/>
        </w:rPr>
        <w:t>30</w:t>
      </w:r>
      <w:r>
        <w:rPr>
          <w:snapToGrid w:val="0"/>
        </w:rPr>
        <w:t>.</w:t>
      </w:r>
      <w:r>
        <w:rPr>
          <w:snapToGrid w:val="0"/>
        </w:rPr>
        <w:tab/>
        <w:t>Receipts for income by married minors</w:t>
      </w:r>
      <w:bookmarkEnd w:id="69"/>
      <w:bookmarkEnd w:id="70"/>
      <w:r>
        <w:rPr>
          <w:snapToGrid w:val="0"/>
        </w:rPr>
        <w:t xml:space="preserve"> </w:t>
      </w:r>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71" w:name="_Toc455284783"/>
      <w:r>
        <w:t>[</w:t>
      </w:r>
      <w:r>
        <w:rPr>
          <w:b/>
        </w:rPr>
        <w:t>31.</w:t>
      </w:r>
      <w:r>
        <w:tab/>
        <w:t>Repealed by No. 28 of 2003 s. 125(2)</w:t>
      </w:r>
      <w:r>
        <w:rPr>
          <w:vertAlign w:val="superscript"/>
        </w:rPr>
        <w:t> 10</w:t>
      </w:r>
      <w:r>
        <w:t>.]</w:t>
      </w:r>
    </w:p>
    <w:p>
      <w:pPr>
        <w:pStyle w:val="Heading5"/>
        <w:rPr>
          <w:snapToGrid w:val="0"/>
        </w:rPr>
      </w:pPr>
      <w:bookmarkStart w:id="72" w:name="_Toc131413044"/>
      <w:r>
        <w:rPr>
          <w:rStyle w:val="CharSectno"/>
        </w:rPr>
        <w:t>31A</w:t>
      </w:r>
      <w:r>
        <w:rPr>
          <w:snapToGrid w:val="0"/>
        </w:rPr>
        <w:t>.</w:t>
      </w:r>
      <w:r>
        <w:rPr>
          <w:snapToGrid w:val="0"/>
        </w:rPr>
        <w:tab/>
        <w:t>Illegitimates to be included in class references</w:t>
      </w:r>
      <w:bookmarkEnd w:id="71"/>
      <w:bookmarkEnd w:id="72"/>
      <w:r>
        <w:rPr>
          <w:snapToGrid w:val="0"/>
        </w:rPr>
        <w:t xml:space="preserve"> </w:t>
      </w:r>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spacing w:before="120"/>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spacing w:before="120"/>
        <w:rPr>
          <w:snapToGrid w:val="0"/>
          <w:spacing w:val="-4"/>
        </w:rPr>
      </w:pPr>
      <w:r>
        <w:rPr>
          <w:snapToGrid w:val="0"/>
          <w:spacing w:val="-4"/>
        </w:rPr>
        <w:tab/>
        <w:t>(5)</w:t>
      </w:r>
      <w:r>
        <w:rPr>
          <w:snapToGrid w:val="0"/>
          <w:spacing w:val="-4"/>
        </w:rPr>
        <w:tab/>
        <w:t>For the purposes of this section, the relationship between a parent and his or her illegitimate child, and any other relationship traced in any degree through that relationship, shall be recognized only if parentage is admitted by or established against the parent in his or her lifetime; and where the purpose for which the relationship is to be determined is a purpose that enures for the benefit of the parent the relationship shall be recognized only if parentage has been so admitted or established in the lifetime of the child.</w:t>
      </w:r>
    </w:p>
    <w:p>
      <w:pPr>
        <w:pStyle w:val="Subsection"/>
        <w:spacing w:before="120"/>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spacing w:before="120"/>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spacing w:before="120"/>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spacing w:before="120"/>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 xml:space="preserve">[Section 31A inserted by No. 19 of 1971 s.3; amended by No. 14 of 1985 s.8; No. 28 of 2003 s. 160.] </w:t>
      </w:r>
    </w:p>
    <w:p>
      <w:pPr>
        <w:pStyle w:val="Heading2"/>
      </w:pPr>
      <w:bookmarkStart w:id="73" w:name="_Toc122772938"/>
      <w:bookmarkStart w:id="74" w:name="_Toc123003953"/>
      <w:bookmarkStart w:id="75" w:name="_Toc131413045"/>
      <w:r>
        <w:rPr>
          <w:rStyle w:val="CharPartNo"/>
        </w:rPr>
        <w:t>Part IV</w:t>
      </w:r>
      <w:r>
        <w:rPr>
          <w:rStyle w:val="CharDivNo"/>
        </w:rPr>
        <w:t> </w:t>
      </w:r>
      <w:r>
        <w:t>—</w:t>
      </w:r>
      <w:r>
        <w:rPr>
          <w:rStyle w:val="CharDivText"/>
        </w:rPr>
        <w:t> </w:t>
      </w:r>
      <w:r>
        <w:rPr>
          <w:rStyle w:val="CharPartText"/>
        </w:rPr>
        <w:t>Conveyances and other instruments</w:t>
      </w:r>
      <w:bookmarkEnd w:id="73"/>
      <w:bookmarkEnd w:id="74"/>
      <w:bookmarkEnd w:id="75"/>
      <w:r>
        <w:rPr>
          <w:rStyle w:val="CharPartText"/>
        </w:rPr>
        <w:t xml:space="preserve"> </w:t>
      </w:r>
    </w:p>
    <w:p>
      <w:pPr>
        <w:pStyle w:val="Heading5"/>
        <w:rPr>
          <w:snapToGrid w:val="0"/>
        </w:rPr>
      </w:pPr>
      <w:bookmarkStart w:id="76" w:name="_Toc455284784"/>
      <w:bookmarkStart w:id="77" w:name="_Toc131413046"/>
      <w:r>
        <w:rPr>
          <w:rStyle w:val="CharSectno"/>
        </w:rPr>
        <w:t>32</w:t>
      </w:r>
      <w:r>
        <w:rPr>
          <w:snapToGrid w:val="0"/>
        </w:rPr>
        <w:t>.</w:t>
      </w:r>
      <w:r>
        <w:rPr>
          <w:snapToGrid w:val="0"/>
        </w:rPr>
        <w:tab/>
        <w:t>Lands lie in grant only</w:t>
      </w:r>
      <w:bookmarkEnd w:id="76"/>
      <w:bookmarkEnd w:id="77"/>
      <w:r>
        <w:rPr>
          <w:snapToGrid w:val="0"/>
        </w:rPr>
        <w:t xml:space="preserve"> </w:t>
      </w:r>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78" w:name="_Toc455284785"/>
      <w:bookmarkStart w:id="79" w:name="_Toc131413047"/>
      <w:r>
        <w:rPr>
          <w:rStyle w:val="CharSectno"/>
        </w:rPr>
        <w:t>33</w:t>
      </w:r>
      <w:r>
        <w:rPr>
          <w:snapToGrid w:val="0"/>
        </w:rPr>
        <w:t>.</w:t>
      </w:r>
      <w:r>
        <w:rPr>
          <w:snapToGrid w:val="0"/>
        </w:rPr>
        <w:tab/>
        <w:t>Conveyances to be by deed</w:t>
      </w:r>
      <w:bookmarkEnd w:id="78"/>
      <w:bookmarkEnd w:id="79"/>
      <w:r>
        <w:rPr>
          <w:snapToGrid w:val="0"/>
        </w:rPr>
        <w:t xml:space="preserve"> </w:t>
      </w:r>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80" w:name="_Toc455284786"/>
      <w:bookmarkStart w:id="81" w:name="_Toc131413048"/>
      <w:r>
        <w:rPr>
          <w:rStyle w:val="CharSectno"/>
        </w:rPr>
        <w:t>34</w:t>
      </w:r>
      <w:r>
        <w:rPr>
          <w:snapToGrid w:val="0"/>
        </w:rPr>
        <w:t>.</w:t>
      </w:r>
      <w:r>
        <w:rPr>
          <w:snapToGrid w:val="0"/>
        </w:rPr>
        <w:tab/>
        <w:t>Instruments required to be in writing</w:t>
      </w:r>
      <w:bookmarkEnd w:id="80"/>
      <w:bookmarkEnd w:id="81"/>
      <w:r>
        <w:rPr>
          <w:snapToGrid w:val="0"/>
        </w:rPr>
        <w:t xml:space="preserve"> </w:t>
      </w:r>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authorized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authorized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82" w:name="_Toc455284787"/>
      <w:bookmarkStart w:id="83" w:name="_Toc131413049"/>
      <w:r>
        <w:rPr>
          <w:rStyle w:val="CharSectno"/>
        </w:rPr>
        <w:t>35</w:t>
      </w:r>
      <w:r>
        <w:rPr>
          <w:snapToGrid w:val="0"/>
        </w:rPr>
        <w:t>.</w:t>
      </w:r>
      <w:r>
        <w:rPr>
          <w:snapToGrid w:val="0"/>
        </w:rPr>
        <w:tab/>
        <w:t>Creation of interests in land by parol</w:t>
      </w:r>
      <w:bookmarkEnd w:id="82"/>
      <w:bookmarkEnd w:id="83"/>
      <w:r>
        <w:rPr>
          <w:snapToGrid w:val="0"/>
        </w:rPr>
        <w:t xml:space="preserve"> </w:t>
      </w:r>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authorized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84" w:name="_Toc455284788"/>
      <w:bookmarkStart w:id="85" w:name="_Toc131413050"/>
      <w:r>
        <w:rPr>
          <w:rStyle w:val="CharSectno"/>
        </w:rPr>
        <w:t>36</w:t>
      </w:r>
      <w:r>
        <w:rPr>
          <w:snapToGrid w:val="0"/>
        </w:rPr>
        <w:t>.</w:t>
      </w:r>
      <w:r>
        <w:rPr>
          <w:snapToGrid w:val="0"/>
        </w:rPr>
        <w:tab/>
        <w:t>Savings in regard to sections 34 and 35</w:t>
      </w:r>
      <w:bookmarkEnd w:id="84"/>
      <w:bookmarkEnd w:id="85"/>
      <w:r>
        <w:rPr>
          <w:snapToGrid w:val="0"/>
        </w:rPr>
        <w:t xml:space="preserve"> </w:t>
      </w:r>
    </w:p>
    <w:p>
      <w:pPr>
        <w:pStyle w:val="Subsection"/>
        <w:keepNext/>
        <w:rPr>
          <w:snapToGrid w:val="0"/>
        </w:rPr>
      </w:pPr>
      <w:r>
        <w:rPr>
          <w:snapToGrid w:val="0"/>
        </w:rPr>
        <w:tab/>
      </w:r>
      <w:r>
        <w:rPr>
          <w:snapToGrid w:val="0"/>
        </w:rPr>
        <w:tab/>
        <w:t>Nothing in sections 34 and 35 —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86" w:name="_Toc455284789"/>
      <w:bookmarkStart w:id="87" w:name="_Toc131413051"/>
      <w:r>
        <w:rPr>
          <w:rStyle w:val="CharSectno"/>
        </w:rPr>
        <w:t>37</w:t>
      </w:r>
      <w:r>
        <w:rPr>
          <w:snapToGrid w:val="0"/>
        </w:rPr>
        <w:t>.</w:t>
      </w:r>
      <w:r>
        <w:rPr>
          <w:snapToGrid w:val="0"/>
        </w:rPr>
        <w:tab/>
        <w:t>Power to dispose of fee simple by deed without words of inheritance</w:t>
      </w:r>
      <w:bookmarkEnd w:id="86"/>
      <w:bookmarkEnd w:id="87"/>
      <w:r>
        <w:rPr>
          <w:snapToGrid w:val="0"/>
        </w:rPr>
        <w:t xml:space="preserve"> </w:t>
      </w:r>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88" w:name="_Toc455284790"/>
      <w:bookmarkStart w:id="89" w:name="_Toc131413052"/>
      <w:r>
        <w:rPr>
          <w:rStyle w:val="CharSectno"/>
        </w:rPr>
        <w:t>38</w:t>
      </w:r>
      <w:r>
        <w:rPr>
          <w:snapToGrid w:val="0"/>
        </w:rPr>
        <w:t>.</w:t>
      </w:r>
      <w:r>
        <w:rPr>
          <w:snapToGrid w:val="0"/>
        </w:rPr>
        <w:tab/>
        <w:t>No use to result from absence of consideration</w:t>
      </w:r>
      <w:bookmarkEnd w:id="88"/>
      <w:bookmarkEnd w:id="89"/>
      <w:r>
        <w:rPr>
          <w:snapToGrid w:val="0"/>
        </w:rPr>
        <w:t xml:space="preserve"> </w:t>
      </w:r>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90" w:name="_Toc455284791"/>
      <w:bookmarkStart w:id="91" w:name="_Toc131413053"/>
      <w:r>
        <w:rPr>
          <w:rStyle w:val="CharSectno"/>
        </w:rPr>
        <w:t>39</w:t>
      </w:r>
      <w:r>
        <w:rPr>
          <w:snapToGrid w:val="0"/>
        </w:rPr>
        <w:t>.</w:t>
      </w:r>
      <w:r>
        <w:rPr>
          <w:snapToGrid w:val="0"/>
        </w:rPr>
        <w:tab/>
        <w:t>Limitations may be by direct conveyance without uses</w:t>
      </w:r>
      <w:bookmarkEnd w:id="90"/>
      <w:bookmarkEnd w:id="91"/>
      <w:r>
        <w:rPr>
          <w:snapToGrid w:val="0"/>
        </w:rPr>
        <w:t xml:space="preserve"> </w:t>
      </w:r>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92" w:name="_Toc455284792"/>
      <w:bookmarkStart w:id="93" w:name="_Toc131413054"/>
      <w:r>
        <w:rPr>
          <w:rStyle w:val="CharSectno"/>
        </w:rPr>
        <w:t>40</w:t>
      </w:r>
      <w:r>
        <w:rPr>
          <w:snapToGrid w:val="0"/>
        </w:rPr>
        <w:t>.</w:t>
      </w:r>
      <w:r>
        <w:rPr>
          <w:snapToGrid w:val="0"/>
        </w:rPr>
        <w:tab/>
        <w:t>No conveyance to have tortious operation</w:t>
      </w:r>
      <w:bookmarkEnd w:id="92"/>
      <w:bookmarkEnd w:id="93"/>
      <w:r>
        <w:rPr>
          <w:snapToGrid w:val="0"/>
        </w:rPr>
        <w:t xml:space="preserve"> </w:t>
      </w:r>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94" w:name="_Toc455284793"/>
      <w:bookmarkStart w:id="95" w:name="_Toc131413055"/>
      <w:r>
        <w:rPr>
          <w:rStyle w:val="CharSectno"/>
        </w:rPr>
        <w:t>41</w:t>
      </w:r>
      <w:r>
        <w:rPr>
          <w:snapToGrid w:val="0"/>
        </w:rPr>
        <w:t>.</w:t>
      </w:r>
      <w:r>
        <w:rPr>
          <w:snapToGrid w:val="0"/>
        </w:rPr>
        <w:tab/>
        <w:t>General words implied in conveyances</w:t>
      </w:r>
      <w:bookmarkEnd w:id="94"/>
      <w:bookmarkEnd w:id="95"/>
      <w:r>
        <w:rPr>
          <w:snapToGrid w:val="0"/>
        </w:rPr>
        <w:t xml:space="preserve"> </w:t>
      </w:r>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96" w:name="_Toc455284794"/>
      <w:bookmarkStart w:id="97" w:name="_Toc131413056"/>
      <w:r>
        <w:rPr>
          <w:rStyle w:val="CharSectno"/>
        </w:rPr>
        <w:t>42</w:t>
      </w:r>
      <w:r>
        <w:rPr>
          <w:snapToGrid w:val="0"/>
        </w:rPr>
        <w:t>.</w:t>
      </w:r>
      <w:r>
        <w:rPr>
          <w:snapToGrid w:val="0"/>
        </w:rPr>
        <w:tab/>
        <w:t>All estate clause implied</w:t>
      </w:r>
      <w:bookmarkEnd w:id="96"/>
      <w:bookmarkEnd w:id="97"/>
      <w:r>
        <w:rPr>
          <w:snapToGrid w:val="0"/>
        </w:rPr>
        <w:t xml:space="preserve"> </w:t>
      </w:r>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98" w:name="_Toc455284795"/>
      <w:bookmarkStart w:id="99" w:name="_Toc131413057"/>
      <w:r>
        <w:rPr>
          <w:rStyle w:val="CharSectno"/>
        </w:rPr>
        <w:t>43</w:t>
      </w:r>
      <w:r>
        <w:rPr>
          <w:snapToGrid w:val="0"/>
        </w:rPr>
        <w:t>.</w:t>
      </w:r>
      <w:r>
        <w:rPr>
          <w:snapToGrid w:val="0"/>
        </w:rPr>
        <w:tab/>
        <w:t>Partial release of land from rent</w:t>
      </w:r>
      <w:bookmarkEnd w:id="98"/>
      <w:bookmarkEnd w:id="99"/>
      <w:r>
        <w:rPr>
          <w:snapToGrid w:val="0"/>
        </w:rPr>
        <w:t xml:space="preserve"> </w:t>
      </w:r>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100" w:name="_Toc455284796"/>
      <w:bookmarkStart w:id="101" w:name="_Toc131413058"/>
      <w:r>
        <w:rPr>
          <w:rStyle w:val="CharSectno"/>
        </w:rPr>
        <w:t>44</w:t>
      </w:r>
      <w:r>
        <w:rPr>
          <w:snapToGrid w:val="0"/>
        </w:rPr>
        <w:t>.</w:t>
      </w:r>
      <w:r>
        <w:rPr>
          <w:snapToGrid w:val="0"/>
        </w:rPr>
        <w:tab/>
        <w:t>Power to person to convey property to himself, etc.</w:t>
      </w:r>
      <w:bookmarkEnd w:id="100"/>
      <w:bookmarkEnd w:id="101"/>
      <w:r>
        <w:rPr>
          <w:snapToGrid w:val="0"/>
        </w:rPr>
        <w:t xml:space="preserve"> </w:t>
      </w:r>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02" w:name="_Toc122772952"/>
      <w:bookmarkStart w:id="103" w:name="_Toc123003967"/>
      <w:bookmarkStart w:id="104" w:name="_Toc131413059"/>
      <w:r>
        <w:rPr>
          <w:rStyle w:val="CharPartNo"/>
        </w:rPr>
        <w:t>Part V</w:t>
      </w:r>
      <w:r>
        <w:rPr>
          <w:rStyle w:val="CharDivNo"/>
        </w:rPr>
        <w:t> </w:t>
      </w:r>
      <w:r>
        <w:t>—</w:t>
      </w:r>
      <w:r>
        <w:rPr>
          <w:rStyle w:val="CharDivText"/>
        </w:rPr>
        <w:t> </w:t>
      </w:r>
      <w:r>
        <w:rPr>
          <w:rStyle w:val="CharPartText"/>
        </w:rPr>
        <w:t>Covenants</w:t>
      </w:r>
      <w:bookmarkEnd w:id="102"/>
      <w:bookmarkEnd w:id="103"/>
      <w:bookmarkEnd w:id="104"/>
      <w:r>
        <w:rPr>
          <w:rStyle w:val="CharPartText"/>
        </w:rPr>
        <w:t xml:space="preserve"> </w:t>
      </w:r>
    </w:p>
    <w:p>
      <w:pPr>
        <w:pStyle w:val="Heading5"/>
        <w:rPr>
          <w:snapToGrid w:val="0"/>
        </w:rPr>
      </w:pPr>
      <w:bookmarkStart w:id="105" w:name="_Toc455284797"/>
      <w:bookmarkStart w:id="106" w:name="_Toc131413060"/>
      <w:r>
        <w:rPr>
          <w:rStyle w:val="CharSectno"/>
        </w:rPr>
        <w:t>45</w:t>
      </w:r>
      <w:r>
        <w:rPr>
          <w:snapToGrid w:val="0"/>
        </w:rPr>
        <w:t>.</w:t>
      </w:r>
      <w:r>
        <w:rPr>
          <w:snapToGrid w:val="0"/>
        </w:rPr>
        <w:tab/>
        <w:t>Covenants for title implied</w:t>
      </w:r>
      <w:bookmarkEnd w:id="105"/>
      <w:bookmarkEnd w:id="106"/>
      <w:r>
        <w:rPr>
          <w:snapToGrid w:val="0"/>
        </w:rPr>
        <w:t xml:space="preserve"> </w:t>
      </w:r>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spacing w:before="120"/>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spacing w:before="120"/>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spacing w:before="120"/>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spacing w:before="120"/>
        <w:rPr>
          <w:snapToGrid w:val="0"/>
        </w:rPr>
      </w:pPr>
      <w:r>
        <w:rPr>
          <w:snapToGrid w:val="0"/>
        </w:rPr>
        <w:tab/>
        <w:t>(5)</w:t>
      </w:r>
      <w:r>
        <w:rPr>
          <w:snapToGrid w:val="0"/>
        </w:rPr>
        <w:tab/>
        <w:t>In this section a conveyance does not include a demise by way of lease at a rent.</w:t>
      </w:r>
    </w:p>
    <w:p>
      <w:pPr>
        <w:pStyle w:val="Subsection"/>
        <w:spacing w:before="120"/>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 xml:space="preserve">[Section 45 amended by No. 24 of 1990 s.123.] </w:t>
      </w:r>
    </w:p>
    <w:p>
      <w:pPr>
        <w:pStyle w:val="Heading5"/>
        <w:rPr>
          <w:snapToGrid w:val="0"/>
        </w:rPr>
      </w:pPr>
      <w:bookmarkStart w:id="107" w:name="_Toc455284798"/>
      <w:bookmarkStart w:id="108" w:name="_Toc131413061"/>
      <w:r>
        <w:rPr>
          <w:rStyle w:val="CharSectno"/>
        </w:rPr>
        <w:t>46</w:t>
      </w:r>
      <w:r>
        <w:rPr>
          <w:snapToGrid w:val="0"/>
        </w:rPr>
        <w:t>.</w:t>
      </w:r>
      <w:r>
        <w:rPr>
          <w:snapToGrid w:val="0"/>
        </w:rPr>
        <w:tab/>
        <w:t>Construction of implied covenants</w:t>
      </w:r>
      <w:bookmarkEnd w:id="107"/>
      <w:bookmarkEnd w:id="108"/>
      <w:r>
        <w:rPr>
          <w:snapToGrid w:val="0"/>
        </w:rPr>
        <w:t xml:space="preserve"> </w:t>
      </w:r>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09" w:name="_Toc455284799"/>
      <w:bookmarkStart w:id="110" w:name="_Toc131413062"/>
      <w:r>
        <w:rPr>
          <w:rStyle w:val="CharSectno"/>
        </w:rPr>
        <w:t>47</w:t>
      </w:r>
      <w:r>
        <w:rPr>
          <w:snapToGrid w:val="0"/>
        </w:rPr>
        <w:t>.</w:t>
      </w:r>
      <w:r>
        <w:rPr>
          <w:snapToGrid w:val="0"/>
        </w:rPr>
        <w:tab/>
        <w:t>Benefits of covenants relating to land</w:t>
      </w:r>
      <w:bookmarkEnd w:id="109"/>
      <w:bookmarkEnd w:id="110"/>
      <w:r>
        <w:rPr>
          <w:snapToGrid w:val="0"/>
        </w:rPr>
        <w:t xml:space="preserve"> </w:t>
      </w:r>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Next w:val="0"/>
        <w:keepLines w:val="0"/>
        <w:rPr>
          <w:snapToGrid w:val="0"/>
        </w:rPr>
      </w:pPr>
      <w:bookmarkStart w:id="111" w:name="_Toc455284800"/>
      <w:bookmarkStart w:id="112" w:name="_Toc131413063"/>
      <w:r>
        <w:rPr>
          <w:rStyle w:val="CharSectno"/>
        </w:rPr>
        <w:t>48</w:t>
      </w:r>
      <w:r>
        <w:rPr>
          <w:snapToGrid w:val="0"/>
        </w:rPr>
        <w:t>.</w:t>
      </w:r>
      <w:r>
        <w:rPr>
          <w:snapToGrid w:val="0"/>
        </w:rPr>
        <w:tab/>
        <w:t>Burden of covenants relating to land</w:t>
      </w:r>
      <w:bookmarkEnd w:id="111"/>
      <w:bookmarkEnd w:id="112"/>
      <w:r>
        <w:rPr>
          <w:snapToGrid w:val="0"/>
        </w:rPr>
        <w:t xml:space="preserve"> </w:t>
      </w:r>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13" w:name="_Toc455284801"/>
      <w:bookmarkStart w:id="114" w:name="_Toc131413064"/>
      <w:r>
        <w:rPr>
          <w:rStyle w:val="CharSectno"/>
        </w:rPr>
        <w:t>49</w:t>
      </w:r>
      <w:r>
        <w:rPr>
          <w:snapToGrid w:val="0"/>
        </w:rPr>
        <w:t>.</w:t>
      </w:r>
      <w:r>
        <w:rPr>
          <w:snapToGrid w:val="0"/>
        </w:rPr>
        <w:tab/>
        <w:t>Construction of covenants affecting land</w:t>
      </w:r>
      <w:bookmarkEnd w:id="113"/>
      <w:bookmarkEnd w:id="114"/>
      <w:r>
        <w:rPr>
          <w:snapToGrid w:val="0"/>
        </w:rPr>
        <w:t xml:space="preserve"> </w:t>
      </w:r>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land</w:t>
      </w:r>
      <w:r>
        <w:rPr>
          <w:b/>
          <w:snapToGrid w:val="0"/>
        </w:rPr>
        <w:t>”</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15" w:name="_Toc455284802"/>
      <w:bookmarkStart w:id="116" w:name="_Toc131413065"/>
      <w:r>
        <w:rPr>
          <w:rStyle w:val="CharSectno"/>
        </w:rPr>
        <w:t>50</w:t>
      </w:r>
      <w:r>
        <w:rPr>
          <w:snapToGrid w:val="0"/>
        </w:rPr>
        <w:t>.</w:t>
      </w:r>
      <w:r>
        <w:rPr>
          <w:snapToGrid w:val="0"/>
        </w:rPr>
        <w:tab/>
        <w:t>Covenants to be joint and several</w:t>
      </w:r>
      <w:bookmarkEnd w:id="115"/>
      <w:bookmarkEnd w:id="116"/>
      <w:r>
        <w:rPr>
          <w:snapToGrid w:val="0"/>
        </w:rPr>
        <w:t xml:space="preserve"> </w:t>
      </w:r>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17" w:name="_Toc455284803"/>
      <w:bookmarkStart w:id="118" w:name="_Toc131413066"/>
      <w:r>
        <w:rPr>
          <w:rStyle w:val="CharSectno"/>
        </w:rPr>
        <w:t>51</w:t>
      </w:r>
      <w:r>
        <w:rPr>
          <w:snapToGrid w:val="0"/>
        </w:rPr>
        <w:t>.</w:t>
      </w:r>
      <w:r>
        <w:rPr>
          <w:snapToGrid w:val="0"/>
        </w:rPr>
        <w:tab/>
        <w:t>Effect of covenant with 2 or more jointly</w:t>
      </w:r>
      <w:bookmarkEnd w:id="117"/>
      <w:bookmarkEnd w:id="118"/>
      <w:r>
        <w:rPr>
          <w:snapToGrid w:val="0"/>
        </w:rPr>
        <w:t xml:space="preserve"> </w:t>
      </w:r>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19" w:name="_Toc455284804"/>
      <w:bookmarkStart w:id="120" w:name="_Toc131413067"/>
      <w:r>
        <w:rPr>
          <w:rStyle w:val="CharSectno"/>
        </w:rPr>
        <w:t>52</w:t>
      </w:r>
      <w:r>
        <w:rPr>
          <w:snapToGrid w:val="0"/>
        </w:rPr>
        <w:t>.</w:t>
      </w:r>
      <w:r>
        <w:rPr>
          <w:snapToGrid w:val="0"/>
        </w:rPr>
        <w:tab/>
        <w:t>Covenants and agreements entered into by a person with himself and another or others</w:t>
      </w:r>
      <w:bookmarkEnd w:id="119"/>
      <w:bookmarkEnd w:id="120"/>
      <w:r>
        <w:rPr>
          <w:snapToGrid w:val="0"/>
        </w:rPr>
        <w:t xml:space="preserve"> </w:t>
      </w:r>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21" w:name="_Toc122772961"/>
      <w:bookmarkStart w:id="122" w:name="_Toc123003976"/>
      <w:bookmarkStart w:id="123" w:name="_Toc131413068"/>
      <w:r>
        <w:rPr>
          <w:rStyle w:val="CharPartNo"/>
        </w:rPr>
        <w:t>Part VI</w:t>
      </w:r>
      <w:r>
        <w:rPr>
          <w:rStyle w:val="CharDivNo"/>
        </w:rPr>
        <w:t> </w:t>
      </w:r>
      <w:r>
        <w:t>—</w:t>
      </w:r>
      <w:r>
        <w:rPr>
          <w:rStyle w:val="CharDivText"/>
        </w:rPr>
        <w:t> </w:t>
      </w:r>
      <w:r>
        <w:rPr>
          <w:rStyle w:val="CharPartText"/>
        </w:rPr>
        <w:t>Mortgages</w:t>
      </w:r>
      <w:bookmarkEnd w:id="121"/>
      <w:bookmarkEnd w:id="122"/>
      <w:bookmarkEnd w:id="123"/>
      <w:r>
        <w:rPr>
          <w:rStyle w:val="CharPartText"/>
        </w:rPr>
        <w:t xml:space="preserve"> </w:t>
      </w:r>
    </w:p>
    <w:p>
      <w:pPr>
        <w:pStyle w:val="Heading5"/>
        <w:rPr>
          <w:snapToGrid w:val="0"/>
        </w:rPr>
      </w:pPr>
      <w:bookmarkStart w:id="124" w:name="_Toc455284805"/>
      <w:bookmarkStart w:id="125" w:name="_Toc131413069"/>
      <w:r>
        <w:rPr>
          <w:rStyle w:val="CharSectno"/>
        </w:rPr>
        <w:t>53</w:t>
      </w:r>
      <w:r>
        <w:rPr>
          <w:snapToGrid w:val="0"/>
        </w:rPr>
        <w:t>.</w:t>
      </w:r>
      <w:r>
        <w:rPr>
          <w:snapToGrid w:val="0"/>
        </w:rPr>
        <w:tab/>
        <w:t>Foreclosure extinguishes right of action for mortgage debt and equity of redemption</w:t>
      </w:r>
      <w:bookmarkEnd w:id="124"/>
      <w:bookmarkEnd w:id="125"/>
      <w:r>
        <w:rPr>
          <w:snapToGrid w:val="0"/>
        </w:rPr>
        <w:t xml:space="preserve"> </w:t>
      </w:r>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b/>
          <w:snapToGrid w:val="0"/>
        </w:rPr>
        <w:t>“</w:t>
      </w:r>
      <w:r>
        <w:rPr>
          <w:rStyle w:val="CharDefText"/>
        </w:rPr>
        <w:t>order absolute</w:t>
      </w:r>
      <w:r>
        <w:rPr>
          <w:b/>
          <w:snapToGrid w:val="0"/>
        </w:rPr>
        <w:t>”</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 xml:space="preserve">[Section 53 amended by No. 81 of 1996 s.153(1).] </w:t>
      </w:r>
    </w:p>
    <w:p>
      <w:pPr>
        <w:pStyle w:val="Heading5"/>
        <w:rPr>
          <w:snapToGrid w:val="0"/>
        </w:rPr>
      </w:pPr>
      <w:bookmarkStart w:id="126" w:name="_Toc455284806"/>
      <w:bookmarkStart w:id="127" w:name="_Toc131413070"/>
      <w:r>
        <w:rPr>
          <w:rStyle w:val="CharSectno"/>
        </w:rPr>
        <w:t>54</w:t>
      </w:r>
      <w:r>
        <w:rPr>
          <w:snapToGrid w:val="0"/>
        </w:rPr>
        <w:t>.</w:t>
      </w:r>
      <w:r>
        <w:rPr>
          <w:snapToGrid w:val="0"/>
        </w:rPr>
        <w:tab/>
        <w:t>Realization of equitable charges by the Court</w:t>
      </w:r>
      <w:bookmarkEnd w:id="126"/>
      <w:bookmarkEnd w:id="127"/>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spacing w:before="120"/>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128" w:name="_Toc455284807"/>
      <w:bookmarkStart w:id="129" w:name="_Toc131413071"/>
      <w:r>
        <w:rPr>
          <w:rStyle w:val="CharSectno"/>
        </w:rPr>
        <w:t>55</w:t>
      </w:r>
      <w:r>
        <w:rPr>
          <w:snapToGrid w:val="0"/>
        </w:rPr>
        <w:t>.</w:t>
      </w:r>
      <w:r>
        <w:rPr>
          <w:snapToGrid w:val="0"/>
        </w:rPr>
        <w:tab/>
        <w:t>Sale of mortgaged property in action for redemption or foreclosure</w:t>
      </w:r>
      <w:bookmarkEnd w:id="128"/>
      <w:bookmarkEnd w:id="129"/>
      <w:r>
        <w:rPr>
          <w:snapToGrid w:val="0"/>
        </w:rPr>
        <w:t xml:space="preserve"> </w:t>
      </w:r>
    </w:p>
    <w:p>
      <w:pPr>
        <w:pStyle w:val="Subsection"/>
        <w:spacing w:before="120"/>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spacing w:before="120"/>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spacing w:before="120"/>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spacing w:before="120"/>
        <w:rPr>
          <w:snapToGrid w:val="0"/>
          <w:spacing w:val="-4"/>
        </w:rPr>
      </w:pPr>
      <w:r>
        <w:rPr>
          <w:snapToGrid w:val="0"/>
          <w:spacing w:val="-4"/>
        </w:rPr>
        <w:tab/>
        <w:t>(3)</w:t>
      </w:r>
      <w:r>
        <w:rPr>
          <w:snapToGrid w:val="0"/>
          <w:spacing w:val="-4"/>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spacing w:before="120"/>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spacing w:before="120"/>
        <w:rPr>
          <w:snapToGrid w:val="0"/>
        </w:rPr>
      </w:pPr>
      <w:r>
        <w:rPr>
          <w:snapToGrid w:val="0"/>
        </w:rPr>
        <w:tab/>
        <w:t>(5)</w:t>
      </w:r>
      <w:r>
        <w:rPr>
          <w:snapToGrid w:val="0"/>
        </w:rPr>
        <w:tab/>
        <w:t>This section applies to actions brought either before or after the coming into operation of this Act.</w:t>
      </w:r>
    </w:p>
    <w:p>
      <w:pPr>
        <w:pStyle w:val="Subsection"/>
        <w:spacing w:before="120"/>
        <w:rPr>
          <w:snapToGrid w:val="0"/>
        </w:rPr>
      </w:pPr>
      <w:r>
        <w:rPr>
          <w:snapToGrid w:val="0"/>
        </w:rPr>
        <w:tab/>
        <w:t>(6)</w:t>
      </w:r>
      <w:r>
        <w:rPr>
          <w:snapToGrid w:val="0"/>
        </w:rPr>
        <w:tab/>
        <w:t xml:space="preserve">In this section </w:t>
      </w:r>
      <w:r>
        <w:rPr>
          <w:b/>
          <w:snapToGrid w:val="0"/>
        </w:rPr>
        <w:t>“</w:t>
      </w:r>
      <w:r>
        <w:rPr>
          <w:rStyle w:val="CharDefText"/>
        </w:rPr>
        <w:t>mortgaged property</w:t>
      </w:r>
      <w:r>
        <w:rPr>
          <w:b/>
          <w:snapToGrid w:val="0"/>
        </w:rPr>
        <w:t>”</w:t>
      </w:r>
      <w:r>
        <w:rPr>
          <w:snapToGrid w:val="0"/>
        </w:rPr>
        <w:t xml:space="preserve"> includes the estate or interest that a mortgagee would have had power to convey if the statutory power of sale were applicable.</w:t>
      </w:r>
    </w:p>
    <w:p>
      <w:pPr>
        <w:pStyle w:val="Subsection"/>
        <w:spacing w:before="120"/>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spacing w:before="180"/>
        <w:rPr>
          <w:snapToGrid w:val="0"/>
        </w:rPr>
      </w:pPr>
      <w:bookmarkStart w:id="130" w:name="_Toc455284808"/>
      <w:bookmarkStart w:id="131" w:name="_Toc131413072"/>
      <w:r>
        <w:rPr>
          <w:rStyle w:val="CharSectno"/>
        </w:rPr>
        <w:t>56</w:t>
      </w:r>
      <w:r>
        <w:rPr>
          <w:snapToGrid w:val="0"/>
        </w:rPr>
        <w:t>.</w:t>
      </w:r>
      <w:r>
        <w:rPr>
          <w:snapToGrid w:val="0"/>
        </w:rPr>
        <w:tab/>
        <w:t>Restriction on consolidation of mortgages</w:t>
      </w:r>
      <w:bookmarkEnd w:id="130"/>
      <w:bookmarkEnd w:id="131"/>
      <w:r>
        <w:rPr>
          <w:snapToGrid w:val="0"/>
        </w:rPr>
        <w:t xml:space="preserve"> </w:t>
      </w:r>
    </w:p>
    <w:p>
      <w:pPr>
        <w:pStyle w:val="Subsection"/>
        <w:spacing w:before="120"/>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spacing w:before="120"/>
        <w:rPr>
          <w:snapToGrid w:val="0"/>
        </w:rPr>
      </w:pPr>
      <w:r>
        <w:rPr>
          <w:snapToGrid w:val="0"/>
        </w:rPr>
        <w:tab/>
        <w:t>(2)</w:t>
      </w:r>
      <w:r>
        <w:rPr>
          <w:snapToGrid w:val="0"/>
        </w:rPr>
        <w:tab/>
        <w:t>This section has effect notwithstanding any stipulation to the contrary.</w:t>
      </w:r>
    </w:p>
    <w:p>
      <w:pPr>
        <w:pStyle w:val="Subsection"/>
        <w:spacing w:before="120"/>
        <w:rPr>
          <w:snapToGrid w:val="0"/>
        </w:rPr>
      </w:pPr>
      <w:r>
        <w:rPr>
          <w:snapToGrid w:val="0"/>
        </w:rPr>
        <w:tab/>
        <w:t>(3)</w:t>
      </w:r>
      <w:r>
        <w:rPr>
          <w:snapToGrid w:val="0"/>
        </w:rPr>
        <w:tab/>
        <w:t>This section applies only where the mortgages or one of them are or is made after the coming into operation of this Act.</w:t>
      </w:r>
    </w:p>
    <w:p>
      <w:pPr>
        <w:pStyle w:val="Heading5"/>
        <w:keepNext w:val="0"/>
        <w:keepLines w:val="0"/>
        <w:spacing w:before="180"/>
        <w:rPr>
          <w:snapToGrid w:val="0"/>
        </w:rPr>
      </w:pPr>
      <w:bookmarkStart w:id="132" w:name="_Toc455284809"/>
      <w:bookmarkStart w:id="133" w:name="_Toc131413073"/>
      <w:r>
        <w:rPr>
          <w:rStyle w:val="CharSectno"/>
        </w:rPr>
        <w:t>57</w:t>
      </w:r>
      <w:r>
        <w:rPr>
          <w:snapToGrid w:val="0"/>
        </w:rPr>
        <w:t>.</w:t>
      </w:r>
      <w:r>
        <w:rPr>
          <w:snapToGrid w:val="0"/>
        </w:rPr>
        <w:tab/>
        <w:t>Implied powers of mortgagees</w:t>
      </w:r>
      <w:bookmarkEnd w:id="132"/>
      <w:bookmarkEnd w:id="133"/>
      <w:r>
        <w:rPr>
          <w:snapToGrid w:val="0"/>
        </w:rPr>
        <w:t xml:space="preserve"> </w:t>
      </w:r>
    </w:p>
    <w:p>
      <w:pPr>
        <w:pStyle w:val="Subsection"/>
        <w:spacing w:before="120"/>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 </w:t>
      </w:r>
    </w:p>
    <w:p>
      <w:pPr>
        <w:pStyle w:val="Indenta"/>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134" w:name="_Toc455284810"/>
      <w:bookmarkStart w:id="135" w:name="_Toc131413074"/>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134"/>
      <w:bookmarkEnd w:id="135"/>
      <w:r>
        <w:rPr>
          <w:snapToGrid w:val="0"/>
        </w:rPr>
        <w:t xml:space="preserve"> </w:t>
      </w:r>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136" w:name="_Toc455284811"/>
      <w:bookmarkStart w:id="137" w:name="_Toc131413075"/>
      <w:r>
        <w:rPr>
          <w:rStyle w:val="CharSectno"/>
        </w:rPr>
        <w:t>59</w:t>
      </w:r>
      <w:r>
        <w:rPr>
          <w:snapToGrid w:val="0"/>
        </w:rPr>
        <w:t>.</w:t>
      </w:r>
      <w:r>
        <w:rPr>
          <w:snapToGrid w:val="0"/>
        </w:rPr>
        <w:tab/>
        <w:t>Regulation of exercise of power of sale</w:t>
      </w:r>
      <w:bookmarkEnd w:id="136"/>
      <w:bookmarkEnd w:id="137"/>
      <w:r>
        <w:rPr>
          <w:snapToGrid w:val="0"/>
        </w:rPr>
        <w:t xml:space="preserve"> </w:t>
      </w:r>
    </w:p>
    <w:p>
      <w:pPr>
        <w:pStyle w:val="Subsection"/>
        <w:keepNext/>
        <w:rPr>
          <w:snapToGrid w:val="0"/>
        </w:rPr>
      </w:pPr>
      <w:r>
        <w:rPr>
          <w:snapToGrid w:val="0"/>
        </w:rPr>
        <w:tab/>
        <w:t>(1)</w:t>
      </w:r>
      <w:r>
        <w:rPr>
          <w:snapToGrid w:val="0"/>
        </w:rPr>
        <w:tab/>
        <w:t>A mortgagee shall not exercise the power of sale conferred by this Part unless and until — </w:t>
      </w:r>
    </w:p>
    <w:p>
      <w:pPr>
        <w:pStyle w:val="Indenta"/>
        <w:rPr>
          <w:snapToGrid w:val="0"/>
          <w:spacing w:val="-4"/>
        </w:rPr>
      </w:pPr>
      <w:r>
        <w:rPr>
          <w:snapToGrid w:val="0"/>
          <w:spacing w:val="-4"/>
        </w:rPr>
        <w:tab/>
        <w:t>(a)</w:t>
      </w:r>
      <w:r>
        <w:rPr>
          <w:snapToGrid w:val="0"/>
          <w:spacing w:val="-4"/>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rPr>
          <w:snapToGrid w:val="0"/>
        </w:rPr>
      </w:pPr>
      <w:bookmarkStart w:id="138" w:name="_Toc455284812"/>
      <w:bookmarkStart w:id="139" w:name="_Toc131413076"/>
      <w:r>
        <w:rPr>
          <w:rStyle w:val="CharSectno"/>
        </w:rPr>
        <w:t>60</w:t>
      </w:r>
      <w:r>
        <w:rPr>
          <w:snapToGrid w:val="0"/>
        </w:rPr>
        <w:t>.</w:t>
      </w:r>
      <w:r>
        <w:rPr>
          <w:snapToGrid w:val="0"/>
        </w:rPr>
        <w:tab/>
        <w:t>Conveyance in exercise of power of sale</w:t>
      </w:r>
      <w:bookmarkEnd w:id="138"/>
      <w:bookmarkEnd w:id="139"/>
      <w:r>
        <w:rPr>
          <w:snapToGrid w:val="0"/>
        </w:rPr>
        <w:t xml:space="preserve"> </w:t>
      </w:r>
    </w:p>
    <w:p>
      <w:pPr>
        <w:pStyle w:val="Subsection"/>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 </w:t>
      </w:r>
    </w:p>
    <w:p>
      <w:pPr>
        <w:pStyle w:val="Indenta"/>
        <w:rPr>
          <w:snapToGrid w:val="0"/>
        </w:rPr>
      </w:pPr>
      <w:r>
        <w:rPr>
          <w:snapToGrid w:val="0"/>
        </w:rPr>
        <w:tab/>
        <w:t>(a)</w:t>
      </w:r>
      <w:r>
        <w:rPr>
          <w:snapToGrid w:val="0"/>
        </w:rPr>
        <w:tab/>
        <w:t>that no case had arisen to authorize the sale; or</w:t>
      </w:r>
    </w:p>
    <w:p>
      <w:pPr>
        <w:pStyle w:val="Indenta"/>
        <w:rPr>
          <w:snapToGrid w:val="0"/>
        </w:rPr>
      </w:pPr>
      <w:r>
        <w:rPr>
          <w:snapToGrid w:val="0"/>
        </w:rPr>
        <w:tab/>
        <w:t>(b)</w:t>
      </w:r>
      <w:r>
        <w:rPr>
          <w:snapToGrid w:val="0"/>
        </w:rPr>
        <w:tab/>
        <w:t>that due notice was not given to the mortgagor; or</w:t>
      </w:r>
    </w:p>
    <w:p>
      <w:pPr>
        <w:pStyle w:val="Indenta"/>
        <w:rPr>
          <w:snapToGrid w:val="0"/>
        </w:rPr>
      </w:pPr>
      <w:r>
        <w:rPr>
          <w:snapToGrid w:val="0"/>
        </w:rPr>
        <w:tab/>
        <w:t>(c)</w:t>
      </w:r>
      <w:r>
        <w:rPr>
          <w:snapToGrid w:val="0"/>
        </w:rPr>
        <w:tab/>
        <w:t>that the power was otherwise improperly or irregularly exercised,</w:t>
      </w:r>
    </w:p>
    <w:p>
      <w:pPr>
        <w:pStyle w:val="Subsection"/>
        <w:rPr>
          <w:snapToGrid w:val="0"/>
        </w:rPr>
      </w:pPr>
      <w:r>
        <w:rPr>
          <w:snapToGrid w:val="0"/>
        </w:rPr>
        <w:tab/>
      </w:r>
      <w:r>
        <w:rPr>
          <w:snapToGrid w:val="0"/>
        </w:rPr>
        <w:tab/>
        <w:t>and a purchaser shall not, either before or on conveyance, be concerned to see or inquire whether a case has arisen to authorize the sale, or due notice has been given, or the power is otherwise properly and regularly exercised; but any person damnified by an unauthorized, or improper, or irregular exercise of the power has his remedy in damages against the person exercising the power.</w:t>
      </w:r>
    </w:p>
    <w:p>
      <w:pPr>
        <w:pStyle w:val="Subsection"/>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rPr>
          <w:snapToGrid w:val="0"/>
        </w:rPr>
      </w:pPr>
      <w:bookmarkStart w:id="140" w:name="_Toc455284813"/>
      <w:bookmarkStart w:id="141" w:name="_Toc131413077"/>
      <w:r>
        <w:rPr>
          <w:rStyle w:val="CharSectno"/>
        </w:rPr>
        <w:t>61</w:t>
      </w:r>
      <w:r>
        <w:rPr>
          <w:snapToGrid w:val="0"/>
        </w:rPr>
        <w:t>.</w:t>
      </w:r>
      <w:r>
        <w:rPr>
          <w:snapToGrid w:val="0"/>
        </w:rPr>
        <w:tab/>
        <w:t>Application of proceeds of sale</w:t>
      </w:r>
      <w:bookmarkEnd w:id="140"/>
      <w:bookmarkEnd w:id="141"/>
      <w:r>
        <w:rPr>
          <w:snapToGrid w:val="0"/>
        </w:rPr>
        <w:t xml:space="preserve"> </w:t>
      </w:r>
    </w:p>
    <w:p>
      <w:pPr>
        <w:pStyle w:val="Subsection"/>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authorized to give receipts for the proceeds of the sale thereof.</w:t>
      </w:r>
    </w:p>
    <w:p>
      <w:pPr>
        <w:pStyle w:val="Heading5"/>
        <w:rPr>
          <w:snapToGrid w:val="0"/>
        </w:rPr>
      </w:pPr>
      <w:bookmarkStart w:id="142" w:name="_Toc455284814"/>
      <w:bookmarkStart w:id="143" w:name="_Toc131413078"/>
      <w:r>
        <w:rPr>
          <w:rStyle w:val="CharSectno"/>
        </w:rPr>
        <w:t>62</w:t>
      </w:r>
      <w:r>
        <w:rPr>
          <w:snapToGrid w:val="0"/>
        </w:rPr>
        <w:t>.</w:t>
      </w:r>
      <w:r>
        <w:rPr>
          <w:snapToGrid w:val="0"/>
        </w:rPr>
        <w:tab/>
        <w:t>Provisions as to exercise of power of sale</w:t>
      </w:r>
      <w:bookmarkEnd w:id="142"/>
      <w:bookmarkEnd w:id="143"/>
      <w:r>
        <w:rPr>
          <w:snapToGrid w:val="0"/>
        </w:rPr>
        <w:t xml:space="preserve"> </w:t>
      </w:r>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144" w:name="_Toc455284815"/>
      <w:bookmarkStart w:id="145" w:name="_Toc131413079"/>
      <w:r>
        <w:rPr>
          <w:rStyle w:val="CharSectno"/>
        </w:rPr>
        <w:t>63</w:t>
      </w:r>
      <w:r>
        <w:rPr>
          <w:snapToGrid w:val="0"/>
        </w:rPr>
        <w:t>.</w:t>
      </w:r>
      <w:r>
        <w:rPr>
          <w:snapToGrid w:val="0"/>
        </w:rPr>
        <w:tab/>
        <w:t>Mortgagee’s receipts, discharges, etc.</w:t>
      </w:r>
      <w:bookmarkEnd w:id="144"/>
      <w:bookmarkEnd w:id="145"/>
      <w:r>
        <w:rPr>
          <w:snapToGrid w:val="0"/>
        </w:rPr>
        <w:t xml:space="preserve"> </w:t>
      </w:r>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146" w:name="_Toc455284816"/>
      <w:bookmarkStart w:id="147" w:name="_Toc131413080"/>
      <w:r>
        <w:rPr>
          <w:rStyle w:val="CharSectno"/>
        </w:rPr>
        <w:t>64</w:t>
      </w:r>
      <w:r>
        <w:rPr>
          <w:snapToGrid w:val="0"/>
        </w:rPr>
        <w:t>.</w:t>
      </w:r>
      <w:r>
        <w:rPr>
          <w:snapToGrid w:val="0"/>
        </w:rPr>
        <w:tab/>
        <w:t>Amount and application of insurance money</w:t>
      </w:r>
      <w:bookmarkEnd w:id="146"/>
      <w:bookmarkEnd w:id="147"/>
      <w:r>
        <w:rPr>
          <w:snapToGrid w:val="0"/>
        </w:rPr>
        <w:t xml:space="preserve"> </w:t>
      </w:r>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authorized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148" w:name="_Toc455284817"/>
      <w:bookmarkStart w:id="149" w:name="_Toc131413081"/>
      <w:r>
        <w:rPr>
          <w:rStyle w:val="CharSectno"/>
        </w:rPr>
        <w:t>65</w:t>
      </w:r>
      <w:r>
        <w:rPr>
          <w:snapToGrid w:val="0"/>
        </w:rPr>
        <w:t>.</w:t>
      </w:r>
      <w:r>
        <w:rPr>
          <w:snapToGrid w:val="0"/>
        </w:rPr>
        <w:tab/>
        <w:t>Appointment, powers, remuneration and duties of receiver</w:t>
      </w:r>
      <w:bookmarkEnd w:id="148"/>
      <w:bookmarkEnd w:id="149"/>
      <w:r>
        <w:rPr>
          <w:snapToGrid w:val="0"/>
        </w:rPr>
        <w:t xml:space="preserve"> </w:t>
      </w:r>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spacing w:before="120"/>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spacing w:before="120"/>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spacing w:before="120"/>
        <w:rPr>
          <w:snapToGrid w:val="0"/>
        </w:rPr>
      </w:pPr>
      <w:r>
        <w:rPr>
          <w:snapToGrid w:val="0"/>
        </w:rPr>
        <w:tab/>
        <w:t>(4)</w:t>
      </w:r>
      <w:r>
        <w:rPr>
          <w:snapToGrid w:val="0"/>
        </w:rPr>
        <w:tab/>
        <w:t>A person paying money to the receiver shall not be concerned to inquire whether any case has happened to authorize the receiver to act.</w:t>
      </w:r>
    </w:p>
    <w:p>
      <w:pPr>
        <w:pStyle w:val="Subsection"/>
        <w:spacing w:before="120"/>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spacing w:before="120"/>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spacing w:before="120"/>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150" w:name="_Toc455284818"/>
      <w:bookmarkStart w:id="151" w:name="_Toc131413082"/>
      <w:r>
        <w:rPr>
          <w:rStyle w:val="CharSectno"/>
        </w:rPr>
        <w:t>66</w:t>
      </w:r>
      <w:r>
        <w:rPr>
          <w:snapToGrid w:val="0"/>
        </w:rPr>
        <w:t>.</w:t>
      </w:r>
      <w:r>
        <w:rPr>
          <w:snapToGrid w:val="0"/>
        </w:rPr>
        <w:tab/>
        <w:t>Application of money received by receiver</w:t>
      </w:r>
      <w:bookmarkEnd w:id="150"/>
      <w:bookmarkEnd w:id="151"/>
      <w:r>
        <w:rPr>
          <w:snapToGrid w:val="0"/>
        </w:rPr>
        <w:t xml:space="preserve"> </w:t>
      </w:r>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152" w:name="_Toc455284819"/>
      <w:bookmarkStart w:id="153" w:name="_Toc131413083"/>
      <w:r>
        <w:rPr>
          <w:rStyle w:val="CharSectno"/>
        </w:rPr>
        <w:t>67</w:t>
      </w:r>
      <w:r>
        <w:rPr>
          <w:snapToGrid w:val="0"/>
        </w:rPr>
        <w:t>.</w:t>
      </w:r>
      <w:r>
        <w:rPr>
          <w:snapToGrid w:val="0"/>
        </w:rPr>
        <w:tab/>
        <w:t>Effect of advance on joint account</w:t>
      </w:r>
      <w:bookmarkEnd w:id="152"/>
      <w:bookmarkEnd w:id="15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154" w:name="_Toc455284820"/>
      <w:bookmarkStart w:id="155" w:name="_Toc131413084"/>
      <w:r>
        <w:rPr>
          <w:rStyle w:val="CharSectno"/>
        </w:rPr>
        <w:t>68</w:t>
      </w:r>
      <w:r>
        <w:rPr>
          <w:snapToGrid w:val="0"/>
        </w:rPr>
        <w:t>.</w:t>
      </w:r>
      <w:r>
        <w:rPr>
          <w:snapToGrid w:val="0"/>
        </w:rPr>
        <w:tab/>
        <w:t>Notice of trusts affecting mortgage money</w:t>
      </w:r>
      <w:bookmarkEnd w:id="154"/>
      <w:bookmarkEnd w:id="155"/>
      <w:r>
        <w:rPr>
          <w:snapToGrid w:val="0"/>
        </w:rPr>
        <w:t xml:space="preserve"> </w:t>
      </w:r>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156" w:name="_Toc122772978"/>
      <w:bookmarkStart w:id="157" w:name="_Toc123003993"/>
      <w:bookmarkStart w:id="158" w:name="_Toc131413085"/>
      <w:r>
        <w:rPr>
          <w:rStyle w:val="CharPartNo"/>
        </w:rPr>
        <w:t>Part VII</w:t>
      </w:r>
      <w:r>
        <w:t> — </w:t>
      </w:r>
      <w:r>
        <w:rPr>
          <w:rStyle w:val="CharPartText"/>
        </w:rPr>
        <w:t>Leases and tenancies</w:t>
      </w:r>
      <w:bookmarkEnd w:id="156"/>
      <w:bookmarkEnd w:id="157"/>
      <w:bookmarkEnd w:id="158"/>
      <w:r>
        <w:rPr>
          <w:rStyle w:val="CharPartText"/>
        </w:rPr>
        <w:t xml:space="preserve"> </w:t>
      </w:r>
    </w:p>
    <w:p>
      <w:pPr>
        <w:pStyle w:val="Heading3"/>
        <w:rPr>
          <w:snapToGrid w:val="0"/>
        </w:rPr>
      </w:pPr>
      <w:bookmarkStart w:id="159" w:name="_Toc122772979"/>
      <w:bookmarkStart w:id="160" w:name="_Toc123003994"/>
      <w:bookmarkStart w:id="161" w:name="_Toc131413086"/>
      <w:r>
        <w:rPr>
          <w:rStyle w:val="CharDivNo"/>
        </w:rPr>
        <w:t>Division 1</w:t>
      </w:r>
      <w:r>
        <w:rPr>
          <w:snapToGrid w:val="0"/>
        </w:rPr>
        <w:t> — </w:t>
      </w:r>
      <w:r>
        <w:rPr>
          <w:rStyle w:val="CharDivText"/>
        </w:rPr>
        <w:t>Application of this part</w:t>
      </w:r>
      <w:bookmarkEnd w:id="159"/>
      <w:bookmarkEnd w:id="160"/>
      <w:bookmarkEnd w:id="161"/>
      <w:r>
        <w:rPr>
          <w:rStyle w:val="CharDivText"/>
        </w:rPr>
        <w:t xml:space="preserve"> </w:t>
      </w:r>
    </w:p>
    <w:p>
      <w:pPr>
        <w:pStyle w:val="Footnoteheading"/>
        <w:rPr>
          <w:snapToGrid w:val="0"/>
        </w:rPr>
      </w:pPr>
      <w:r>
        <w:rPr>
          <w:snapToGrid w:val="0"/>
        </w:rPr>
        <w:tab/>
        <w:t>[Heading inserted by No. 128 of 1987 s.89.]</w:t>
      </w:r>
    </w:p>
    <w:p>
      <w:pPr>
        <w:pStyle w:val="Heading5"/>
        <w:rPr>
          <w:snapToGrid w:val="0"/>
        </w:rPr>
      </w:pPr>
      <w:bookmarkStart w:id="162" w:name="_Toc455284821"/>
      <w:bookmarkStart w:id="163" w:name="_Toc131413087"/>
      <w:r>
        <w:rPr>
          <w:rStyle w:val="CharSectno"/>
        </w:rPr>
        <w:t>68A</w:t>
      </w:r>
      <w:r>
        <w:rPr>
          <w:snapToGrid w:val="0"/>
        </w:rPr>
        <w:t>.</w:t>
      </w:r>
      <w:r>
        <w:rPr>
          <w:snapToGrid w:val="0"/>
        </w:rPr>
        <w:tab/>
        <w:t>Limitation</w:t>
      </w:r>
      <w:bookmarkEnd w:id="162"/>
      <w:bookmarkEnd w:id="163"/>
      <w:r>
        <w:rPr>
          <w:snapToGrid w:val="0"/>
        </w:rPr>
        <w:t xml:space="preserve"> </w:t>
      </w:r>
    </w:p>
    <w:p>
      <w:pPr>
        <w:pStyle w:val="Subsection"/>
        <w:rPr>
          <w:snapToGrid w:val="0"/>
          <w:spacing w:val="-4"/>
        </w:rPr>
      </w:pPr>
      <w:r>
        <w:rPr>
          <w:snapToGrid w:val="0"/>
          <w:spacing w:val="-4"/>
        </w:rPr>
        <w:tab/>
      </w:r>
      <w:r>
        <w:rPr>
          <w:snapToGrid w:val="0"/>
          <w:spacing w:val="-4"/>
        </w:rPr>
        <w:tab/>
        <w:t xml:space="preserve">This Part has effect subject to the </w:t>
      </w:r>
      <w:r>
        <w:rPr>
          <w:i/>
          <w:snapToGrid w:val="0"/>
          <w:spacing w:val="-4"/>
        </w:rPr>
        <w:t>Residential Tenancies Act 1987</w:t>
      </w:r>
      <w:r>
        <w:rPr>
          <w:snapToGrid w:val="0"/>
          <w:spacing w:val="-4"/>
        </w:rPr>
        <w:t>.</w:t>
      </w:r>
    </w:p>
    <w:p>
      <w:pPr>
        <w:pStyle w:val="Footnotesection"/>
      </w:pPr>
      <w:r>
        <w:tab/>
        <w:t xml:space="preserve">[Section 68A inserted by No. 128 of 1987 s.89.] </w:t>
      </w:r>
    </w:p>
    <w:p>
      <w:pPr>
        <w:pStyle w:val="Heading3"/>
        <w:rPr>
          <w:snapToGrid w:val="0"/>
        </w:rPr>
      </w:pPr>
      <w:bookmarkStart w:id="164" w:name="_Toc122772981"/>
      <w:bookmarkStart w:id="165" w:name="_Toc123003996"/>
      <w:bookmarkStart w:id="166" w:name="_Toc131413088"/>
      <w:r>
        <w:rPr>
          <w:rStyle w:val="CharDivNo"/>
        </w:rPr>
        <w:t>Division 1a</w:t>
      </w:r>
      <w:r>
        <w:rPr>
          <w:snapToGrid w:val="0"/>
        </w:rPr>
        <w:t> — </w:t>
      </w:r>
      <w:r>
        <w:rPr>
          <w:rStyle w:val="CharDivText"/>
        </w:rPr>
        <w:t>General</w:t>
      </w:r>
      <w:bookmarkEnd w:id="164"/>
      <w:bookmarkEnd w:id="165"/>
      <w:bookmarkEnd w:id="166"/>
      <w:r>
        <w:rPr>
          <w:rStyle w:val="CharDivText"/>
        </w:rPr>
        <w:t xml:space="preserve"> </w:t>
      </w:r>
    </w:p>
    <w:p>
      <w:pPr>
        <w:pStyle w:val="Footnoteheading"/>
        <w:rPr>
          <w:snapToGrid w:val="0"/>
        </w:rPr>
      </w:pPr>
      <w:r>
        <w:rPr>
          <w:snapToGrid w:val="0"/>
        </w:rPr>
        <w:tab/>
        <w:t>[Heading inserted by No. 35 of 1973 s.3; amended by No. 128 of 1987 s.89.]</w:t>
      </w:r>
    </w:p>
    <w:p>
      <w:pPr>
        <w:pStyle w:val="Heading5"/>
        <w:rPr>
          <w:snapToGrid w:val="0"/>
        </w:rPr>
      </w:pPr>
      <w:bookmarkStart w:id="167" w:name="_Toc455284822"/>
      <w:bookmarkStart w:id="168" w:name="_Toc131413089"/>
      <w:r>
        <w:rPr>
          <w:rStyle w:val="CharSectno"/>
        </w:rPr>
        <w:t>69</w:t>
      </w:r>
      <w:r>
        <w:rPr>
          <w:snapToGrid w:val="0"/>
        </w:rPr>
        <w:t>.</w:t>
      </w:r>
      <w:r>
        <w:rPr>
          <w:snapToGrid w:val="0"/>
        </w:rPr>
        <w:tab/>
        <w:t xml:space="preserve">This Part to apply to leases under the </w:t>
      </w:r>
      <w:r>
        <w:rPr>
          <w:i/>
          <w:snapToGrid w:val="0"/>
        </w:rPr>
        <w:t>Transfer of Land Act 1893</w:t>
      </w:r>
      <w:bookmarkEnd w:id="167"/>
      <w:bookmarkEnd w:id="168"/>
      <w:r>
        <w:rPr>
          <w:snapToGrid w:val="0"/>
        </w:rPr>
        <w:t xml:space="preserve"> </w:t>
      </w:r>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b/>
          <w:snapToGrid w:val="0"/>
        </w:rPr>
        <w:t>“</w:t>
      </w:r>
      <w:r>
        <w:rPr>
          <w:rStyle w:val="CharDefText"/>
        </w:rPr>
        <w:t>lease</w:t>
      </w:r>
      <w:r>
        <w:rPr>
          <w:b/>
          <w:snapToGrid w:val="0"/>
        </w:rPr>
        <w:t>”</w:t>
      </w:r>
      <w:r>
        <w:rPr>
          <w:snapToGrid w:val="0"/>
        </w:rPr>
        <w:t xml:space="preserve"> includes so far as circumstances will admit any instrument of letting whether under seal or not.</w:t>
      </w:r>
    </w:p>
    <w:p>
      <w:pPr>
        <w:pStyle w:val="Footnotesection"/>
      </w:pPr>
      <w:r>
        <w:tab/>
        <w:t xml:space="preserve">[Section 69 amended by No. 35 of 1973 s.3.] </w:t>
      </w:r>
    </w:p>
    <w:p>
      <w:pPr>
        <w:pStyle w:val="Heading5"/>
        <w:rPr>
          <w:snapToGrid w:val="0"/>
        </w:rPr>
      </w:pPr>
      <w:bookmarkStart w:id="169" w:name="_Toc455284823"/>
      <w:bookmarkStart w:id="170" w:name="_Toc131413090"/>
      <w:r>
        <w:rPr>
          <w:rStyle w:val="CharSectno"/>
        </w:rPr>
        <w:t>70</w:t>
      </w:r>
      <w:r>
        <w:rPr>
          <w:snapToGrid w:val="0"/>
        </w:rPr>
        <w:t>.</w:t>
      </w:r>
      <w:r>
        <w:rPr>
          <w:snapToGrid w:val="0"/>
        </w:rPr>
        <w:tab/>
        <w:t>Tenant not prejudiced by assignment before notice</w:t>
      </w:r>
      <w:bookmarkEnd w:id="169"/>
      <w:bookmarkEnd w:id="170"/>
      <w:r>
        <w:rPr>
          <w:snapToGrid w:val="0"/>
        </w:rPr>
        <w:t xml:space="preserve"> </w:t>
      </w:r>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171" w:name="_Toc455284824"/>
      <w:bookmarkStart w:id="172" w:name="_Toc131413091"/>
      <w:r>
        <w:rPr>
          <w:rStyle w:val="CharSectno"/>
        </w:rPr>
        <w:t>71</w:t>
      </w:r>
      <w:r>
        <w:rPr>
          <w:snapToGrid w:val="0"/>
        </w:rPr>
        <w:t>.</w:t>
      </w:r>
      <w:r>
        <w:rPr>
          <w:snapToGrid w:val="0"/>
        </w:rPr>
        <w:tab/>
        <w:t>Tenancy from year to year not implied</w:t>
      </w:r>
      <w:bookmarkEnd w:id="171"/>
      <w:bookmarkEnd w:id="172"/>
      <w:r>
        <w:rPr>
          <w:snapToGrid w:val="0"/>
        </w:rPr>
        <w:t xml:space="preserve"> </w:t>
      </w:r>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173" w:name="_Toc455284825"/>
      <w:bookmarkStart w:id="174" w:name="_Toc131413092"/>
      <w:r>
        <w:rPr>
          <w:rStyle w:val="CharSectno"/>
        </w:rPr>
        <w:t>72</w:t>
      </w:r>
      <w:r>
        <w:rPr>
          <w:snapToGrid w:val="0"/>
        </w:rPr>
        <w:t>.</w:t>
      </w:r>
      <w:r>
        <w:rPr>
          <w:snapToGrid w:val="0"/>
        </w:rPr>
        <w:tab/>
        <w:t>Termination of tenancies</w:t>
      </w:r>
      <w:bookmarkEnd w:id="173"/>
      <w:bookmarkEnd w:id="174"/>
      <w:r>
        <w:rPr>
          <w:snapToGrid w:val="0"/>
        </w:rPr>
        <w:t xml:space="preserve"> </w:t>
      </w:r>
    </w:p>
    <w:p>
      <w:pPr>
        <w:pStyle w:val="Subsection"/>
        <w:spacing w:before="120"/>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spacing w:before="120"/>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175" w:name="_Toc455284826"/>
      <w:bookmarkStart w:id="176" w:name="_Toc131413093"/>
      <w:r>
        <w:rPr>
          <w:rStyle w:val="CharSectno"/>
        </w:rPr>
        <w:t>73</w:t>
      </w:r>
      <w:r>
        <w:rPr>
          <w:snapToGrid w:val="0"/>
        </w:rPr>
        <w:t>.</w:t>
      </w:r>
      <w:r>
        <w:rPr>
          <w:snapToGrid w:val="0"/>
        </w:rPr>
        <w:tab/>
        <w:t>Waiver of a covenant in a lease, not to operate as general waiver</w:t>
      </w:r>
      <w:bookmarkEnd w:id="175"/>
      <w:bookmarkEnd w:id="176"/>
      <w:r>
        <w:rPr>
          <w:snapToGrid w:val="0"/>
        </w:rPr>
        <w:t xml:space="preserve"> </w:t>
      </w:r>
    </w:p>
    <w:p>
      <w:pPr>
        <w:pStyle w:val="Subsection"/>
        <w:spacing w:before="120"/>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spacing w:before="120"/>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spacing w:before="120"/>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177" w:name="_Toc455284827"/>
      <w:bookmarkStart w:id="178" w:name="_Toc131413094"/>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177"/>
      <w:bookmarkEnd w:id="178"/>
      <w:r>
        <w:rPr>
          <w:snapToGrid w:val="0"/>
        </w:rPr>
        <w:t xml:space="preserve"> </w:t>
      </w:r>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179" w:name="_Toc455284828"/>
      <w:bookmarkStart w:id="180" w:name="_Toc131413095"/>
      <w:r>
        <w:rPr>
          <w:rStyle w:val="CharSectno"/>
        </w:rPr>
        <w:t>75</w:t>
      </w:r>
      <w:r>
        <w:rPr>
          <w:snapToGrid w:val="0"/>
        </w:rPr>
        <w:t>.</w:t>
      </w:r>
      <w:r>
        <w:rPr>
          <w:snapToGrid w:val="0"/>
        </w:rPr>
        <w:tab/>
        <w:t>Effect of extinguishment of reversion</w:t>
      </w:r>
      <w:bookmarkEnd w:id="179"/>
      <w:bookmarkEnd w:id="180"/>
      <w:r>
        <w:rPr>
          <w:snapToGrid w:val="0"/>
        </w:rPr>
        <w:t xml:space="preserve"> </w:t>
      </w:r>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181" w:name="_Toc455284829"/>
      <w:bookmarkStart w:id="182" w:name="_Toc131413096"/>
      <w:r>
        <w:rPr>
          <w:rStyle w:val="CharSectno"/>
        </w:rPr>
        <w:t>76</w:t>
      </w:r>
      <w:r>
        <w:rPr>
          <w:snapToGrid w:val="0"/>
        </w:rPr>
        <w:t>.</w:t>
      </w:r>
      <w:r>
        <w:rPr>
          <w:snapToGrid w:val="0"/>
        </w:rPr>
        <w:tab/>
        <w:t>Apportionment of conditions on severance</w:t>
      </w:r>
      <w:bookmarkEnd w:id="181"/>
      <w:bookmarkEnd w:id="182"/>
      <w:r>
        <w:rPr>
          <w:snapToGrid w:val="0"/>
        </w:rPr>
        <w:t xml:space="preserve"> </w:t>
      </w:r>
    </w:p>
    <w:p>
      <w:pPr>
        <w:pStyle w:val="Subsection"/>
        <w:keepNext/>
        <w:spacing w:before="12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spacing w:before="120"/>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spacing w:before="120"/>
        <w:rPr>
          <w:snapToGrid w:val="0"/>
        </w:rPr>
      </w:pPr>
      <w:r>
        <w:rPr>
          <w:snapToGrid w:val="0"/>
        </w:rPr>
        <w:tab/>
        <w:t>(2)</w:t>
      </w:r>
      <w:r>
        <w:rPr>
          <w:snapToGrid w:val="0"/>
        </w:rPr>
        <w:tab/>
        <w:t xml:space="preserve">In this section </w:t>
      </w:r>
      <w:r>
        <w:rPr>
          <w:b/>
          <w:snapToGrid w:val="0"/>
        </w:rPr>
        <w:t>“</w:t>
      </w:r>
      <w:r>
        <w:rPr>
          <w:rStyle w:val="CharDefText"/>
        </w:rPr>
        <w:t>right of re</w:t>
      </w:r>
      <w:r>
        <w:rPr>
          <w:rStyle w:val="CharDefText"/>
        </w:rPr>
        <w:noBreakHyphen/>
        <w:t>entry</w:t>
      </w:r>
      <w:r>
        <w:rPr>
          <w:b/>
          <w:snapToGrid w:val="0"/>
        </w:rPr>
        <w:t>”</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183" w:name="_Toc455284830"/>
      <w:bookmarkStart w:id="184" w:name="_Toc131413097"/>
      <w:r>
        <w:rPr>
          <w:rStyle w:val="CharSectno"/>
        </w:rPr>
        <w:t>77</w:t>
      </w:r>
      <w:r>
        <w:rPr>
          <w:snapToGrid w:val="0"/>
        </w:rPr>
        <w:t>.</w:t>
      </w:r>
      <w:r>
        <w:rPr>
          <w:snapToGrid w:val="0"/>
        </w:rPr>
        <w:tab/>
        <w:t>Rent and benefit of lessee’s covenants to run with reversion</w:t>
      </w:r>
      <w:bookmarkEnd w:id="183"/>
      <w:bookmarkEnd w:id="184"/>
      <w:r>
        <w:rPr>
          <w:snapToGrid w:val="0"/>
        </w:rPr>
        <w:t xml:space="preserve"> </w:t>
      </w:r>
    </w:p>
    <w:p>
      <w:pPr>
        <w:pStyle w:val="Subsection"/>
        <w:keepNext/>
        <w:spacing w:before="120"/>
        <w:rPr>
          <w:snapToGrid w:val="0"/>
          <w:spacing w:val="-4"/>
        </w:rPr>
      </w:pPr>
      <w:r>
        <w:rPr>
          <w:snapToGrid w:val="0"/>
          <w:spacing w:val="-4"/>
        </w:rPr>
        <w:tab/>
        <w:t>(1)</w:t>
      </w:r>
      <w:r>
        <w:rPr>
          <w:snapToGrid w:val="0"/>
          <w:spacing w:val="-4"/>
        </w:rPr>
        <w:tab/>
        <w:t>Rent reserved by a lease, and the benefit of every covenant or provision contained in the lease, having reference to the subject</w:t>
      </w:r>
      <w:r>
        <w:rPr>
          <w:snapToGrid w:val="0"/>
          <w:spacing w:val="-4"/>
        </w:rPr>
        <w:noBreakHyphen/>
        <w:t>matter thereof, and on the lessee’s part to be observed or performed, and every condition of re</w:t>
      </w:r>
      <w:r>
        <w:rPr>
          <w:snapToGrid w:val="0"/>
          <w:spacing w:val="-4"/>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spacing w:before="120"/>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spacing w:before="120"/>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spacing w:before="120"/>
        <w:rPr>
          <w:snapToGrid w:val="0"/>
        </w:rPr>
      </w:pPr>
      <w:r>
        <w:rPr>
          <w:snapToGrid w:val="0"/>
        </w:rPr>
        <w:tab/>
        <w:t>(4)</w:t>
      </w:r>
      <w:r>
        <w:rPr>
          <w:snapToGrid w:val="0"/>
        </w:rPr>
        <w:tab/>
        <w:t>This section applies to leases made before or after the date of the coming into operation of this Act, but does not affect the operation of —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185" w:name="_Toc455284831"/>
      <w:bookmarkStart w:id="186" w:name="_Toc131413098"/>
      <w:r>
        <w:rPr>
          <w:rStyle w:val="CharSectno"/>
        </w:rPr>
        <w:t>78</w:t>
      </w:r>
      <w:r>
        <w:rPr>
          <w:snapToGrid w:val="0"/>
        </w:rPr>
        <w:t>.</w:t>
      </w:r>
      <w:r>
        <w:rPr>
          <w:snapToGrid w:val="0"/>
        </w:rPr>
        <w:tab/>
        <w:t>Obligation of lessor’s covenants to run with reversion</w:t>
      </w:r>
      <w:bookmarkEnd w:id="185"/>
      <w:bookmarkEnd w:id="186"/>
      <w:r>
        <w:rPr>
          <w:snapToGrid w:val="0"/>
        </w:rPr>
        <w:t xml:space="preserve"> </w:t>
      </w:r>
    </w:p>
    <w:p>
      <w:pPr>
        <w:pStyle w:val="Subsection"/>
        <w:spacing w:before="120"/>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spacing w:before="120"/>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spacing w:before="120"/>
        <w:rPr>
          <w:snapToGrid w:val="0"/>
        </w:rPr>
      </w:pPr>
      <w:r>
        <w:rPr>
          <w:snapToGrid w:val="0"/>
        </w:rPr>
        <w:tab/>
        <w:t>(3)</w:t>
      </w:r>
      <w:r>
        <w:rPr>
          <w:snapToGrid w:val="0"/>
        </w:rPr>
        <w:tab/>
        <w:t>This section takes effect without prejudice to any liability affecting a covenantor or his estate.</w:t>
      </w:r>
    </w:p>
    <w:p>
      <w:pPr>
        <w:pStyle w:val="Heading5"/>
        <w:spacing w:before="180"/>
        <w:rPr>
          <w:snapToGrid w:val="0"/>
        </w:rPr>
      </w:pPr>
      <w:bookmarkStart w:id="187" w:name="_Toc455284832"/>
      <w:bookmarkStart w:id="188" w:name="_Toc131413099"/>
      <w:r>
        <w:rPr>
          <w:rStyle w:val="CharSectno"/>
        </w:rPr>
        <w:t>79</w:t>
      </w:r>
      <w:r>
        <w:rPr>
          <w:snapToGrid w:val="0"/>
        </w:rPr>
        <w:t>.</w:t>
      </w:r>
      <w:r>
        <w:rPr>
          <w:snapToGrid w:val="0"/>
        </w:rPr>
        <w:tab/>
        <w:t>Effect of licences granted to lessees</w:t>
      </w:r>
      <w:bookmarkEnd w:id="187"/>
      <w:bookmarkEnd w:id="188"/>
      <w:r>
        <w:rPr>
          <w:snapToGrid w:val="0"/>
        </w:rPr>
        <w:t xml:space="preserve"> </w:t>
      </w:r>
    </w:p>
    <w:p>
      <w:pPr>
        <w:pStyle w:val="Subsection"/>
        <w:spacing w:before="120"/>
        <w:rPr>
          <w:snapToGrid w:val="0"/>
        </w:rPr>
      </w:pPr>
      <w:r>
        <w:rPr>
          <w:snapToGrid w:val="0"/>
        </w:rPr>
        <w:tab/>
        <w:t>(1)</w:t>
      </w:r>
      <w:r>
        <w:rPr>
          <w:snapToGrid w:val="0"/>
        </w:rPr>
        <w:tab/>
        <w:t>Where a licence is granted to a lessee to do any act, the licence, unless otherwise expressed, extends only —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authorized thereby,</w:t>
      </w:r>
    </w:p>
    <w:p>
      <w:pPr>
        <w:pStyle w:val="Subsection"/>
        <w:spacing w:before="120"/>
        <w:rPr>
          <w:snapToGrid w:val="0"/>
        </w:rPr>
      </w:pPr>
      <w:r>
        <w:rPr>
          <w:snapToGrid w:val="0"/>
        </w:rPr>
        <w:tab/>
      </w:r>
      <w:r>
        <w:rPr>
          <w:snapToGrid w:val="0"/>
        </w:rPr>
        <w:tab/>
        <w:t>and the licence does not prevent any proceeding for any subsequent breach unless otherwise so specified.</w:t>
      </w:r>
    </w:p>
    <w:p>
      <w:pPr>
        <w:pStyle w:val="Subsection"/>
        <w:spacing w:before="120"/>
        <w:rPr>
          <w:snapToGrid w:val="0"/>
        </w:rPr>
      </w:pPr>
      <w:r>
        <w:rPr>
          <w:snapToGrid w:val="0"/>
        </w:rPr>
        <w:tab/>
        <w:t>(2)</w:t>
      </w:r>
      <w:r>
        <w:rPr>
          <w:snapToGrid w:val="0"/>
        </w:rPr>
        <w:tab/>
        <w:t>Notwithstanding any such licence — </w:t>
      </w:r>
    </w:p>
    <w:p>
      <w:pPr>
        <w:pStyle w:val="Indenta"/>
        <w:rPr>
          <w:snapToGrid w:val="0"/>
          <w:spacing w:val="-4"/>
        </w:rPr>
      </w:pPr>
      <w:r>
        <w:rPr>
          <w:snapToGrid w:val="0"/>
          <w:spacing w:val="-4"/>
        </w:rPr>
        <w:tab/>
        <w:t>(a)</w:t>
      </w:r>
      <w:r>
        <w:rPr>
          <w:snapToGrid w:val="0"/>
          <w:spacing w:val="-4"/>
        </w:rPr>
        <w:tab/>
        <w:t>all rights under covenants and powers of re</w:t>
      </w:r>
      <w:r>
        <w:rPr>
          <w:snapToGrid w:val="0"/>
          <w:spacing w:val="-4"/>
        </w:rPr>
        <w:noBreakHyphen/>
        <w:t>entry contained in the lease remain in full force and are available as against any subsequent breach of covenant, condition or other matter not specifically authorized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authorized to be done.</w:t>
      </w:r>
    </w:p>
    <w:p>
      <w:pPr>
        <w:pStyle w:val="Subsection"/>
        <w:spacing w:before="120"/>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spacing w:before="120"/>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spacing w:before="120"/>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189" w:name="_Toc455284833"/>
      <w:bookmarkStart w:id="190" w:name="_Toc131413100"/>
      <w:r>
        <w:rPr>
          <w:rStyle w:val="CharSectno"/>
        </w:rPr>
        <w:t>80</w:t>
      </w:r>
      <w:r>
        <w:rPr>
          <w:snapToGrid w:val="0"/>
        </w:rPr>
        <w:t>.</w:t>
      </w:r>
      <w:r>
        <w:rPr>
          <w:snapToGrid w:val="0"/>
        </w:rPr>
        <w:tab/>
        <w:t>Consent to assign or sublet not to be unreasonably withheld</w:t>
      </w:r>
      <w:bookmarkEnd w:id="189"/>
      <w:bookmarkEnd w:id="190"/>
      <w:r>
        <w:rPr>
          <w:snapToGrid w:val="0"/>
        </w:rPr>
        <w:t xml:space="preserve"> </w:t>
      </w:r>
    </w:p>
    <w:p>
      <w:pPr>
        <w:pStyle w:val="Subsection"/>
        <w:spacing w:before="120"/>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spacing w:before="120"/>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Next w:val="0"/>
        <w:keepLines w:val="0"/>
        <w:rPr>
          <w:snapToGrid w:val="0"/>
        </w:rPr>
      </w:pPr>
      <w:bookmarkStart w:id="191" w:name="_Toc455284834"/>
      <w:bookmarkStart w:id="192" w:name="_Toc131413101"/>
      <w:r>
        <w:rPr>
          <w:rStyle w:val="CharSectno"/>
        </w:rPr>
        <w:t>81</w:t>
      </w:r>
      <w:r>
        <w:rPr>
          <w:snapToGrid w:val="0"/>
        </w:rPr>
        <w:t>.</w:t>
      </w:r>
      <w:r>
        <w:rPr>
          <w:snapToGrid w:val="0"/>
        </w:rPr>
        <w:tab/>
        <w:t>Restrictions and relief against forfeiture of leases and under</w:t>
      </w:r>
      <w:r>
        <w:rPr>
          <w:snapToGrid w:val="0"/>
        </w:rPr>
        <w:noBreakHyphen/>
        <w:t>leases</w:t>
      </w:r>
      <w:bookmarkEnd w:id="191"/>
      <w:bookmarkEnd w:id="192"/>
      <w:r>
        <w:rPr>
          <w:snapToGrid w:val="0"/>
        </w:rPr>
        <w:t xml:space="preserve"> </w:t>
      </w:r>
    </w:p>
    <w:p>
      <w:pPr>
        <w:pStyle w:val="Subsection"/>
        <w:spacing w:before="120"/>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spacing w:before="120"/>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spacing w:before="120"/>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spacing w:before="120"/>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spacing w:before="120"/>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spacing w:before="120"/>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spacing w:before="120"/>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spacing w:before="120"/>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spacing w:before="120"/>
        <w:rPr>
          <w:snapToGrid w:val="0"/>
        </w:rPr>
      </w:pPr>
      <w:r>
        <w:rPr>
          <w:snapToGrid w:val="0"/>
        </w:rPr>
        <w:tab/>
        <w:t>(5)</w:t>
      </w:r>
      <w:r>
        <w:rPr>
          <w:snapToGrid w:val="0"/>
        </w:rPr>
        <w:tab/>
        <w:t>For the purposes of this section except so far as is otherwise provided,</w:t>
      </w:r>
    </w:p>
    <w:p>
      <w:pPr>
        <w:pStyle w:val="Indenta"/>
        <w:rPr>
          <w:snapToGrid w:val="0"/>
        </w:rPr>
      </w:pPr>
      <w:r>
        <w:rPr>
          <w:snapToGrid w:val="0"/>
        </w:rPr>
        <w:tab/>
        <w:t>(a)</w:t>
      </w:r>
      <w:r>
        <w:rPr>
          <w:snapToGrid w:val="0"/>
        </w:rPr>
        <w:tab/>
      </w:r>
      <w:r>
        <w:rPr>
          <w:b/>
          <w:snapToGrid w:val="0"/>
        </w:rPr>
        <w:t>“</w:t>
      </w:r>
      <w:r>
        <w:rPr>
          <w:rStyle w:val="CharDefText"/>
        </w:rPr>
        <w:t>lease</w:t>
      </w:r>
      <w:r>
        <w:rPr>
          <w:b/>
          <w:snapToGrid w:val="0"/>
        </w:rPr>
        <w:t>”</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b/>
          <w:snapToGrid w:val="0"/>
        </w:rPr>
        <w:t>“</w:t>
      </w:r>
      <w:r>
        <w:rPr>
          <w:rStyle w:val="CharDefText"/>
        </w:rPr>
        <w:t>lessee</w:t>
      </w:r>
      <w:r>
        <w:rPr>
          <w:b/>
          <w:snapToGrid w:val="0"/>
        </w:rPr>
        <w:t>”</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b/>
          <w:snapToGrid w:val="0"/>
        </w:rPr>
        <w:t>“</w:t>
      </w:r>
      <w:r>
        <w:rPr>
          <w:rStyle w:val="CharDefText"/>
        </w:rPr>
        <w:t>lessor</w:t>
      </w:r>
      <w:r>
        <w:rPr>
          <w:b/>
          <w:snapToGrid w:val="0"/>
        </w:rPr>
        <w:t>”</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b/>
          <w:snapToGrid w:val="0"/>
        </w:rPr>
        <w:t>“</w:t>
      </w:r>
      <w:r>
        <w:rPr>
          <w:rStyle w:val="CharDefText"/>
        </w:rPr>
        <w:t>under</w:t>
      </w:r>
      <w:r>
        <w:rPr>
          <w:rStyle w:val="CharDefText"/>
        </w:rPr>
        <w:noBreakHyphen/>
        <w:t>lease</w:t>
      </w:r>
      <w:r>
        <w:rPr>
          <w:b/>
          <w:snapToGrid w:val="0"/>
        </w:rPr>
        <w:t>”</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b/>
          <w:snapToGrid w:val="0"/>
        </w:rPr>
        <w:t>“</w:t>
      </w:r>
      <w:r>
        <w:rPr>
          <w:rStyle w:val="CharDefText"/>
        </w:rPr>
        <w:t>under</w:t>
      </w:r>
      <w:r>
        <w:rPr>
          <w:rStyle w:val="CharDefText"/>
        </w:rPr>
        <w:noBreakHyphen/>
        <w:t>lessee</w:t>
      </w:r>
      <w:r>
        <w:rPr>
          <w:b/>
          <w:snapToGrid w:val="0"/>
        </w:rPr>
        <w:t>”</w:t>
      </w:r>
      <w:r>
        <w:rPr>
          <w:snapToGrid w:val="0"/>
        </w:rPr>
        <w:t xml:space="preserve"> includes any person deriving title under an under</w:t>
      </w:r>
      <w:r>
        <w:rPr>
          <w:snapToGrid w:val="0"/>
        </w:rPr>
        <w:noBreakHyphen/>
        <w:t>lessee.</w:t>
      </w:r>
    </w:p>
    <w:p>
      <w:pPr>
        <w:pStyle w:val="Subsection"/>
        <w:keepNext/>
        <w:spacing w:before="120"/>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spacing w:before="120"/>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spacing w:before="120"/>
        <w:rPr>
          <w:snapToGrid w:val="0"/>
        </w:rPr>
      </w:pPr>
      <w:r>
        <w:rPr>
          <w:snapToGrid w:val="0"/>
        </w:rPr>
        <w:tab/>
        <w:t>(8)</w:t>
      </w:r>
      <w:r>
        <w:rPr>
          <w:snapToGrid w:val="0"/>
        </w:rPr>
        <w:tab/>
        <w:t>This section does not extend —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 xml:space="preserve">in the case of a lease of any licensed premises as defined in the </w:t>
      </w:r>
      <w:r>
        <w:rPr>
          <w:i/>
          <w:snapToGrid w:val="0"/>
        </w:rPr>
        <w:t>Liquor Act 1970</w:t>
      </w:r>
      <w:r>
        <w:rPr>
          <w:snapToGrid w:val="0"/>
        </w:rPr>
        <w:t xml:space="preserve"> </w:t>
      </w:r>
      <w:r>
        <w:rPr>
          <w:snapToGrid w:val="0"/>
          <w:vertAlign w:val="superscript"/>
        </w:rPr>
        <w:t>6</w:t>
      </w:r>
      <w:r>
        <w:rPr>
          <w:snapToGrid w:val="0"/>
        </w:rPr>
        <w:t>, to a covenant not to do or omit any act or thing by which the licence granted in respect thereof, may be forfeited.</w:t>
      </w:r>
    </w:p>
    <w:p>
      <w:pPr>
        <w:pStyle w:val="Subsection"/>
        <w:keepNext/>
        <w:spacing w:before="120"/>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rPr>
          <w:snapToGrid w:val="0"/>
        </w:rPr>
      </w:pPr>
      <w:r>
        <w:rPr>
          <w:snapToGrid w:val="0"/>
        </w:rPr>
        <w:tab/>
        <w:t>(10)</w:t>
      </w:r>
      <w:r>
        <w:rPr>
          <w:snapToGrid w:val="0"/>
        </w:rPr>
        <w:tab/>
        <w:t>This section has effect notwithstanding any stipulation to the contrary.</w:t>
      </w:r>
    </w:p>
    <w:p>
      <w:pPr>
        <w:pStyle w:val="Heading5"/>
        <w:spacing w:before="180"/>
        <w:rPr>
          <w:snapToGrid w:val="0"/>
        </w:rPr>
      </w:pPr>
      <w:bookmarkStart w:id="193" w:name="_Toc455284835"/>
      <w:bookmarkStart w:id="194" w:name="_Toc131413102"/>
      <w:r>
        <w:rPr>
          <w:rStyle w:val="CharSectno"/>
        </w:rPr>
        <w:t>82</w:t>
      </w:r>
      <w:r>
        <w:rPr>
          <w:snapToGrid w:val="0"/>
        </w:rPr>
        <w:t>.</w:t>
      </w:r>
      <w:r>
        <w:rPr>
          <w:snapToGrid w:val="0"/>
        </w:rPr>
        <w:tab/>
        <w:t>Certain assignments not to be deemed a breach</w:t>
      </w:r>
      <w:bookmarkEnd w:id="193"/>
      <w:bookmarkEnd w:id="194"/>
      <w:r>
        <w:rPr>
          <w:snapToGrid w:val="0"/>
        </w:rPr>
        <w:t xml:space="preserve"> </w:t>
      </w:r>
    </w:p>
    <w:p>
      <w:pPr>
        <w:pStyle w:val="Subsection"/>
        <w:keepNext/>
        <w:spacing w:before="120"/>
        <w:rPr>
          <w:snapToGrid w:val="0"/>
        </w:rPr>
      </w:pPr>
      <w:r>
        <w:rPr>
          <w:snapToGrid w:val="0"/>
        </w:rPr>
        <w:tab/>
      </w:r>
      <w:r>
        <w:rPr>
          <w:snapToGrid w:val="0"/>
        </w:rPr>
        <w:tab/>
        <w:t>No assignment or underletting —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spacing w:val="-4"/>
        </w:rPr>
      </w:pPr>
      <w:r>
        <w:rPr>
          <w:snapToGrid w:val="0"/>
          <w:spacing w:val="-4"/>
        </w:rPr>
        <w:tab/>
        <w:t>(d)</w:t>
      </w:r>
      <w:r>
        <w:rPr>
          <w:snapToGrid w:val="0"/>
          <w:spacing w:val="-4"/>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spacing w:before="180"/>
        <w:rPr>
          <w:snapToGrid w:val="0"/>
        </w:rPr>
      </w:pPr>
      <w:bookmarkStart w:id="195" w:name="_Toc455284836"/>
      <w:bookmarkStart w:id="196" w:name="_Toc131413103"/>
      <w:r>
        <w:rPr>
          <w:rStyle w:val="CharSectno"/>
        </w:rPr>
        <w:t>83</w:t>
      </w:r>
      <w:r>
        <w:rPr>
          <w:snapToGrid w:val="0"/>
        </w:rPr>
        <w:t>.</w:t>
      </w:r>
      <w:r>
        <w:rPr>
          <w:snapToGrid w:val="0"/>
        </w:rPr>
        <w:tab/>
        <w:t>Surrender of head lease to grant new lease not to prejudice under</w:t>
      </w:r>
      <w:r>
        <w:rPr>
          <w:snapToGrid w:val="0"/>
        </w:rPr>
        <w:noBreakHyphen/>
        <w:t>lease</w:t>
      </w:r>
      <w:bookmarkEnd w:id="195"/>
      <w:bookmarkEnd w:id="196"/>
      <w:r>
        <w:rPr>
          <w:snapToGrid w:val="0"/>
        </w:rPr>
        <w:t xml:space="preserve"> </w:t>
      </w:r>
    </w:p>
    <w:p>
      <w:pPr>
        <w:pStyle w:val="Subsection"/>
        <w:spacing w:before="120"/>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spacing w:before="120"/>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spacing w:before="120"/>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spacing w:before="120"/>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spacing w:before="120"/>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spacing w:before="120"/>
        <w:rPr>
          <w:snapToGrid w:val="0"/>
        </w:rPr>
      </w:pPr>
      <w:r>
        <w:rPr>
          <w:snapToGrid w:val="0"/>
        </w:rPr>
        <w:tab/>
        <w:t>(6)</w:t>
      </w:r>
      <w:r>
        <w:rPr>
          <w:snapToGrid w:val="0"/>
        </w:rPr>
        <w:tab/>
        <w:t>This section does not affect the powers of the Court to give relief against forfeiture.</w:t>
      </w:r>
    </w:p>
    <w:p>
      <w:pPr>
        <w:pStyle w:val="Heading3"/>
        <w:spacing w:before="200"/>
        <w:rPr>
          <w:snapToGrid w:val="0"/>
        </w:rPr>
      </w:pPr>
      <w:bookmarkStart w:id="197" w:name="_Toc122772997"/>
      <w:bookmarkStart w:id="198" w:name="_Toc123004012"/>
      <w:bookmarkStart w:id="199" w:name="_Toc131413104"/>
      <w:r>
        <w:rPr>
          <w:rStyle w:val="CharDivNo"/>
        </w:rPr>
        <w:t>Division 2</w:t>
      </w:r>
      <w:r>
        <w:rPr>
          <w:snapToGrid w:val="0"/>
        </w:rPr>
        <w:t> — </w:t>
      </w:r>
      <w:r>
        <w:rPr>
          <w:rStyle w:val="CharDivText"/>
        </w:rPr>
        <w:t>Options in leases</w:t>
      </w:r>
      <w:bookmarkEnd w:id="197"/>
      <w:bookmarkEnd w:id="198"/>
      <w:bookmarkEnd w:id="199"/>
      <w:r>
        <w:rPr>
          <w:rStyle w:val="CharDivText"/>
        </w:rPr>
        <w:t xml:space="preserve"> </w:t>
      </w:r>
    </w:p>
    <w:p>
      <w:pPr>
        <w:pStyle w:val="Footnoteheading"/>
        <w:rPr>
          <w:snapToGrid w:val="0"/>
        </w:rPr>
      </w:pPr>
      <w:r>
        <w:rPr>
          <w:snapToGrid w:val="0"/>
        </w:rPr>
        <w:tab/>
        <w:t>[Heading inserted by No. 35 of 1973 s.3.]</w:t>
      </w:r>
    </w:p>
    <w:p>
      <w:pPr>
        <w:pStyle w:val="Heading5"/>
        <w:spacing w:before="180"/>
        <w:rPr>
          <w:snapToGrid w:val="0"/>
        </w:rPr>
      </w:pPr>
      <w:bookmarkStart w:id="200" w:name="_Toc455284837"/>
      <w:bookmarkStart w:id="201" w:name="_Toc131413105"/>
      <w:r>
        <w:rPr>
          <w:rStyle w:val="CharSectno"/>
        </w:rPr>
        <w:t>83A</w:t>
      </w:r>
      <w:r>
        <w:rPr>
          <w:snapToGrid w:val="0"/>
        </w:rPr>
        <w:t>.</w:t>
      </w:r>
      <w:r>
        <w:rPr>
          <w:snapToGrid w:val="0"/>
        </w:rPr>
        <w:tab/>
        <w:t>Interpretation</w:t>
      </w:r>
      <w:bookmarkEnd w:id="200"/>
      <w:bookmarkEnd w:id="201"/>
      <w:r>
        <w:rPr>
          <w:snapToGrid w:val="0"/>
        </w:rPr>
        <w:t xml:space="preserve"> </w:t>
      </w:r>
    </w:p>
    <w:p>
      <w:pPr>
        <w:pStyle w:val="Subsection"/>
        <w:spacing w:before="120"/>
        <w:rPr>
          <w:snapToGrid w:val="0"/>
        </w:rPr>
      </w:pPr>
      <w:r>
        <w:rPr>
          <w:snapToGrid w:val="0"/>
        </w:rPr>
        <w:tab/>
      </w:r>
      <w:r>
        <w:rPr>
          <w:snapToGrid w:val="0"/>
        </w:rPr>
        <w:tab/>
        <w:t>In this Division — </w:t>
      </w:r>
    </w:p>
    <w:p>
      <w:pPr>
        <w:pStyle w:val="Indenta"/>
        <w:keepNext/>
        <w:rPr>
          <w:snapToGrid w:val="0"/>
          <w:spacing w:val="-4"/>
        </w:rPr>
      </w:pPr>
      <w:r>
        <w:rPr>
          <w:snapToGrid w:val="0"/>
          <w:spacing w:val="-4"/>
        </w:rPr>
        <w:tab/>
        <w:t>(a)</w:t>
      </w:r>
      <w:r>
        <w:rPr>
          <w:snapToGrid w:val="0"/>
          <w:spacing w:val="-4"/>
        </w:rPr>
        <w:tab/>
        <w:t>a reference to an option contained in a lease is a reference to a right on the part of the lessee to require the lessor —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spacing w:val="-4"/>
        </w:rPr>
      </w:pPr>
      <w:r>
        <w:rPr>
          <w:snapToGrid w:val="0"/>
          <w:spacing w:val="-4"/>
        </w:rPr>
        <w:tab/>
        <w:t>(b)</w:t>
      </w:r>
      <w:r>
        <w:rPr>
          <w:snapToGrid w:val="0"/>
          <w:spacing w:val="-4"/>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 xml:space="preserve">[Section 83A inserted by No. 35 of 1973 s.3.] </w:t>
      </w:r>
    </w:p>
    <w:p>
      <w:pPr>
        <w:pStyle w:val="Heading5"/>
        <w:rPr>
          <w:snapToGrid w:val="0"/>
        </w:rPr>
      </w:pPr>
      <w:bookmarkStart w:id="202" w:name="_Toc455284838"/>
      <w:bookmarkStart w:id="203" w:name="_Toc131413106"/>
      <w:r>
        <w:rPr>
          <w:rStyle w:val="CharSectno"/>
        </w:rPr>
        <w:t>83B</w:t>
      </w:r>
      <w:r>
        <w:rPr>
          <w:snapToGrid w:val="0"/>
        </w:rPr>
        <w:t>.</w:t>
      </w:r>
      <w:r>
        <w:rPr>
          <w:snapToGrid w:val="0"/>
        </w:rPr>
        <w:tab/>
        <w:t>Construction and application of Division</w:t>
      </w:r>
      <w:bookmarkEnd w:id="202"/>
      <w:bookmarkEnd w:id="203"/>
      <w:r>
        <w:rPr>
          <w:snapToGrid w:val="0"/>
        </w:rPr>
        <w:t xml:space="preserve"> </w:t>
      </w:r>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 xml:space="preserve">[Section 83B inserted by No. 35 of 1973 s.3.] </w:t>
      </w:r>
    </w:p>
    <w:p>
      <w:pPr>
        <w:pStyle w:val="Heading5"/>
        <w:rPr>
          <w:snapToGrid w:val="0"/>
        </w:rPr>
      </w:pPr>
      <w:bookmarkStart w:id="204" w:name="_Toc455284839"/>
      <w:bookmarkStart w:id="205" w:name="_Toc131413107"/>
      <w:r>
        <w:rPr>
          <w:rStyle w:val="CharSectno"/>
        </w:rPr>
        <w:t>83C</w:t>
      </w:r>
      <w:r>
        <w:rPr>
          <w:snapToGrid w:val="0"/>
        </w:rPr>
        <w:t>.</w:t>
      </w:r>
      <w:r>
        <w:rPr>
          <w:snapToGrid w:val="0"/>
        </w:rPr>
        <w:tab/>
        <w:t>Breach of certain obligations not to preclude lessee from exercising option in certain circumstances</w:t>
      </w:r>
      <w:bookmarkEnd w:id="204"/>
      <w:bookmarkEnd w:id="205"/>
      <w:r>
        <w:rPr>
          <w:snapToGrid w:val="0"/>
        </w:rPr>
        <w:t xml:space="preserve"> </w:t>
      </w:r>
    </w:p>
    <w:p>
      <w:pPr>
        <w:pStyle w:val="Subsection"/>
        <w:keepNext/>
        <w:rPr>
          <w:snapToGrid w:val="0"/>
        </w:rPr>
      </w:pPr>
      <w:r>
        <w:rPr>
          <w:snapToGrid w:val="0"/>
        </w:rPr>
        <w:tab/>
        <w:t>(1)</w:t>
      </w:r>
      <w:r>
        <w:rPr>
          <w:snapToGrid w:val="0"/>
        </w:rPr>
        <w:tab/>
        <w:t xml:space="preserve">In this Division </w:t>
      </w:r>
      <w:r>
        <w:rPr>
          <w:b/>
          <w:snapToGrid w:val="0"/>
        </w:rPr>
        <w:t>“</w:t>
      </w:r>
      <w:r>
        <w:rPr>
          <w:rStyle w:val="CharDefText"/>
        </w:rPr>
        <w:t>prescribed notice</w:t>
      </w:r>
      <w:r>
        <w:rPr>
          <w:b/>
          <w:snapToGrid w:val="0"/>
        </w:rPr>
        <w:t>”</w:t>
      </w:r>
      <w:r>
        <w:rPr>
          <w:snapToGrid w:val="0"/>
        </w:rPr>
        <w:t xml:space="preserve"> means a notice in writing that —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 xml:space="preserve">[Section 83C inserted by No. 35 of 1973 s.3.] </w:t>
      </w:r>
    </w:p>
    <w:p>
      <w:pPr>
        <w:pStyle w:val="Heading5"/>
        <w:spacing w:before="180"/>
        <w:rPr>
          <w:snapToGrid w:val="0"/>
        </w:rPr>
      </w:pPr>
      <w:bookmarkStart w:id="206" w:name="_Toc455284840"/>
      <w:bookmarkStart w:id="207" w:name="_Toc131413108"/>
      <w:r>
        <w:rPr>
          <w:rStyle w:val="CharSectno"/>
        </w:rPr>
        <w:t>83D</w:t>
      </w:r>
      <w:r>
        <w:rPr>
          <w:snapToGrid w:val="0"/>
        </w:rPr>
        <w:t>.</w:t>
      </w:r>
      <w:r>
        <w:rPr>
          <w:snapToGrid w:val="0"/>
        </w:rPr>
        <w:tab/>
        <w:t>Court may grant relief from breach of certain obligations</w:t>
      </w:r>
      <w:bookmarkEnd w:id="206"/>
      <w:bookmarkEnd w:id="207"/>
      <w:r>
        <w:rPr>
          <w:snapToGrid w:val="0"/>
        </w:rPr>
        <w:t xml:space="preserve"> </w:t>
      </w:r>
    </w:p>
    <w:p>
      <w:pPr>
        <w:pStyle w:val="Subsection"/>
        <w:rPr>
          <w:snapToGrid w:val="0"/>
        </w:rPr>
      </w:pPr>
      <w:r>
        <w:rPr>
          <w:snapToGrid w:val="0"/>
        </w:rPr>
        <w:tab/>
        <w:t>(1)</w:t>
      </w:r>
      <w:r>
        <w:rPr>
          <w:snapToGrid w:val="0"/>
        </w:rPr>
        <w:tab/>
        <w:t>Relief referred to in section 83C may be sought —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 xml:space="preserve">[Section 83D inserted by No. 35 of 1973 s.3.] </w:t>
      </w:r>
    </w:p>
    <w:p>
      <w:pPr>
        <w:pStyle w:val="Heading5"/>
        <w:rPr>
          <w:snapToGrid w:val="0"/>
        </w:rPr>
      </w:pPr>
      <w:bookmarkStart w:id="208" w:name="_Toc455284841"/>
      <w:bookmarkStart w:id="209" w:name="_Toc131413109"/>
      <w:r>
        <w:rPr>
          <w:rStyle w:val="CharSectno"/>
        </w:rPr>
        <w:t>83E</w:t>
      </w:r>
      <w:r>
        <w:rPr>
          <w:snapToGrid w:val="0"/>
        </w:rPr>
        <w:t>.</w:t>
      </w:r>
      <w:r>
        <w:rPr>
          <w:snapToGrid w:val="0"/>
        </w:rPr>
        <w:tab/>
        <w:t>Lease to continue in force until issue decided</w:t>
      </w:r>
      <w:bookmarkEnd w:id="208"/>
      <w:bookmarkEnd w:id="209"/>
      <w:r>
        <w:rPr>
          <w:snapToGrid w:val="0"/>
        </w:rPr>
        <w:t xml:space="preserve"> </w:t>
      </w:r>
    </w:p>
    <w:p>
      <w:pPr>
        <w:pStyle w:val="Subsection"/>
        <w:keepNext/>
        <w:rPr>
          <w:snapToGrid w:val="0"/>
        </w:rPr>
      </w:pPr>
      <w:r>
        <w:rPr>
          <w:snapToGrid w:val="0"/>
        </w:rPr>
        <w:tab/>
        <w:t>(1)</w:t>
      </w:r>
      <w:r>
        <w:rPr>
          <w:snapToGrid w:val="0"/>
        </w:rPr>
        <w:tab/>
        <w:t>Subject to any order of the Court and to this section — </w:t>
      </w:r>
    </w:p>
    <w:p>
      <w:pPr>
        <w:pStyle w:val="Indenta"/>
        <w:keepNext/>
        <w:rPr>
          <w:snapToGrid w:val="0"/>
        </w:rPr>
      </w:pPr>
      <w:r>
        <w:rPr>
          <w:snapToGrid w:val="0"/>
        </w:rPr>
        <w:tab/>
        <w:t>(a)</w:t>
      </w:r>
      <w:r>
        <w:rPr>
          <w:snapToGrid w:val="0"/>
        </w:rPr>
        <w:tab/>
        <w:t>where —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 </w:t>
      </w:r>
    </w:p>
    <w:p>
      <w:pPr>
        <w:pStyle w:val="Indenti"/>
        <w:spacing w:before="60"/>
        <w:rPr>
          <w:snapToGrid w:val="0"/>
          <w:spacing w:val="-4"/>
        </w:rPr>
      </w:pPr>
      <w:r>
        <w:rPr>
          <w:snapToGrid w:val="0"/>
          <w:spacing w:val="-4"/>
        </w:rPr>
        <w:tab/>
        <w:t>(i)</w:t>
      </w:r>
      <w:r>
        <w:rPr>
          <w:snapToGrid w:val="0"/>
          <w:spacing w:val="-4"/>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spacing w:before="120"/>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 xml:space="preserve">[Section 83E inserted by No. 35 of 1973 s.3.] </w:t>
      </w:r>
    </w:p>
    <w:p>
      <w:pPr>
        <w:pStyle w:val="Heading2"/>
      </w:pPr>
      <w:bookmarkStart w:id="210" w:name="_Toc122773003"/>
      <w:bookmarkStart w:id="211" w:name="_Toc123004018"/>
      <w:bookmarkStart w:id="212" w:name="_Toc131413110"/>
      <w:r>
        <w:rPr>
          <w:rStyle w:val="CharPartNo"/>
        </w:rPr>
        <w:t>Part VIII</w:t>
      </w:r>
      <w:r>
        <w:rPr>
          <w:rStyle w:val="CharDivNo"/>
        </w:rPr>
        <w:t> </w:t>
      </w:r>
      <w:r>
        <w:t>—</w:t>
      </w:r>
      <w:r>
        <w:rPr>
          <w:rStyle w:val="CharDivText"/>
        </w:rPr>
        <w:t> </w:t>
      </w:r>
      <w:r>
        <w:rPr>
          <w:rStyle w:val="CharPartText"/>
        </w:rPr>
        <w:t>Powers of attorney</w:t>
      </w:r>
      <w:bookmarkEnd w:id="210"/>
      <w:bookmarkEnd w:id="211"/>
      <w:bookmarkEnd w:id="212"/>
      <w:r>
        <w:rPr>
          <w:rStyle w:val="CharPartText"/>
        </w:rPr>
        <w:t xml:space="preserve"> </w:t>
      </w:r>
    </w:p>
    <w:p>
      <w:pPr>
        <w:pStyle w:val="Heading5"/>
        <w:rPr>
          <w:snapToGrid w:val="0"/>
        </w:rPr>
      </w:pPr>
      <w:bookmarkStart w:id="213" w:name="_Toc455284842"/>
      <w:bookmarkStart w:id="214" w:name="_Toc131413111"/>
      <w:r>
        <w:rPr>
          <w:rStyle w:val="CharSectno"/>
        </w:rPr>
        <w:t>84</w:t>
      </w:r>
      <w:r>
        <w:rPr>
          <w:snapToGrid w:val="0"/>
        </w:rPr>
        <w:t>.</w:t>
      </w:r>
      <w:r>
        <w:rPr>
          <w:snapToGrid w:val="0"/>
        </w:rPr>
        <w:tab/>
        <w:t>Execution by attorney in his own name</w:t>
      </w:r>
      <w:bookmarkEnd w:id="213"/>
      <w:bookmarkEnd w:id="214"/>
      <w:r>
        <w:rPr>
          <w:snapToGrid w:val="0"/>
        </w:rPr>
        <w:t xml:space="preserve"> </w:t>
      </w:r>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215" w:name="_Toc455284843"/>
      <w:bookmarkStart w:id="216" w:name="_Toc131413112"/>
      <w:r>
        <w:rPr>
          <w:rStyle w:val="CharSectno"/>
        </w:rPr>
        <w:t>85</w:t>
      </w:r>
      <w:r>
        <w:rPr>
          <w:snapToGrid w:val="0"/>
        </w:rPr>
        <w:t>.</w:t>
      </w:r>
      <w:r>
        <w:rPr>
          <w:snapToGrid w:val="0"/>
        </w:rPr>
        <w:tab/>
        <w:t>Continuance until notice of death or revocation received</w:t>
      </w:r>
      <w:bookmarkEnd w:id="215"/>
      <w:bookmarkEnd w:id="216"/>
      <w:r>
        <w:rPr>
          <w:snapToGrid w:val="0"/>
        </w:rPr>
        <w:t xml:space="preserve"> </w:t>
      </w:r>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217" w:name="_Toc455284844"/>
      <w:bookmarkStart w:id="218" w:name="_Toc131413113"/>
      <w:r>
        <w:rPr>
          <w:rStyle w:val="CharSectno"/>
        </w:rPr>
        <w:t>86</w:t>
      </w:r>
      <w:r>
        <w:rPr>
          <w:snapToGrid w:val="0"/>
        </w:rPr>
        <w:t>.</w:t>
      </w:r>
      <w:r>
        <w:rPr>
          <w:snapToGrid w:val="0"/>
        </w:rPr>
        <w:tab/>
        <w:t>Irrevocable power of attorney for value</w:t>
      </w:r>
      <w:bookmarkEnd w:id="217"/>
      <w:bookmarkEnd w:id="218"/>
      <w:r>
        <w:rPr>
          <w:snapToGrid w:val="0"/>
        </w:rPr>
        <w:t xml:space="preserve"> </w:t>
      </w:r>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19" w:name="_Toc455284845"/>
      <w:bookmarkStart w:id="220" w:name="_Toc131413114"/>
      <w:r>
        <w:rPr>
          <w:rStyle w:val="CharSectno"/>
        </w:rPr>
        <w:t>87</w:t>
      </w:r>
      <w:r>
        <w:rPr>
          <w:snapToGrid w:val="0"/>
        </w:rPr>
        <w:t>.</w:t>
      </w:r>
      <w:r>
        <w:rPr>
          <w:snapToGrid w:val="0"/>
        </w:rPr>
        <w:tab/>
        <w:t>Power of attorney made irrevocable for fixed time</w:t>
      </w:r>
      <w:bookmarkEnd w:id="219"/>
      <w:bookmarkEnd w:id="220"/>
      <w:r>
        <w:rPr>
          <w:snapToGrid w:val="0"/>
        </w:rPr>
        <w:t xml:space="preserve"> </w:t>
      </w:r>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21" w:name="_Toc455284846"/>
      <w:bookmarkStart w:id="222" w:name="_Toc131413115"/>
      <w:r>
        <w:rPr>
          <w:rStyle w:val="CharSectno"/>
        </w:rPr>
        <w:t>88</w:t>
      </w:r>
      <w:r>
        <w:rPr>
          <w:snapToGrid w:val="0"/>
        </w:rPr>
        <w:t>.</w:t>
      </w:r>
      <w:r>
        <w:rPr>
          <w:snapToGrid w:val="0"/>
        </w:rPr>
        <w:tab/>
        <w:t>Application to corporations</w:t>
      </w:r>
      <w:bookmarkEnd w:id="221"/>
      <w:bookmarkEnd w:id="222"/>
      <w:r>
        <w:rPr>
          <w:snapToGrid w:val="0"/>
        </w:rPr>
        <w:t xml:space="preserve"> </w:t>
      </w:r>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223" w:name="_Toc122773009"/>
      <w:bookmarkStart w:id="224" w:name="_Toc123004024"/>
      <w:bookmarkStart w:id="225" w:name="_Toc131413116"/>
      <w:r>
        <w:rPr>
          <w:rStyle w:val="CharPartNo"/>
        </w:rPr>
        <w:t>Part IX</w:t>
      </w:r>
      <w:r>
        <w:rPr>
          <w:rStyle w:val="CharDivNo"/>
        </w:rPr>
        <w:t> </w:t>
      </w:r>
      <w:r>
        <w:t>—</w:t>
      </w:r>
      <w:r>
        <w:rPr>
          <w:rStyle w:val="CharDivText"/>
        </w:rPr>
        <w:t> </w:t>
      </w:r>
      <w:r>
        <w:rPr>
          <w:rStyle w:val="CharPartText"/>
        </w:rPr>
        <w:t>Voidable dispositions</w:t>
      </w:r>
      <w:bookmarkEnd w:id="223"/>
      <w:bookmarkEnd w:id="224"/>
      <w:bookmarkEnd w:id="225"/>
      <w:r>
        <w:rPr>
          <w:rStyle w:val="CharPartText"/>
        </w:rPr>
        <w:t xml:space="preserve"> </w:t>
      </w:r>
    </w:p>
    <w:p>
      <w:pPr>
        <w:pStyle w:val="Heading5"/>
        <w:spacing w:before="180"/>
        <w:rPr>
          <w:snapToGrid w:val="0"/>
        </w:rPr>
      </w:pPr>
      <w:bookmarkStart w:id="226" w:name="_Toc455284847"/>
      <w:bookmarkStart w:id="227" w:name="_Toc131413117"/>
      <w:r>
        <w:rPr>
          <w:rStyle w:val="CharSectno"/>
        </w:rPr>
        <w:t>89</w:t>
      </w:r>
      <w:r>
        <w:rPr>
          <w:snapToGrid w:val="0"/>
        </w:rPr>
        <w:t>.</w:t>
      </w:r>
      <w:r>
        <w:rPr>
          <w:snapToGrid w:val="0"/>
        </w:rPr>
        <w:tab/>
        <w:t>Voluntary conveyances to defraud creditors voidable</w:t>
      </w:r>
      <w:bookmarkEnd w:id="226"/>
      <w:bookmarkEnd w:id="227"/>
      <w:r>
        <w:rPr>
          <w:snapToGrid w:val="0"/>
        </w:rPr>
        <w:t xml:space="preserve"> </w:t>
      </w:r>
    </w:p>
    <w:p>
      <w:pPr>
        <w:pStyle w:val="Subsection"/>
        <w:spacing w:before="120"/>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spacing w:before="120"/>
        <w:rPr>
          <w:snapToGrid w:val="0"/>
        </w:rPr>
      </w:pPr>
      <w:r>
        <w:rPr>
          <w:snapToGrid w:val="0"/>
        </w:rPr>
        <w:tab/>
        <w:t>(2)</w:t>
      </w:r>
      <w:r>
        <w:rPr>
          <w:snapToGrid w:val="0"/>
        </w:rPr>
        <w:tab/>
        <w:t>This section does not affect the law of bankruptcy for the time being in force.</w:t>
      </w:r>
    </w:p>
    <w:p>
      <w:pPr>
        <w:pStyle w:val="Subsection"/>
        <w:spacing w:before="120"/>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spacing w:before="180"/>
        <w:rPr>
          <w:snapToGrid w:val="0"/>
        </w:rPr>
      </w:pPr>
      <w:bookmarkStart w:id="228" w:name="_Toc455284848"/>
      <w:bookmarkStart w:id="229" w:name="_Toc131413118"/>
      <w:r>
        <w:rPr>
          <w:rStyle w:val="CharSectno"/>
        </w:rPr>
        <w:t>90</w:t>
      </w:r>
      <w:r>
        <w:rPr>
          <w:snapToGrid w:val="0"/>
        </w:rPr>
        <w:t>.</w:t>
      </w:r>
      <w:r>
        <w:rPr>
          <w:snapToGrid w:val="0"/>
        </w:rPr>
        <w:tab/>
        <w:t>Voluntary disposition to defraud purchasers voidable</w:t>
      </w:r>
      <w:bookmarkEnd w:id="228"/>
      <w:bookmarkEnd w:id="229"/>
      <w:r>
        <w:rPr>
          <w:snapToGrid w:val="0"/>
        </w:rPr>
        <w:t xml:space="preserve"> </w:t>
      </w:r>
    </w:p>
    <w:p>
      <w:pPr>
        <w:pStyle w:val="Subsection"/>
        <w:spacing w:before="120" w:line="240" w:lineRule="auto"/>
        <w:rPr>
          <w:snapToGrid w:val="0"/>
          <w:spacing w:val="-4"/>
        </w:rPr>
      </w:pPr>
      <w:r>
        <w:rPr>
          <w:snapToGrid w:val="0"/>
          <w:spacing w:val="-4"/>
        </w:rPr>
        <w:tab/>
      </w:r>
      <w:r>
        <w:rPr>
          <w:snapToGrid w:val="0"/>
          <w:spacing w:val="-4"/>
        </w:rPr>
        <w:tab/>
        <w:t>Every voluntary disposition of land made with intent to defraud a subsequent purchaser is voidable at the instance of that purchaser.</w:t>
      </w:r>
    </w:p>
    <w:p>
      <w:pPr>
        <w:pStyle w:val="Heading5"/>
        <w:spacing w:before="180"/>
        <w:rPr>
          <w:snapToGrid w:val="0"/>
          <w:spacing w:val="-4"/>
        </w:rPr>
      </w:pPr>
      <w:bookmarkStart w:id="230" w:name="_Toc455284849"/>
      <w:bookmarkStart w:id="231" w:name="_Toc131413119"/>
      <w:r>
        <w:rPr>
          <w:rStyle w:val="CharSectno"/>
          <w:spacing w:val="-4"/>
        </w:rPr>
        <w:t>91</w:t>
      </w:r>
      <w:r>
        <w:rPr>
          <w:snapToGrid w:val="0"/>
          <w:spacing w:val="-4"/>
        </w:rPr>
        <w:t>.</w:t>
      </w:r>
      <w:r>
        <w:rPr>
          <w:snapToGrid w:val="0"/>
          <w:spacing w:val="-4"/>
        </w:rPr>
        <w:tab/>
        <w:t>Subsequent conveyance not to be evidence of intent to defraud</w:t>
      </w:r>
      <w:bookmarkEnd w:id="230"/>
      <w:bookmarkEnd w:id="231"/>
      <w:r>
        <w:rPr>
          <w:snapToGrid w:val="0"/>
          <w:spacing w:val="-4"/>
        </w:rPr>
        <w:t xml:space="preserve"> </w:t>
      </w:r>
    </w:p>
    <w:p>
      <w:pPr>
        <w:pStyle w:val="Subsection"/>
        <w:spacing w:before="12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spacing w:before="180"/>
        <w:rPr>
          <w:snapToGrid w:val="0"/>
        </w:rPr>
      </w:pPr>
      <w:bookmarkStart w:id="232" w:name="_Toc455284850"/>
      <w:bookmarkStart w:id="233" w:name="_Toc131413120"/>
      <w:r>
        <w:rPr>
          <w:rStyle w:val="CharSectno"/>
        </w:rPr>
        <w:t>92</w:t>
      </w:r>
      <w:r>
        <w:rPr>
          <w:snapToGrid w:val="0"/>
        </w:rPr>
        <w:t>.</w:t>
      </w:r>
      <w:r>
        <w:rPr>
          <w:snapToGrid w:val="0"/>
        </w:rPr>
        <w:tab/>
        <w:t>Acquisitions of reversions at an under value</w:t>
      </w:r>
      <w:bookmarkEnd w:id="232"/>
      <w:bookmarkEnd w:id="233"/>
      <w:r>
        <w:rPr>
          <w:snapToGrid w:val="0"/>
        </w:rPr>
        <w:t xml:space="preserve"> </w:t>
      </w:r>
    </w:p>
    <w:p>
      <w:pPr>
        <w:pStyle w:val="Subsection"/>
        <w:spacing w:before="12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spacing w:before="120"/>
        <w:rPr>
          <w:snapToGrid w:val="0"/>
        </w:rPr>
      </w:pPr>
      <w:r>
        <w:rPr>
          <w:snapToGrid w:val="0"/>
        </w:rPr>
        <w:tab/>
        <w:t>(2)</w:t>
      </w:r>
      <w:r>
        <w:rPr>
          <w:snapToGrid w:val="0"/>
        </w:rPr>
        <w:tab/>
        <w:t>In this section “</w:t>
      </w:r>
      <w:r>
        <w:rPr>
          <w:rStyle w:val="CharDefText"/>
        </w:rPr>
        <w:t>reversionary interest</w:t>
      </w:r>
      <w:r>
        <w:rPr>
          <w:snapToGrid w:val="0"/>
        </w:rPr>
        <w:t>” includes an expectancy or possibility.</w:t>
      </w:r>
    </w:p>
    <w:p>
      <w:pPr>
        <w:pStyle w:val="Subsection"/>
        <w:spacing w:before="12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234" w:name="_Toc122773014"/>
      <w:bookmarkStart w:id="235" w:name="_Toc123004029"/>
      <w:bookmarkStart w:id="236" w:name="_Toc131413121"/>
      <w:r>
        <w:rPr>
          <w:rStyle w:val="CharPartNo"/>
        </w:rPr>
        <w:t>Part X</w:t>
      </w:r>
      <w:r>
        <w:rPr>
          <w:rStyle w:val="CharDivNo"/>
        </w:rPr>
        <w:t> </w:t>
      </w:r>
      <w:r>
        <w:t>—</w:t>
      </w:r>
      <w:r>
        <w:rPr>
          <w:rStyle w:val="CharDivText"/>
        </w:rPr>
        <w:t> </w:t>
      </w:r>
      <w:r>
        <w:rPr>
          <w:rStyle w:val="CharPartText"/>
        </w:rPr>
        <w:t>Powers of appointment</w:t>
      </w:r>
      <w:bookmarkEnd w:id="234"/>
      <w:bookmarkEnd w:id="235"/>
      <w:bookmarkEnd w:id="236"/>
      <w:r>
        <w:rPr>
          <w:rStyle w:val="CharPartText"/>
        </w:rPr>
        <w:t xml:space="preserve"> </w:t>
      </w:r>
    </w:p>
    <w:p>
      <w:pPr>
        <w:pStyle w:val="Heading5"/>
        <w:spacing w:before="180"/>
        <w:rPr>
          <w:snapToGrid w:val="0"/>
        </w:rPr>
      </w:pPr>
      <w:bookmarkStart w:id="237" w:name="_Toc455284851"/>
      <w:bookmarkStart w:id="238" w:name="_Toc131413122"/>
      <w:r>
        <w:rPr>
          <w:rStyle w:val="CharSectno"/>
        </w:rPr>
        <w:t>93</w:t>
      </w:r>
      <w:r>
        <w:rPr>
          <w:snapToGrid w:val="0"/>
        </w:rPr>
        <w:t>.</w:t>
      </w:r>
      <w:r>
        <w:rPr>
          <w:snapToGrid w:val="0"/>
        </w:rPr>
        <w:tab/>
        <w:t>Disclaimer, etc., of powers</w:t>
      </w:r>
      <w:bookmarkEnd w:id="237"/>
      <w:bookmarkEnd w:id="238"/>
      <w:r>
        <w:rPr>
          <w:snapToGrid w:val="0"/>
        </w:rPr>
        <w:t xml:space="preserve"> </w:t>
      </w:r>
    </w:p>
    <w:p>
      <w:pPr>
        <w:pStyle w:val="Subsection"/>
        <w:spacing w:before="120"/>
        <w:rPr>
          <w:snapToGrid w:val="0"/>
          <w:spacing w:val="-4"/>
        </w:rPr>
      </w:pPr>
      <w:r>
        <w:rPr>
          <w:snapToGrid w:val="0"/>
          <w:spacing w:val="-4"/>
        </w:rPr>
        <w:tab/>
      </w:r>
      <w:r>
        <w:rPr>
          <w:snapToGrid w:val="0"/>
          <w:spacing w:val="-4"/>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spacing w:before="180"/>
        <w:rPr>
          <w:snapToGrid w:val="0"/>
        </w:rPr>
      </w:pPr>
      <w:bookmarkStart w:id="239" w:name="_Toc455284852"/>
      <w:bookmarkStart w:id="240" w:name="_Toc131413123"/>
      <w:r>
        <w:rPr>
          <w:rStyle w:val="CharSectno"/>
        </w:rPr>
        <w:t>94</w:t>
      </w:r>
      <w:r>
        <w:rPr>
          <w:snapToGrid w:val="0"/>
        </w:rPr>
        <w:t>.</w:t>
      </w:r>
      <w:r>
        <w:rPr>
          <w:snapToGrid w:val="0"/>
        </w:rPr>
        <w:tab/>
        <w:t>Effect of disclaimer, etc.</w:t>
      </w:r>
      <w:bookmarkEnd w:id="239"/>
      <w:bookmarkEnd w:id="240"/>
      <w:r>
        <w:rPr>
          <w:snapToGrid w:val="0"/>
        </w:rPr>
        <w:t xml:space="preserve"> </w:t>
      </w:r>
    </w:p>
    <w:p>
      <w:pPr>
        <w:pStyle w:val="Subsection"/>
        <w:spacing w:before="120"/>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spacing w:before="180"/>
        <w:rPr>
          <w:snapToGrid w:val="0"/>
        </w:rPr>
      </w:pPr>
      <w:bookmarkStart w:id="241" w:name="_Toc455284853"/>
      <w:bookmarkStart w:id="242" w:name="_Toc131413124"/>
      <w:r>
        <w:rPr>
          <w:rStyle w:val="CharSectno"/>
        </w:rPr>
        <w:t>95</w:t>
      </w:r>
      <w:r>
        <w:rPr>
          <w:snapToGrid w:val="0"/>
        </w:rPr>
        <w:t>.</w:t>
      </w:r>
      <w:r>
        <w:rPr>
          <w:snapToGrid w:val="0"/>
        </w:rPr>
        <w:tab/>
        <w:t>Protection of purchasers claiming under certain void appointments</w:t>
      </w:r>
      <w:bookmarkEnd w:id="241"/>
      <w:bookmarkEnd w:id="242"/>
      <w:r>
        <w:rPr>
          <w:snapToGrid w:val="0"/>
        </w:rPr>
        <w:t xml:space="preserve"> </w:t>
      </w:r>
    </w:p>
    <w:p>
      <w:pPr>
        <w:pStyle w:val="Subsection"/>
        <w:spacing w:before="120"/>
        <w:rPr>
          <w:snapToGrid w:val="0"/>
          <w:spacing w:val="-4"/>
        </w:rPr>
      </w:pPr>
      <w:r>
        <w:rPr>
          <w:snapToGrid w:val="0"/>
          <w:spacing w:val="-4"/>
        </w:rPr>
        <w:tab/>
        <w:t>(1)</w:t>
      </w:r>
      <w:r>
        <w:rPr>
          <w:snapToGrid w:val="0"/>
          <w:spacing w:val="-4"/>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spacing w:before="120"/>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a purchaser in good faith</w:t>
      </w:r>
      <w:r>
        <w:rPr>
          <w:b/>
          <w:snapToGrid w:val="0"/>
        </w:rPr>
        <w:t>”</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243" w:name="_Toc455284854"/>
      <w:bookmarkStart w:id="244" w:name="_Toc131413125"/>
      <w:r>
        <w:rPr>
          <w:rStyle w:val="CharSectno"/>
        </w:rPr>
        <w:t>96</w:t>
      </w:r>
      <w:r>
        <w:rPr>
          <w:snapToGrid w:val="0"/>
        </w:rPr>
        <w:t>.</w:t>
      </w:r>
      <w:r>
        <w:rPr>
          <w:snapToGrid w:val="0"/>
        </w:rPr>
        <w:tab/>
        <w:t>Validation of appointments where objects are excluded or take illusory shares</w:t>
      </w:r>
      <w:bookmarkEnd w:id="243"/>
      <w:bookmarkEnd w:id="244"/>
      <w:r>
        <w:rPr>
          <w:snapToGrid w:val="0"/>
        </w:rPr>
        <w:t xml:space="preserve"> </w:t>
      </w:r>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245" w:name="_Toc455284855"/>
      <w:bookmarkStart w:id="246" w:name="_Toc131413126"/>
      <w:r>
        <w:rPr>
          <w:rStyle w:val="CharSectno"/>
        </w:rPr>
        <w:t>97</w:t>
      </w:r>
      <w:r>
        <w:rPr>
          <w:snapToGrid w:val="0"/>
        </w:rPr>
        <w:t>.</w:t>
      </w:r>
      <w:r>
        <w:rPr>
          <w:snapToGrid w:val="0"/>
        </w:rPr>
        <w:tab/>
        <w:t>Execution of powers not testamentary</w:t>
      </w:r>
      <w:bookmarkEnd w:id="245"/>
      <w:bookmarkEnd w:id="246"/>
      <w:r>
        <w:rPr>
          <w:snapToGrid w:val="0"/>
        </w:rPr>
        <w:t xml:space="preserve"> </w:t>
      </w:r>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247" w:name="_Toc455284856"/>
      <w:bookmarkStart w:id="248" w:name="_Toc131413127"/>
      <w:r>
        <w:rPr>
          <w:rStyle w:val="CharSectno"/>
        </w:rPr>
        <w:t>98</w:t>
      </w:r>
      <w:r>
        <w:rPr>
          <w:snapToGrid w:val="0"/>
        </w:rPr>
        <w:t>.</w:t>
      </w:r>
      <w:r>
        <w:rPr>
          <w:snapToGrid w:val="0"/>
        </w:rPr>
        <w:tab/>
        <w:t>Application of this Part to existing powers</w:t>
      </w:r>
      <w:bookmarkEnd w:id="247"/>
      <w:bookmarkEnd w:id="248"/>
      <w:r>
        <w:rPr>
          <w:snapToGrid w:val="0"/>
        </w:rPr>
        <w:t xml:space="preserve"> </w:t>
      </w:r>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249" w:name="_Toc122773021"/>
      <w:bookmarkStart w:id="250" w:name="_Toc123004036"/>
      <w:bookmarkStart w:id="251" w:name="_Toc131413128"/>
      <w:r>
        <w:rPr>
          <w:rStyle w:val="CharPartNo"/>
        </w:rPr>
        <w:t>Part XI</w:t>
      </w:r>
      <w:r>
        <w:rPr>
          <w:rStyle w:val="CharDivNo"/>
        </w:rPr>
        <w:t> </w:t>
      </w:r>
      <w:r>
        <w:t>—</w:t>
      </w:r>
      <w:r>
        <w:rPr>
          <w:rStyle w:val="CharDivText"/>
        </w:rPr>
        <w:t> </w:t>
      </w:r>
      <w:r>
        <w:rPr>
          <w:rStyle w:val="CharPartText"/>
        </w:rPr>
        <w:t>Perpetuities and accumulations</w:t>
      </w:r>
      <w:bookmarkEnd w:id="249"/>
      <w:bookmarkEnd w:id="250"/>
      <w:bookmarkEnd w:id="251"/>
      <w:r>
        <w:rPr>
          <w:rStyle w:val="CharPartText"/>
        </w:rPr>
        <w:t xml:space="preserve"> </w:t>
      </w:r>
    </w:p>
    <w:p>
      <w:pPr>
        <w:pStyle w:val="Heading5"/>
        <w:spacing w:before="180"/>
        <w:rPr>
          <w:snapToGrid w:val="0"/>
        </w:rPr>
      </w:pPr>
      <w:bookmarkStart w:id="252" w:name="_Toc455284857"/>
      <w:bookmarkStart w:id="253" w:name="_Toc131413129"/>
      <w:r>
        <w:rPr>
          <w:rStyle w:val="CharSectno"/>
        </w:rPr>
        <w:t>99</w:t>
      </w:r>
      <w:r>
        <w:rPr>
          <w:snapToGrid w:val="0"/>
        </w:rPr>
        <w:t>.</w:t>
      </w:r>
      <w:r>
        <w:rPr>
          <w:snapToGrid w:val="0"/>
        </w:rPr>
        <w:tab/>
        <w:t>Application</w:t>
      </w:r>
      <w:bookmarkEnd w:id="252"/>
      <w:bookmarkEnd w:id="253"/>
      <w:r>
        <w:rPr>
          <w:snapToGrid w:val="0"/>
        </w:rPr>
        <w:t xml:space="preserve"> </w:t>
      </w:r>
    </w:p>
    <w:p>
      <w:pPr>
        <w:pStyle w:val="Subsection"/>
        <w:spacing w:before="120"/>
        <w:rPr>
          <w:snapToGrid w:val="0"/>
        </w:rPr>
      </w:pPr>
      <w:r>
        <w:rPr>
          <w:snapToGrid w:val="0"/>
        </w:rPr>
        <w:tab/>
        <w:t>(1)</w:t>
      </w:r>
      <w:r>
        <w:rPr>
          <w:snapToGrid w:val="0"/>
        </w:rPr>
        <w:tab/>
        <w:t>Except where otherwise expressly provided in this Part, this Part —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spacing w:before="120"/>
        <w:rPr>
          <w:snapToGrid w:val="0"/>
        </w:rPr>
      </w:pPr>
      <w:r>
        <w:rPr>
          <w:snapToGrid w:val="0"/>
        </w:rPr>
        <w:tab/>
        <w:t>(2)</w:t>
      </w:r>
      <w:r>
        <w:rPr>
          <w:snapToGrid w:val="0"/>
        </w:rPr>
        <w:tab/>
        <w:t>This Part binds the Crown.</w:t>
      </w:r>
    </w:p>
    <w:p>
      <w:pPr>
        <w:pStyle w:val="Heading5"/>
        <w:spacing w:before="180"/>
        <w:rPr>
          <w:snapToGrid w:val="0"/>
        </w:rPr>
      </w:pPr>
      <w:bookmarkStart w:id="254" w:name="_Toc455284858"/>
      <w:bookmarkStart w:id="255" w:name="_Toc131413130"/>
      <w:r>
        <w:rPr>
          <w:rStyle w:val="CharSectno"/>
        </w:rPr>
        <w:t>100</w:t>
      </w:r>
      <w:r>
        <w:rPr>
          <w:snapToGrid w:val="0"/>
        </w:rPr>
        <w:t>.</w:t>
      </w:r>
      <w:r>
        <w:rPr>
          <w:snapToGrid w:val="0"/>
        </w:rPr>
        <w:tab/>
        <w:t>Interpretation</w:t>
      </w:r>
      <w:bookmarkEnd w:id="254"/>
      <w:bookmarkEnd w:id="255"/>
      <w:r>
        <w:rPr>
          <w:snapToGrid w:val="0"/>
        </w:rPr>
        <w:t xml:space="preserve"> </w:t>
      </w:r>
    </w:p>
    <w:p>
      <w:pPr>
        <w:pStyle w:val="Subsection"/>
        <w:spacing w:before="120"/>
        <w:rPr>
          <w:snapToGrid w:val="0"/>
        </w:rPr>
      </w:pPr>
      <w:r>
        <w:rPr>
          <w:snapToGrid w:val="0"/>
        </w:rPr>
        <w:tab/>
      </w:r>
      <w:r>
        <w:rPr>
          <w:snapToGrid w:val="0"/>
        </w:rPr>
        <w:tab/>
        <w:t>In this Part, unless the context otherwise requires — </w:t>
      </w:r>
    </w:p>
    <w:p>
      <w:pPr>
        <w:pStyle w:val="Defstart"/>
        <w:spacing w:before="60"/>
      </w:pPr>
      <w:r>
        <w:rPr>
          <w:b/>
        </w:rPr>
        <w:tab/>
        <w:t>“</w:t>
      </w:r>
      <w:r>
        <w:rPr>
          <w:rStyle w:val="CharDefText"/>
        </w:rPr>
        <w:t>Court</w:t>
      </w:r>
      <w:r>
        <w:rPr>
          <w:b/>
        </w:rPr>
        <w:t>”</w:t>
      </w:r>
      <w:r>
        <w:t xml:space="preserve"> means the Supreme Court or a judge;</w:t>
      </w:r>
    </w:p>
    <w:p>
      <w:pPr>
        <w:pStyle w:val="Defstart"/>
        <w:spacing w:before="60"/>
      </w:pPr>
      <w:r>
        <w:rPr>
          <w:b/>
        </w:rPr>
        <w:tab/>
        <w:t>“</w:t>
      </w:r>
      <w:r>
        <w:rPr>
          <w:rStyle w:val="CharDefText"/>
        </w:rPr>
        <w:t>decision of the Court</w:t>
      </w:r>
      <w:r>
        <w:rPr>
          <w:b/>
        </w:rPr>
        <w:t>”</w:t>
      </w:r>
      <w:r>
        <w:t xml:space="preserve"> includes the decision of a court hearing an appeal from the Court;</w:t>
      </w:r>
    </w:p>
    <w:p>
      <w:pPr>
        <w:pStyle w:val="Defstart"/>
        <w:spacing w:before="60"/>
      </w:pPr>
      <w:r>
        <w:rPr>
          <w:b/>
        </w:rPr>
        <w:tab/>
        <w:t>“</w:t>
      </w:r>
      <w:r>
        <w:rPr>
          <w:rStyle w:val="CharDefText"/>
        </w:rPr>
        <w:t>instrument</w:t>
      </w:r>
      <w:r>
        <w:rPr>
          <w:b/>
        </w:rPr>
        <w: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t>“</w:t>
      </w:r>
      <w:r>
        <w:rPr>
          <w:rStyle w:val="CharDefText"/>
        </w:rPr>
        <w:t>limitation</w:t>
      </w:r>
      <w:r>
        <w:rPr>
          <w:b/>
        </w:rPr>
        <w:t>”</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t>“</w:t>
      </w:r>
      <w:r>
        <w:rPr>
          <w:rStyle w:val="CharDefText"/>
        </w:rPr>
        <w:t>property</w:t>
      </w:r>
      <w:r>
        <w:rPr>
          <w:b/>
        </w:rPr>
        <w:t>”</w:t>
      </w:r>
      <w:r>
        <w:t xml:space="preserve"> includes any thing in action, and any interest in real or personal property;</w:t>
      </w:r>
    </w:p>
    <w:p>
      <w:pPr>
        <w:pStyle w:val="Defstart"/>
        <w:spacing w:before="60"/>
      </w:pPr>
      <w:r>
        <w:rPr>
          <w:b/>
        </w:rPr>
        <w:tab/>
        <w:t>“</w:t>
      </w:r>
      <w:r>
        <w:rPr>
          <w:rStyle w:val="CharDefText"/>
        </w:rPr>
        <w:t>trust</w:t>
      </w:r>
      <w:r>
        <w:rPr>
          <w:b/>
        </w:rPr>
        <w:t>”</w:t>
      </w:r>
      <w:r>
        <w:t xml:space="preserve"> and </w:t>
      </w:r>
      <w:r>
        <w:rPr>
          <w:b/>
        </w:rPr>
        <w:t>“</w:t>
      </w:r>
      <w:r>
        <w:rPr>
          <w:rStyle w:val="CharDefText"/>
        </w:rPr>
        <w:t>trustee</w:t>
      </w:r>
      <w:r>
        <w:rPr>
          <w:b/>
        </w:rPr>
        <w:t>”</w:t>
      </w:r>
      <w:r>
        <w:t xml:space="preserve"> have the same meaning as in the </w:t>
      </w:r>
      <w:r>
        <w:rPr>
          <w:i/>
        </w:rPr>
        <w:t>Trustees Act 1962</w:t>
      </w:r>
      <w:r>
        <w:t>;</w:t>
      </w:r>
    </w:p>
    <w:p>
      <w:pPr>
        <w:pStyle w:val="Defstart"/>
        <w:spacing w:before="60"/>
      </w:pPr>
      <w:r>
        <w:rPr>
          <w:b/>
        </w:rPr>
        <w:tab/>
        <w:t>“</w:t>
      </w:r>
      <w:r>
        <w:rPr>
          <w:rStyle w:val="CharDefText"/>
        </w:rPr>
        <w:t>will</w:t>
      </w:r>
      <w:r>
        <w:rPr>
          <w:b/>
        </w:rPr>
        <w:t>”</w:t>
      </w:r>
      <w:r>
        <w:t xml:space="preserve"> includes a codicil.</w:t>
      </w:r>
    </w:p>
    <w:p>
      <w:pPr>
        <w:pStyle w:val="Heading5"/>
        <w:spacing w:before="180"/>
        <w:rPr>
          <w:snapToGrid w:val="0"/>
        </w:rPr>
      </w:pPr>
      <w:bookmarkStart w:id="256" w:name="_Toc455284859"/>
      <w:bookmarkStart w:id="257" w:name="_Toc131413131"/>
      <w:r>
        <w:rPr>
          <w:rStyle w:val="CharSectno"/>
        </w:rPr>
        <w:t>101</w:t>
      </w:r>
      <w:r>
        <w:rPr>
          <w:snapToGrid w:val="0"/>
        </w:rPr>
        <w:t>.</w:t>
      </w:r>
      <w:r>
        <w:rPr>
          <w:snapToGrid w:val="0"/>
        </w:rPr>
        <w:tab/>
        <w:t>The perpetuity period</w:t>
      </w:r>
      <w:bookmarkEnd w:id="256"/>
      <w:bookmarkEnd w:id="257"/>
      <w:r>
        <w:rPr>
          <w:snapToGrid w:val="0"/>
        </w:rPr>
        <w:t xml:space="preserve"> </w:t>
      </w:r>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spacing w:before="180"/>
        <w:rPr>
          <w:snapToGrid w:val="0"/>
        </w:rPr>
      </w:pPr>
      <w:bookmarkStart w:id="258" w:name="_Toc455284860"/>
      <w:bookmarkStart w:id="259" w:name="_Toc131413132"/>
      <w:r>
        <w:rPr>
          <w:rStyle w:val="CharSectno"/>
        </w:rPr>
        <w:t>102</w:t>
      </w:r>
      <w:r>
        <w:rPr>
          <w:snapToGrid w:val="0"/>
        </w:rPr>
        <w:t>.</w:t>
      </w:r>
      <w:r>
        <w:rPr>
          <w:snapToGrid w:val="0"/>
        </w:rPr>
        <w:tab/>
        <w:t>Capacity to procreate or bear a child</w:t>
      </w:r>
      <w:bookmarkEnd w:id="258"/>
      <w:bookmarkEnd w:id="259"/>
      <w:r>
        <w:rPr>
          <w:snapToGrid w:val="0"/>
        </w:rPr>
        <w:t xml:space="preserve"> </w:t>
      </w:r>
    </w:p>
    <w:p>
      <w:pPr>
        <w:pStyle w:val="Subsection"/>
        <w:spacing w:before="120"/>
        <w:rPr>
          <w:snapToGrid w:val="0"/>
          <w:spacing w:val="4"/>
        </w:rPr>
      </w:pPr>
      <w:r>
        <w:rPr>
          <w:snapToGrid w:val="0"/>
          <w:spacing w:val="4"/>
        </w:rPr>
        <w:tab/>
        <w:t>(1)</w:t>
      </w:r>
      <w:r>
        <w:rPr>
          <w:snapToGrid w:val="0"/>
          <w:spacing w:val="4"/>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rPr>
          <w:snapToGrid w:val="0"/>
          <w:spacing w:val="-4"/>
        </w:rPr>
      </w:pPr>
      <w:r>
        <w:rPr>
          <w:snapToGrid w:val="0"/>
          <w:spacing w:val="-4"/>
        </w:rPr>
        <w:tab/>
        <w:t>(3)</w:t>
      </w:r>
      <w:r>
        <w:rPr>
          <w:snapToGrid w:val="0"/>
          <w:spacing w:val="-4"/>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spacing w:val="-4"/>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 xml:space="preserve">[Section 102 amended by No. 25 of 1972 s.3; No. 28 of 2003 s. 161.] </w:t>
      </w:r>
    </w:p>
    <w:p>
      <w:pPr>
        <w:pStyle w:val="Heading5"/>
        <w:rPr>
          <w:snapToGrid w:val="0"/>
        </w:rPr>
      </w:pPr>
      <w:bookmarkStart w:id="260" w:name="_Toc455284861"/>
      <w:bookmarkStart w:id="261" w:name="_Toc131413133"/>
      <w:r>
        <w:rPr>
          <w:rStyle w:val="CharSectno"/>
        </w:rPr>
        <w:t>103</w:t>
      </w:r>
      <w:r>
        <w:rPr>
          <w:snapToGrid w:val="0"/>
        </w:rPr>
        <w:t>.</w:t>
      </w:r>
      <w:r>
        <w:rPr>
          <w:snapToGrid w:val="0"/>
        </w:rPr>
        <w:tab/>
        <w:t>Wait and see rule</w:t>
      </w:r>
      <w:bookmarkEnd w:id="260"/>
      <w:bookmarkEnd w:id="261"/>
      <w:r>
        <w:rPr>
          <w:snapToGrid w:val="0"/>
        </w:rPr>
        <w:t xml:space="preserve"> </w:t>
      </w:r>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spacing w:before="120"/>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spacing w:before="180"/>
        <w:rPr>
          <w:snapToGrid w:val="0"/>
          <w:spacing w:val="-4"/>
        </w:rPr>
      </w:pPr>
      <w:bookmarkStart w:id="262" w:name="_Toc455284862"/>
      <w:bookmarkStart w:id="263" w:name="_Toc131413134"/>
      <w:r>
        <w:rPr>
          <w:rStyle w:val="CharSectno"/>
          <w:spacing w:val="-4"/>
        </w:rPr>
        <w:t>104</w:t>
      </w:r>
      <w:r>
        <w:rPr>
          <w:snapToGrid w:val="0"/>
          <w:spacing w:val="-4"/>
        </w:rPr>
        <w:t>.</w:t>
      </w:r>
      <w:r>
        <w:rPr>
          <w:snapToGrid w:val="0"/>
          <w:spacing w:val="-4"/>
        </w:rPr>
        <w:tab/>
        <w:t>Power of Court to make declaration as to validity of limitations</w:t>
      </w:r>
      <w:bookmarkEnd w:id="262"/>
      <w:bookmarkEnd w:id="263"/>
      <w:r>
        <w:rPr>
          <w:snapToGrid w:val="0"/>
          <w:spacing w:val="-4"/>
        </w:rPr>
        <w:t xml:space="preserve"> </w:t>
      </w:r>
    </w:p>
    <w:p>
      <w:pPr>
        <w:pStyle w:val="Subsection"/>
        <w:spacing w:before="120"/>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spacing w:before="120"/>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spacing w:before="180"/>
        <w:rPr>
          <w:snapToGrid w:val="0"/>
        </w:rPr>
      </w:pPr>
      <w:bookmarkStart w:id="264" w:name="_Toc455284863"/>
      <w:bookmarkStart w:id="265" w:name="_Toc131413135"/>
      <w:r>
        <w:rPr>
          <w:rStyle w:val="CharSectno"/>
        </w:rPr>
        <w:t>105</w:t>
      </w:r>
      <w:r>
        <w:rPr>
          <w:snapToGrid w:val="0"/>
        </w:rPr>
        <w:t>.</w:t>
      </w:r>
      <w:r>
        <w:rPr>
          <w:snapToGrid w:val="0"/>
        </w:rPr>
        <w:tab/>
        <w:t>Invalid age contingencies</w:t>
      </w:r>
      <w:bookmarkEnd w:id="264"/>
      <w:bookmarkEnd w:id="265"/>
      <w:r>
        <w:rPr>
          <w:snapToGrid w:val="0"/>
        </w:rPr>
        <w:t xml:space="preserve"> </w:t>
      </w:r>
    </w:p>
    <w:p>
      <w:pPr>
        <w:pStyle w:val="Subsection"/>
        <w:spacing w:before="120"/>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spacing w:before="120"/>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266" w:name="_Toc455284864"/>
      <w:bookmarkStart w:id="267" w:name="_Toc131413136"/>
      <w:r>
        <w:rPr>
          <w:rStyle w:val="CharSectno"/>
        </w:rPr>
        <w:t>106</w:t>
      </w:r>
      <w:r>
        <w:rPr>
          <w:snapToGrid w:val="0"/>
        </w:rPr>
        <w:t>.</w:t>
      </w:r>
      <w:r>
        <w:rPr>
          <w:snapToGrid w:val="0"/>
        </w:rPr>
        <w:tab/>
        <w:t>Class gifts</w:t>
      </w:r>
      <w:bookmarkEnd w:id="266"/>
      <w:bookmarkEnd w:id="267"/>
      <w:r>
        <w:rPr>
          <w:snapToGrid w:val="0"/>
        </w:rPr>
        <w:t xml:space="preserve"> </w:t>
      </w:r>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268" w:name="_Toc455284865"/>
      <w:bookmarkStart w:id="269" w:name="_Toc131413137"/>
      <w:r>
        <w:rPr>
          <w:rStyle w:val="CharSectno"/>
        </w:rPr>
        <w:t>107</w:t>
      </w:r>
      <w:r>
        <w:rPr>
          <w:snapToGrid w:val="0"/>
        </w:rPr>
        <w:t>.</w:t>
      </w:r>
      <w:r>
        <w:rPr>
          <w:snapToGrid w:val="0"/>
        </w:rPr>
        <w:tab/>
        <w:t>Order of applying rules</w:t>
      </w:r>
      <w:bookmarkEnd w:id="268"/>
      <w:bookmarkEnd w:id="269"/>
      <w:r>
        <w:rPr>
          <w:snapToGrid w:val="0"/>
        </w:rPr>
        <w:t xml:space="preserve"> </w:t>
      </w:r>
    </w:p>
    <w:p>
      <w:pPr>
        <w:pStyle w:val="Subsection"/>
        <w:rPr>
          <w:snapToGrid w:val="0"/>
        </w:rPr>
      </w:pPr>
      <w:r>
        <w:rPr>
          <w:snapToGrid w:val="0"/>
        </w:rPr>
        <w:tab/>
        <w:t>(1)</w:t>
      </w:r>
      <w:r>
        <w:rPr>
          <w:snapToGrid w:val="0"/>
        </w:rPr>
        <w:tab/>
        <w:t>The provisions of section 105 shall not be applied —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270" w:name="_Toc455284866"/>
      <w:bookmarkStart w:id="271" w:name="_Toc131413138"/>
      <w:r>
        <w:rPr>
          <w:rStyle w:val="CharSectno"/>
        </w:rPr>
        <w:t>108</w:t>
      </w:r>
      <w:r>
        <w:rPr>
          <w:snapToGrid w:val="0"/>
        </w:rPr>
        <w:t>.</w:t>
      </w:r>
      <w:r>
        <w:rPr>
          <w:snapToGrid w:val="0"/>
        </w:rPr>
        <w:tab/>
        <w:t>Unborn spouses</w:t>
      </w:r>
      <w:bookmarkEnd w:id="270"/>
      <w:bookmarkEnd w:id="271"/>
      <w:r>
        <w:rPr>
          <w:snapToGrid w:val="0"/>
        </w:rPr>
        <w:t xml:space="preserve"> </w:t>
      </w:r>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272" w:name="_Toc455284867"/>
      <w:r>
        <w:tab/>
        <w:t>(2)</w:t>
      </w:r>
      <w:r>
        <w:tab/>
        <w:t xml:space="preserve">The de facto partner of a person who is a life in being for the purpose of the rule against perpetuities shall be deemed a life in being for the purpose of —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273" w:name="_Toc131413139"/>
      <w:r>
        <w:rPr>
          <w:rStyle w:val="CharSectno"/>
        </w:rPr>
        <w:t>109</w:t>
      </w:r>
      <w:r>
        <w:rPr>
          <w:snapToGrid w:val="0"/>
        </w:rPr>
        <w:t>.</w:t>
      </w:r>
      <w:r>
        <w:rPr>
          <w:snapToGrid w:val="0"/>
        </w:rPr>
        <w:tab/>
        <w:t>Dependent limitations</w:t>
      </w:r>
      <w:bookmarkEnd w:id="272"/>
      <w:bookmarkEnd w:id="273"/>
      <w:r>
        <w:rPr>
          <w:snapToGrid w:val="0"/>
        </w:rPr>
        <w:t xml:space="preserve"> </w:t>
      </w:r>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274" w:name="_Toc455284868"/>
      <w:bookmarkStart w:id="275" w:name="_Toc131413140"/>
      <w:r>
        <w:rPr>
          <w:rStyle w:val="CharSectno"/>
        </w:rPr>
        <w:t>110</w:t>
      </w:r>
      <w:r>
        <w:rPr>
          <w:snapToGrid w:val="0"/>
        </w:rPr>
        <w:t>.</w:t>
      </w:r>
      <w:r>
        <w:rPr>
          <w:snapToGrid w:val="0"/>
        </w:rPr>
        <w:tab/>
        <w:t>Options</w:t>
      </w:r>
      <w:bookmarkEnd w:id="274"/>
      <w:bookmarkEnd w:id="275"/>
      <w:r>
        <w:rPr>
          <w:snapToGrid w:val="0"/>
        </w:rPr>
        <w:t xml:space="preserve"> </w:t>
      </w:r>
    </w:p>
    <w:p>
      <w:pPr>
        <w:pStyle w:val="Subsection"/>
        <w:rPr>
          <w:snapToGrid w:val="0"/>
        </w:rPr>
      </w:pPr>
      <w:r>
        <w:rPr>
          <w:snapToGrid w:val="0"/>
        </w:rPr>
        <w:tab/>
        <w:t>(1)</w:t>
      </w:r>
      <w:r>
        <w:rPr>
          <w:snapToGrid w:val="0"/>
        </w:rPr>
        <w:tab/>
        <w:t>The rule against perpetuities does not apply to —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276" w:name="_Toc455284869"/>
      <w:bookmarkStart w:id="277" w:name="_Toc131413141"/>
      <w:r>
        <w:rPr>
          <w:rStyle w:val="CharSectno"/>
        </w:rPr>
        <w:t>111</w:t>
      </w:r>
      <w:r>
        <w:rPr>
          <w:snapToGrid w:val="0"/>
        </w:rPr>
        <w:t>.</w:t>
      </w:r>
      <w:r>
        <w:rPr>
          <w:snapToGrid w:val="0"/>
        </w:rPr>
        <w:tab/>
        <w:t>Application of the rule to possibilities of reverter, rights of entry and resulting trusts</w:t>
      </w:r>
      <w:bookmarkEnd w:id="276"/>
      <w:bookmarkEnd w:id="277"/>
      <w:r>
        <w:rPr>
          <w:snapToGrid w:val="0"/>
        </w:rPr>
        <w:t xml:space="preserve"> </w:t>
      </w:r>
    </w:p>
    <w:p>
      <w:pPr>
        <w:pStyle w:val="Subsection"/>
        <w:keepNext/>
        <w:rPr>
          <w:snapToGrid w:val="0"/>
        </w:rPr>
      </w:pPr>
      <w:r>
        <w:rPr>
          <w:snapToGrid w:val="0"/>
        </w:rPr>
        <w:tab/>
        <w:t>(1)</w:t>
      </w:r>
      <w:r>
        <w:rPr>
          <w:snapToGrid w:val="0"/>
        </w:rPr>
        <w:tab/>
        <w:t>The rule against perpetuities as amended by this Part applies —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278" w:name="_Toc455284870"/>
      <w:bookmarkStart w:id="279" w:name="_Toc131413142"/>
      <w:r>
        <w:rPr>
          <w:rStyle w:val="CharSectno"/>
        </w:rPr>
        <w:t>112</w:t>
      </w:r>
      <w:r>
        <w:rPr>
          <w:snapToGrid w:val="0"/>
        </w:rPr>
        <w:t>.</w:t>
      </w:r>
      <w:r>
        <w:rPr>
          <w:snapToGrid w:val="0"/>
        </w:rPr>
        <w:tab/>
        <w:t>Powers of appointment</w:t>
      </w:r>
      <w:bookmarkEnd w:id="278"/>
      <w:bookmarkEnd w:id="279"/>
      <w:r>
        <w:rPr>
          <w:snapToGrid w:val="0"/>
        </w:rPr>
        <w:t xml:space="preserve"> </w:t>
      </w:r>
    </w:p>
    <w:p>
      <w:pPr>
        <w:pStyle w:val="Subsection"/>
        <w:rPr>
          <w:snapToGrid w:val="0"/>
          <w:spacing w:val="4"/>
        </w:rPr>
      </w:pPr>
      <w:r>
        <w:rPr>
          <w:snapToGrid w:val="0"/>
          <w:spacing w:val="4"/>
        </w:rPr>
        <w:tab/>
      </w:r>
      <w:r>
        <w:rPr>
          <w:snapToGrid w:val="0"/>
          <w:spacing w:val="4"/>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280" w:name="_Toc455284871"/>
      <w:bookmarkStart w:id="281" w:name="_Toc131413143"/>
      <w:r>
        <w:rPr>
          <w:rStyle w:val="CharSectno"/>
        </w:rPr>
        <w:t>113</w:t>
      </w:r>
      <w:r>
        <w:rPr>
          <w:snapToGrid w:val="0"/>
        </w:rPr>
        <w:t>.</w:t>
      </w:r>
      <w:r>
        <w:rPr>
          <w:snapToGrid w:val="0"/>
        </w:rPr>
        <w:tab/>
        <w:t>Accumulations of income</w:t>
      </w:r>
      <w:bookmarkEnd w:id="280"/>
      <w:bookmarkEnd w:id="281"/>
      <w:r>
        <w:rPr>
          <w:snapToGrid w:val="0"/>
        </w:rPr>
        <w:t xml:space="preserve"> </w:t>
      </w:r>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282" w:name="_Toc455284872"/>
      <w:bookmarkStart w:id="283" w:name="_Toc131413144"/>
      <w:r>
        <w:rPr>
          <w:rStyle w:val="CharSectno"/>
        </w:rPr>
        <w:t>114</w:t>
      </w:r>
      <w:r>
        <w:rPr>
          <w:snapToGrid w:val="0"/>
        </w:rPr>
        <w:t>.</w:t>
      </w:r>
      <w:r>
        <w:rPr>
          <w:snapToGrid w:val="0"/>
        </w:rPr>
        <w:tab/>
        <w:t>Rule in Whitby v. Mitchell abolished</w:t>
      </w:r>
      <w:bookmarkEnd w:id="282"/>
      <w:bookmarkEnd w:id="283"/>
      <w:r>
        <w:rPr>
          <w:snapToGrid w:val="0"/>
        </w:rPr>
        <w:t xml:space="preserve"> </w:t>
      </w:r>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284" w:name="_Toc455284873"/>
      <w:bookmarkStart w:id="285" w:name="_Toc131413145"/>
      <w:r>
        <w:rPr>
          <w:rStyle w:val="CharSectno"/>
        </w:rPr>
        <w:t>115</w:t>
      </w:r>
      <w:r>
        <w:rPr>
          <w:snapToGrid w:val="0"/>
        </w:rPr>
        <w:t>.</w:t>
      </w:r>
      <w:r>
        <w:rPr>
          <w:snapToGrid w:val="0"/>
        </w:rPr>
        <w:tab/>
        <w:t>Superannuation funds, etc.</w:t>
      </w:r>
      <w:bookmarkEnd w:id="284"/>
      <w:bookmarkEnd w:id="285"/>
      <w:r>
        <w:rPr>
          <w:snapToGrid w:val="0"/>
        </w:rPr>
        <w:t xml:space="preserve"> </w:t>
      </w:r>
    </w:p>
    <w:p>
      <w:pPr>
        <w:pStyle w:val="Subsection"/>
        <w:rPr>
          <w:snapToGrid w:val="0"/>
        </w:rPr>
      </w:pPr>
      <w:r>
        <w:rPr>
          <w:snapToGrid w:val="0"/>
        </w:rPr>
        <w:tab/>
        <w:t>(1)</w:t>
      </w:r>
      <w:r>
        <w:rPr>
          <w:snapToGrid w:val="0"/>
        </w:rPr>
        <w:tab/>
        <w:t>The rule against perpetuities does not apply and shall be deemed never to have applied to —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b/>
          <w:snapToGrid w:val="0"/>
        </w:rPr>
        <w:t>“</w:t>
      </w:r>
      <w:r>
        <w:rPr>
          <w:rStyle w:val="CharDefText"/>
        </w:rPr>
        <w:t>employee</w:t>
      </w:r>
      <w:r>
        <w:rPr>
          <w:b/>
          <w:snapToGrid w:val="0"/>
        </w:rPr>
        <w:t>”</w:t>
      </w:r>
      <w:r>
        <w:rPr>
          <w:snapToGrid w:val="0"/>
        </w:rPr>
        <w:t xml:space="preserve"> includes any director, officer, servant or person at any time in the employment —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b/>
          <w:snapToGrid w:val="0"/>
        </w:rPr>
        <w:t>“</w:t>
      </w:r>
      <w:r>
        <w:rPr>
          <w:rStyle w:val="CharDefText"/>
        </w:rPr>
        <w:t>employer</w:t>
      </w:r>
      <w:r>
        <w:rPr>
          <w:b/>
          <w:snapToGrid w:val="0"/>
        </w:rPr>
        <w:t>”</w:t>
      </w:r>
      <w:r>
        <w:rPr>
          <w:snapToGrid w:val="0"/>
        </w:rPr>
        <w:t xml:space="preserve"> includes a company.</w:t>
      </w:r>
    </w:p>
    <w:p>
      <w:pPr>
        <w:pStyle w:val="Footnotesection"/>
      </w:pPr>
      <w:r>
        <w:tab/>
        <w:t>[Section 115 amended by No. 28 of 2003 s. 164.]</w:t>
      </w:r>
    </w:p>
    <w:p>
      <w:pPr>
        <w:pStyle w:val="Heading2"/>
      </w:pPr>
      <w:bookmarkStart w:id="286" w:name="_Toc122773039"/>
      <w:bookmarkStart w:id="287" w:name="_Toc123004054"/>
      <w:bookmarkStart w:id="288" w:name="_Toc131413146"/>
      <w:r>
        <w:rPr>
          <w:rStyle w:val="CharPartNo"/>
        </w:rPr>
        <w:t>Part XII</w:t>
      </w:r>
      <w:r>
        <w:rPr>
          <w:rStyle w:val="CharDivNo"/>
        </w:rPr>
        <w:t> </w:t>
      </w:r>
      <w:r>
        <w:t>—</w:t>
      </w:r>
      <w:r>
        <w:rPr>
          <w:rStyle w:val="CharDivText"/>
        </w:rPr>
        <w:t> </w:t>
      </w:r>
      <w:r>
        <w:rPr>
          <w:rStyle w:val="CharPartText"/>
        </w:rPr>
        <w:t>Succession</w:t>
      </w:r>
      <w:bookmarkEnd w:id="286"/>
      <w:bookmarkEnd w:id="287"/>
      <w:bookmarkEnd w:id="288"/>
      <w:r>
        <w:rPr>
          <w:rStyle w:val="CharPartText"/>
        </w:rPr>
        <w:t xml:space="preserve"> </w:t>
      </w:r>
    </w:p>
    <w:p>
      <w:pPr>
        <w:pStyle w:val="Ednotesection"/>
      </w:pPr>
      <w:r>
        <w:t>[</w:t>
      </w:r>
      <w:r>
        <w:rPr>
          <w:b/>
        </w:rPr>
        <w:t>116</w:t>
      </w:r>
      <w:r>
        <w:rPr>
          <w:b/>
        </w:rPr>
        <w:noBreakHyphen/>
        <w:t>117.</w:t>
      </w:r>
      <w:r>
        <w:tab/>
        <w:t xml:space="preserve">Repealed by No. 12 of 1970 s.3.] </w:t>
      </w:r>
    </w:p>
    <w:p>
      <w:pPr>
        <w:pStyle w:val="Heading5"/>
        <w:rPr>
          <w:snapToGrid w:val="0"/>
        </w:rPr>
      </w:pPr>
      <w:bookmarkStart w:id="289" w:name="_Toc455284874"/>
      <w:bookmarkStart w:id="290" w:name="_Toc131413147"/>
      <w:r>
        <w:rPr>
          <w:rStyle w:val="CharSectno"/>
        </w:rPr>
        <w:t>118</w:t>
      </w:r>
      <w:r>
        <w:rPr>
          <w:snapToGrid w:val="0"/>
        </w:rPr>
        <w:t>.</w:t>
      </w:r>
      <w:r>
        <w:rPr>
          <w:snapToGrid w:val="0"/>
        </w:rPr>
        <w:tab/>
        <w:t>Intermediate income of executory or contingent gifts</w:t>
      </w:r>
      <w:bookmarkEnd w:id="289"/>
      <w:bookmarkEnd w:id="290"/>
      <w:r>
        <w:rPr>
          <w:snapToGrid w:val="0"/>
        </w:rPr>
        <w:t xml:space="preserve"> </w:t>
      </w:r>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291" w:name="_Toc455284875"/>
      <w:bookmarkStart w:id="292" w:name="_Toc131413148"/>
      <w:r>
        <w:rPr>
          <w:rStyle w:val="CharSectno"/>
        </w:rPr>
        <w:t>119</w:t>
      </w:r>
      <w:r>
        <w:rPr>
          <w:snapToGrid w:val="0"/>
        </w:rPr>
        <w:t>.</w:t>
      </w:r>
      <w:r>
        <w:rPr>
          <w:snapToGrid w:val="0"/>
        </w:rPr>
        <w:tab/>
        <w:t>Application of section 120</w:t>
      </w:r>
      <w:bookmarkEnd w:id="291"/>
      <w:bookmarkEnd w:id="292"/>
      <w:r>
        <w:rPr>
          <w:snapToGrid w:val="0"/>
        </w:rPr>
        <w:t xml:space="preserve"> </w:t>
      </w:r>
    </w:p>
    <w:p>
      <w:pPr>
        <w:pStyle w:val="Subsection"/>
        <w:keepNext/>
        <w:rPr>
          <w:snapToGrid w:val="0"/>
        </w:rPr>
      </w:pPr>
      <w:r>
        <w:rPr>
          <w:snapToGrid w:val="0"/>
        </w:rPr>
        <w:tab/>
        <w:t>(1)</w:t>
      </w:r>
      <w:r>
        <w:rPr>
          <w:snapToGrid w:val="0"/>
        </w:rPr>
        <w:tab/>
        <w:t>Section 120 applies in respect of —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293" w:name="_Toc455284876"/>
      <w:bookmarkStart w:id="294" w:name="_Toc131413149"/>
      <w:r>
        <w:rPr>
          <w:rStyle w:val="CharSectno"/>
        </w:rPr>
        <w:t>120</w:t>
      </w:r>
      <w:r>
        <w:rPr>
          <w:snapToGrid w:val="0"/>
        </w:rPr>
        <w:t>.</w:t>
      </w:r>
      <w:r>
        <w:rPr>
          <w:snapToGrid w:val="0"/>
        </w:rPr>
        <w:tab/>
        <w:t>Devolution of property in cases of simultaneous deaths</w:t>
      </w:r>
      <w:bookmarkEnd w:id="293"/>
      <w:bookmarkEnd w:id="294"/>
      <w:r>
        <w:rPr>
          <w:snapToGrid w:val="0"/>
        </w:rPr>
        <w:t xml:space="preserve"> </w:t>
      </w:r>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 instrument, any property is devised or bequeathed or appointed to the survivor of 2 or more of the testator’s children or other issue within the meaning of section 117</w:t>
      </w:r>
      <w:r>
        <w:rPr>
          <w:snapToGrid w:val="0"/>
          <w:vertAlign w:val="superscript"/>
        </w:rPr>
        <w:t xml:space="preserve"> 8</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Heading2"/>
      </w:pPr>
      <w:bookmarkStart w:id="295" w:name="_Toc122773043"/>
      <w:bookmarkStart w:id="296" w:name="_Toc123004058"/>
      <w:bookmarkStart w:id="297" w:name="_Toc131413150"/>
      <w:r>
        <w:rPr>
          <w:rStyle w:val="CharPartNo"/>
        </w:rPr>
        <w:t>Part XIII</w:t>
      </w:r>
      <w:r>
        <w:rPr>
          <w:rStyle w:val="CharDivNo"/>
        </w:rPr>
        <w:t> </w:t>
      </w:r>
      <w:r>
        <w:t>—</w:t>
      </w:r>
      <w:r>
        <w:rPr>
          <w:rStyle w:val="CharDivText"/>
        </w:rPr>
        <w:t> </w:t>
      </w:r>
      <w:r>
        <w:rPr>
          <w:rStyle w:val="CharPartText"/>
        </w:rPr>
        <w:t>Easements, encroachments and mistake</w:t>
      </w:r>
      <w:bookmarkEnd w:id="295"/>
      <w:bookmarkEnd w:id="296"/>
      <w:bookmarkEnd w:id="297"/>
      <w:r>
        <w:rPr>
          <w:rStyle w:val="CharPartText"/>
        </w:rPr>
        <w:t xml:space="preserve"> </w:t>
      </w:r>
    </w:p>
    <w:p>
      <w:pPr>
        <w:pStyle w:val="Heading5"/>
        <w:spacing w:before="180"/>
        <w:rPr>
          <w:snapToGrid w:val="0"/>
        </w:rPr>
      </w:pPr>
      <w:bookmarkStart w:id="298" w:name="_Toc455284877"/>
      <w:bookmarkStart w:id="299" w:name="_Toc131413151"/>
      <w:r>
        <w:rPr>
          <w:rStyle w:val="CharSectno"/>
        </w:rPr>
        <w:t>121</w:t>
      </w:r>
      <w:r>
        <w:rPr>
          <w:snapToGrid w:val="0"/>
        </w:rPr>
        <w:t>.</w:t>
      </w:r>
      <w:r>
        <w:rPr>
          <w:snapToGrid w:val="0"/>
        </w:rPr>
        <w:tab/>
        <w:t>Easement of light and air only by registered grant or instrument</w:t>
      </w:r>
      <w:bookmarkEnd w:id="298"/>
      <w:bookmarkEnd w:id="299"/>
      <w:r>
        <w:rPr>
          <w:snapToGrid w:val="0"/>
        </w:rPr>
        <w:t xml:space="preserve"> </w:t>
      </w:r>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300" w:name="_Toc455284878"/>
      <w:bookmarkStart w:id="301" w:name="_Toc131413152"/>
      <w:r>
        <w:rPr>
          <w:rStyle w:val="CharSectno"/>
        </w:rPr>
        <w:t>122</w:t>
      </w:r>
      <w:r>
        <w:rPr>
          <w:snapToGrid w:val="0"/>
        </w:rPr>
        <w:t>.</w:t>
      </w:r>
      <w:r>
        <w:rPr>
          <w:snapToGrid w:val="0"/>
        </w:rPr>
        <w:tab/>
        <w:t>Power of Court to grant special relief in cases of encroachment</w:t>
      </w:r>
      <w:bookmarkEnd w:id="300"/>
      <w:bookmarkEnd w:id="301"/>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spacing w:before="120"/>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b/>
          <w:snapToGrid w:val="0"/>
        </w:rPr>
        <w:t>“</w:t>
      </w:r>
      <w:r>
        <w:rPr>
          <w:rStyle w:val="CharDefText"/>
        </w:rPr>
        <w:t>building</w:t>
      </w:r>
      <w:r>
        <w:rPr>
          <w:b/>
          <w:snapToGrid w:val="0"/>
        </w:rPr>
        <w:t>”</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rPr>
          <w:spacing w:val="-4"/>
        </w:rPr>
      </w:pPr>
      <w:r>
        <w:rPr>
          <w:spacing w:val="-4"/>
        </w:rPr>
        <w:tab/>
        <w:t>[Section 122 amended by No. 84 of 1994 s.46; No. 14 of 1996 s.4; No. 38 of 2005 s. 15.]</w:t>
      </w:r>
    </w:p>
    <w:p>
      <w:pPr>
        <w:pStyle w:val="Heading5"/>
        <w:rPr>
          <w:snapToGrid w:val="0"/>
        </w:rPr>
      </w:pPr>
      <w:bookmarkStart w:id="302" w:name="_Toc455284879"/>
      <w:bookmarkStart w:id="303" w:name="_Toc131413153"/>
      <w:r>
        <w:rPr>
          <w:rStyle w:val="CharSectno"/>
        </w:rPr>
        <w:t>123</w:t>
      </w:r>
      <w:r>
        <w:rPr>
          <w:snapToGrid w:val="0"/>
        </w:rPr>
        <w:t>.</w:t>
      </w:r>
      <w:r>
        <w:rPr>
          <w:snapToGrid w:val="0"/>
        </w:rPr>
        <w:tab/>
        <w:t>Relief in cases of mistake as to boundaries or identity of land</w:t>
      </w:r>
      <w:bookmarkEnd w:id="302"/>
      <w:bookmarkEnd w:id="303"/>
      <w:r>
        <w:rPr>
          <w:snapToGrid w:val="0"/>
        </w:rPr>
        <w:t xml:space="preserve"> </w:t>
      </w:r>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spacing w:before="120"/>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spacing w:before="120"/>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spacing w:before="120"/>
        <w:rPr>
          <w:snapToGrid w:val="0"/>
          <w:spacing w:val="-4"/>
        </w:rPr>
      </w:pPr>
      <w:r>
        <w:rPr>
          <w:snapToGrid w:val="0"/>
          <w:spacing w:val="-4"/>
        </w:rPr>
        <w:tab/>
        <w:t>(5)</w:t>
      </w:r>
      <w:r>
        <w:rPr>
          <w:snapToGrid w:val="0"/>
          <w:spacing w:val="-4"/>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spacing w:before="120"/>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spacing w:before="120"/>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rPr>
          <w:spacing w:val="-4"/>
        </w:rPr>
      </w:pPr>
      <w:r>
        <w:rPr>
          <w:spacing w:val="-4"/>
        </w:rPr>
        <w:tab/>
        <w:t xml:space="preserve">[Section 123 amended by No. 84 of 1994 s. 46; No. 14 of 1996 s. 4; No. 38 of 2005 s. 15.] </w:t>
      </w:r>
    </w:p>
    <w:p>
      <w:pPr>
        <w:pStyle w:val="Heading5"/>
        <w:keepNext w:val="0"/>
        <w:keepLines w:val="0"/>
        <w:spacing w:before="180"/>
        <w:rPr>
          <w:snapToGrid w:val="0"/>
        </w:rPr>
      </w:pPr>
      <w:bookmarkStart w:id="304" w:name="_Toc455284880"/>
      <w:bookmarkStart w:id="305" w:name="_Toc131413154"/>
      <w:r>
        <w:rPr>
          <w:rStyle w:val="CharSectno"/>
        </w:rPr>
        <w:t>124</w:t>
      </w:r>
      <w:r>
        <w:rPr>
          <w:snapToGrid w:val="0"/>
        </w:rPr>
        <w:t>.</w:t>
      </w:r>
      <w:r>
        <w:rPr>
          <w:snapToGrid w:val="0"/>
        </w:rPr>
        <w:tab/>
        <w:t>Recovery of payments made under mistake of law</w:t>
      </w:r>
      <w:bookmarkEnd w:id="304"/>
      <w:bookmarkEnd w:id="305"/>
      <w:r>
        <w:rPr>
          <w:snapToGrid w:val="0"/>
        </w:rPr>
        <w:t xml:space="preserve"> </w:t>
      </w:r>
    </w:p>
    <w:p>
      <w:pPr>
        <w:pStyle w:val="Subsection"/>
        <w:spacing w:before="120"/>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spacing w:before="120"/>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Next w:val="0"/>
        <w:keepLines w:val="0"/>
        <w:spacing w:before="180"/>
        <w:rPr>
          <w:snapToGrid w:val="0"/>
        </w:rPr>
      </w:pPr>
      <w:bookmarkStart w:id="306" w:name="_Toc455284881"/>
      <w:bookmarkStart w:id="307" w:name="_Toc131413155"/>
      <w:r>
        <w:rPr>
          <w:rStyle w:val="CharSectno"/>
        </w:rPr>
        <w:t>125</w:t>
      </w:r>
      <w:r>
        <w:rPr>
          <w:snapToGrid w:val="0"/>
        </w:rPr>
        <w:t>.</w:t>
      </w:r>
      <w:r>
        <w:rPr>
          <w:snapToGrid w:val="0"/>
        </w:rPr>
        <w:tab/>
        <w:t>Payments made under mistake of law or fact not always recoverable</w:t>
      </w:r>
      <w:bookmarkEnd w:id="306"/>
      <w:bookmarkEnd w:id="307"/>
      <w:r>
        <w:rPr>
          <w:snapToGrid w:val="0"/>
        </w:rPr>
        <w:t xml:space="preserve"> </w:t>
      </w:r>
    </w:p>
    <w:p>
      <w:pPr>
        <w:pStyle w:val="Subsection"/>
        <w:spacing w:before="120"/>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308" w:name="_Toc122773049"/>
      <w:bookmarkStart w:id="309" w:name="_Toc123004064"/>
      <w:bookmarkStart w:id="310" w:name="_Toc131413156"/>
      <w:r>
        <w:rPr>
          <w:rStyle w:val="CharPartNo"/>
        </w:rPr>
        <w:t>Part XIV</w:t>
      </w:r>
      <w:r>
        <w:rPr>
          <w:rStyle w:val="CharDivNo"/>
        </w:rPr>
        <w:t> </w:t>
      </w:r>
      <w:r>
        <w:t>—</w:t>
      </w:r>
      <w:r>
        <w:rPr>
          <w:rStyle w:val="CharDivText"/>
        </w:rPr>
        <w:t> </w:t>
      </w:r>
      <w:r>
        <w:rPr>
          <w:rStyle w:val="CharPartText"/>
        </w:rPr>
        <w:t>Partition of land and division of chattels</w:t>
      </w:r>
      <w:bookmarkEnd w:id="308"/>
      <w:bookmarkEnd w:id="309"/>
      <w:bookmarkEnd w:id="310"/>
      <w:r>
        <w:rPr>
          <w:rStyle w:val="CharPartText"/>
        </w:rPr>
        <w:t xml:space="preserve"> </w:t>
      </w:r>
    </w:p>
    <w:p>
      <w:pPr>
        <w:pStyle w:val="Heading5"/>
        <w:spacing w:before="180"/>
        <w:rPr>
          <w:snapToGrid w:val="0"/>
        </w:rPr>
      </w:pPr>
      <w:bookmarkStart w:id="311" w:name="_Toc455284882"/>
      <w:bookmarkStart w:id="312" w:name="_Toc131413157"/>
      <w:r>
        <w:rPr>
          <w:rStyle w:val="CharSectno"/>
        </w:rPr>
        <w:t>126</w:t>
      </w:r>
      <w:r>
        <w:rPr>
          <w:snapToGrid w:val="0"/>
        </w:rPr>
        <w:t>.</w:t>
      </w:r>
      <w:r>
        <w:rPr>
          <w:snapToGrid w:val="0"/>
        </w:rPr>
        <w:tab/>
        <w:t>In action for partition Court may direct land to be sold</w:t>
      </w:r>
      <w:bookmarkEnd w:id="311"/>
      <w:bookmarkEnd w:id="312"/>
      <w:r>
        <w:rPr>
          <w:snapToGrid w:val="0"/>
        </w:rPr>
        <w:t xml:space="preserve"> </w:t>
      </w:r>
    </w:p>
    <w:p>
      <w:pPr>
        <w:pStyle w:val="Subsection"/>
        <w:spacing w:before="120"/>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spacing w:before="120"/>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spacing w:before="120"/>
        <w:rPr>
          <w:snapToGrid w:val="0"/>
          <w:spacing w:val="-4"/>
        </w:rPr>
      </w:pPr>
      <w:r>
        <w:rPr>
          <w:snapToGrid w:val="0"/>
          <w:spacing w:val="-4"/>
        </w:rPr>
        <w:tab/>
        <w:t>(3)</w:t>
      </w:r>
      <w:r>
        <w:rPr>
          <w:snapToGrid w:val="0"/>
          <w:spacing w:val="-4"/>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spacing w:before="120"/>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spacing w:before="120"/>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spacing w:before="120"/>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spacing w:before="180"/>
        <w:rPr>
          <w:snapToGrid w:val="0"/>
        </w:rPr>
      </w:pPr>
      <w:bookmarkStart w:id="313" w:name="_Toc455284883"/>
      <w:bookmarkStart w:id="314" w:name="_Toc131413158"/>
      <w:r>
        <w:rPr>
          <w:rStyle w:val="CharSectno"/>
        </w:rPr>
        <w:t>127</w:t>
      </w:r>
      <w:r>
        <w:rPr>
          <w:snapToGrid w:val="0"/>
        </w:rPr>
        <w:t>.</w:t>
      </w:r>
      <w:r>
        <w:rPr>
          <w:snapToGrid w:val="0"/>
        </w:rPr>
        <w:tab/>
        <w:t>Proceeds of sale, how applied</w:t>
      </w:r>
      <w:bookmarkEnd w:id="313"/>
      <w:bookmarkEnd w:id="314"/>
      <w:r>
        <w:rPr>
          <w:snapToGrid w:val="0"/>
        </w:rPr>
        <w:t xml:space="preserve"> </w:t>
      </w:r>
    </w:p>
    <w:p>
      <w:pPr>
        <w:pStyle w:val="Subsection"/>
        <w:spacing w:before="120"/>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spacing w:before="120"/>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spacing w:before="120"/>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315" w:name="_Toc455284884"/>
      <w:bookmarkStart w:id="316" w:name="_Toc131413159"/>
      <w:r>
        <w:rPr>
          <w:rStyle w:val="CharSectno"/>
        </w:rPr>
        <w:t>128</w:t>
      </w:r>
      <w:r>
        <w:rPr>
          <w:snapToGrid w:val="0"/>
        </w:rPr>
        <w:t>.</w:t>
      </w:r>
      <w:r>
        <w:rPr>
          <w:snapToGrid w:val="0"/>
        </w:rPr>
        <w:tab/>
        <w:t>Costs in partition suits</w:t>
      </w:r>
      <w:bookmarkEnd w:id="315"/>
      <w:bookmarkEnd w:id="316"/>
      <w:r>
        <w:rPr>
          <w:snapToGrid w:val="0"/>
        </w:rPr>
        <w:t xml:space="preserve"> </w:t>
      </w:r>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317" w:name="_Toc455284885"/>
      <w:bookmarkStart w:id="318" w:name="_Toc131413160"/>
      <w:r>
        <w:rPr>
          <w:rStyle w:val="CharSectno"/>
        </w:rPr>
        <w:t>129</w:t>
      </w:r>
      <w:r>
        <w:rPr>
          <w:snapToGrid w:val="0"/>
        </w:rPr>
        <w:t>.</w:t>
      </w:r>
      <w:r>
        <w:rPr>
          <w:snapToGrid w:val="0"/>
        </w:rPr>
        <w:tab/>
        <w:t>Division of chattels</w:t>
      </w:r>
      <w:bookmarkEnd w:id="317"/>
      <w:bookmarkEnd w:id="318"/>
      <w:r>
        <w:rPr>
          <w:snapToGrid w:val="0"/>
        </w:rPr>
        <w:t xml:space="preserve"> </w:t>
      </w:r>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319" w:name="_Toc122773054"/>
      <w:bookmarkStart w:id="320" w:name="_Toc123004069"/>
      <w:bookmarkStart w:id="321" w:name="_Toc131413161"/>
      <w:r>
        <w:rPr>
          <w:rStyle w:val="CharPartNo"/>
        </w:rPr>
        <w:t>Part XV</w:t>
      </w:r>
      <w:r>
        <w:rPr>
          <w:rStyle w:val="CharDivNo"/>
        </w:rPr>
        <w:t> </w:t>
      </w:r>
      <w:r>
        <w:t>—</w:t>
      </w:r>
      <w:r>
        <w:rPr>
          <w:rStyle w:val="CharDivText"/>
        </w:rPr>
        <w:t> </w:t>
      </w:r>
      <w:r>
        <w:rPr>
          <w:rStyle w:val="CharPartText"/>
        </w:rPr>
        <w:t>Apportionment</w:t>
      </w:r>
      <w:bookmarkEnd w:id="319"/>
      <w:bookmarkEnd w:id="320"/>
      <w:bookmarkEnd w:id="321"/>
      <w:r>
        <w:rPr>
          <w:rStyle w:val="CharPartText"/>
        </w:rPr>
        <w:t xml:space="preserve"> </w:t>
      </w:r>
    </w:p>
    <w:p>
      <w:pPr>
        <w:pStyle w:val="Heading5"/>
        <w:rPr>
          <w:snapToGrid w:val="0"/>
        </w:rPr>
      </w:pPr>
      <w:bookmarkStart w:id="322" w:name="_Toc455284886"/>
      <w:bookmarkStart w:id="323" w:name="_Toc131413162"/>
      <w:r>
        <w:rPr>
          <w:rStyle w:val="CharSectno"/>
        </w:rPr>
        <w:t>130</w:t>
      </w:r>
      <w:r>
        <w:rPr>
          <w:snapToGrid w:val="0"/>
        </w:rPr>
        <w:t>.</w:t>
      </w:r>
      <w:r>
        <w:rPr>
          <w:snapToGrid w:val="0"/>
        </w:rPr>
        <w:tab/>
        <w:t>Interpretation</w:t>
      </w:r>
      <w:bookmarkEnd w:id="322"/>
      <w:bookmarkEnd w:id="323"/>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annuities</w:t>
      </w:r>
      <w:r>
        <w:rPr>
          <w:b/>
        </w:rPr>
        <w:t>”</w:t>
      </w:r>
      <w:r>
        <w:t xml:space="preserve"> includes salaries and pensions;</w:t>
      </w:r>
    </w:p>
    <w:p>
      <w:pPr>
        <w:pStyle w:val="Defstart"/>
      </w:pPr>
      <w:r>
        <w:rPr>
          <w:b/>
        </w:rPr>
        <w:tab/>
        <w:t>“</w:t>
      </w:r>
      <w:r>
        <w:rPr>
          <w:rStyle w:val="CharDefText"/>
        </w:rPr>
        <w:t>dividends</w:t>
      </w:r>
      <w:r>
        <w:rPr>
          <w:b/>
        </w:rPr>
        <w:t>”</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t>“</w:t>
      </w:r>
      <w:r>
        <w:rPr>
          <w:rStyle w:val="CharDefText"/>
        </w:rPr>
        <w:t>rent</w:t>
      </w:r>
      <w:r>
        <w:rPr>
          <w:b/>
        </w:rPr>
        <w: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324" w:name="_Toc455284887"/>
      <w:bookmarkStart w:id="325" w:name="_Toc131413163"/>
      <w:r>
        <w:rPr>
          <w:rStyle w:val="CharSectno"/>
        </w:rPr>
        <w:t>131</w:t>
      </w:r>
      <w:r>
        <w:rPr>
          <w:snapToGrid w:val="0"/>
        </w:rPr>
        <w:t>.</w:t>
      </w:r>
      <w:r>
        <w:rPr>
          <w:snapToGrid w:val="0"/>
        </w:rPr>
        <w:tab/>
        <w:t>Income apportionable in respect of time</w:t>
      </w:r>
      <w:bookmarkEnd w:id="324"/>
      <w:bookmarkEnd w:id="325"/>
      <w:r>
        <w:rPr>
          <w:snapToGrid w:val="0"/>
        </w:rPr>
        <w:t xml:space="preserve"> </w:t>
      </w:r>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326" w:name="_Toc455284888"/>
      <w:bookmarkStart w:id="327" w:name="_Toc131413164"/>
      <w:r>
        <w:rPr>
          <w:rStyle w:val="CharSectno"/>
        </w:rPr>
        <w:t>132</w:t>
      </w:r>
      <w:r>
        <w:rPr>
          <w:snapToGrid w:val="0"/>
        </w:rPr>
        <w:t>.</w:t>
      </w:r>
      <w:r>
        <w:rPr>
          <w:snapToGrid w:val="0"/>
        </w:rPr>
        <w:tab/>
        <w:t>Time when apportioned part payable</w:t>
      </w:r>
      <w:bookmarkEnd w:id="326"/>
      <w:bookmarkEnd w:id="327"/>
      <w:r>
        <w:rPr>
          <w:snapToGrid w:val="0"/>
        </w:rPr>
        <w:t xml:space="preserve"> </w:t>
      </w:r>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328" w:name="_Toc455284889"/>
      <w:bookmarkStart w:id="329" w:name="_Toc131413165"/>
      <w:r>
        <w:rPr>
          <w:rStyle w:val="CharSectno"/>
        </w:rPr>
        <w:t>133</w:t>
      </w:r>
      <w:r>
        <w:rPr>
          <w:snapToGrid w:val="0"/>
        </w:rPr>
        <w:t>.</w:t>
      </w:r>
      <w:r>
        <w:rPr>
          <w:snapToGrid w:val="0"/>
        </w:rPr>
        <w:tab/>
        <w:t>Recovery of apportioned parts</w:t>
      </w:r>
      <w:bookmarkEnd w:id="328"/>
      <w:bookmarkEnd w:id="329"/>
      <w:r>
        <w:rPr>
          <w:snapToGrid w:val="0"/>
        </w:rPr>
        <w:t xml:space="preserve"> </w:t>
      </w:r>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330" w:name="_Toc455284890"/>
      <w:bookmarkStart w:id="331" w:name="_Toc131413166"/>
      <w:r>
        <w:rPr>
          <w:rStyle w:val="CharSectno"/>
        </w:rPr>
        <w:t>134</w:t>
      </w:r>
      <w:r>
        <w:rPr>
          <w:snapToGrid w:val="0"/>
        </w:rPr>
        <w:t>.</w:t>
      </w:r>
      <w:r>
        <w:rPr>
          <w:snapToGrid w:val="0"/>
        </w:rPr>
        <w:tab/>
        <w:t>Exceptions and application</w:t>
      </w:r>
      <w:bookmarkEnd w:id="330"/>
      <w:bookmarkEnd w:id="331"/>
      <w:r>
        <w:rPr>
          <w:snapToGrid w:val="0"/>
        </w:rPr>
        <w:t xml:space="preserve"> </w:t>
      </w:r>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332" w:name="_Toc122773060"/>
      <w:bookmarkStart w:id="333" w:name="_Toc123004075"/>
      <w:bookmarkStart w:id="334" w:name="_Toc131413167"/>
      <w:r>
        <w:rPr>
          <w:rStyle w:val="CharPartNo"/>
        </w:rPr>
        <w:t>Part XVI</w:t>
      </w:r>
      <w:r>
        <w:rPr>
          <w:rStyle w:val="CharDivNo"/>
        </w:rPr>
        <w:t> </w:t>
      </w:r>
      <w:r>
        <w:t>—</w:t>
      </w:r>
      <w:r>
        <w:rPr>
          <w:rStyle w:val="CharDivText"/>
        </w:rPr>
        <w:t> </w:t>
      </w:r>
      <w:r>
        <w:rPr>
          <w:rStyle w:val="CharPartText"/>
        </w:rPr>
        <w:t>Service of notices</w:t>
      </w:r>
      <w:bookmarkEnd w:id="332"/>
      <w:bookmarkEnd w:id="333"/>
      <w:bookmarkEnd w:id="334"/>
      <w:r>
        <w:rPr>
          <w:rStyle w:val="CharPartText"/>
        </w:rPr>
        <w:t xml:space="preserve"> </w:t>
      </w:r>
    </w:p>
    <w:p>
      <w:pPr>
        <w:pStyle w:val="Heading5"/>
        <w:rPr>
          <w:snapToGrid w:val="0"/>
        </w:rPr>
      </w:pPr>
      <w:bookmarkStart w:id="335" w:name="_Toc455284891"/>
      <w:bookmarkStart w:id="336" w:name="_Toc131413168"/>
      <w:r>
        <w:rPr>
          <w:rStyle w:val="CharSectno"/>
        </w:rPr>
        <w:t>135</w:t>
      </w:r>
      <w:r>
        <w:rPr>
          <w:snapToGrid w:val="0"/>
        </w:rPr>
        <w:t>.</w:t>
      </w:r>
      <w:r>
        <w:rPr>
          <w:snapToGrid w:val="0"/>
        </w:rPr>
        <w:tab/>
        <w:t>Mode of service</w:t>
      </w:r>
      <w:bookmarkEnd w:id="335"/>
      <w:bookmarkEnd w:id="336"/>
      <w:r>
        <w:rPr>
          <w:snapToGrid w:val="0"/>
        </w:rPr>
        <w:t xml:space="preserve"> </w:t>
      </w:r>
    </w:p>
    <w:p>
      <w:pPr>
        <w:pStyle w:val="Subsection"/>
        <w:spacing w:before="120"/>
        <w:rPr>
          <w:snapToGrid w:val="0"/>
        </w:rPr>
      </w:pPr>
      <w:r>
        <w:rPr>
          <w:snapToGrid w:val="0"/>
        </w:rPr>
        <w:tab/>
        <w:t>(1)(a)</w:t>
      </w:r>
      <w:r>
        <w:rPr>
          <w:snapToGrid w:val="0"/>
        </w:rPr>
        <w:tab/>
        <w:t>A notice required or authorized by this Act to be served on any person or any notice served on any person under any instrument or agreement that relates to property may be served on that person —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spacing w:before="120"/>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spacing w:before="120"/>
        <w:rPr>
          <w:snapToGrid w:val="0"/>
        </w:rPr>
      </w:pPr>
      <w:r>
        <w:rPr>
          <w:snapToGrid w:val="0"/>
        </w:rPr>
        <w:tab/>
        <w:t>(2)(a)</w:t>
      </w:r>
      <w:r>
        <w:rPr>
          <w:snapToGrid w:val="0"/>
        </w:rPr>
        <w:tab/>
        <w:t>If the person is absent from the State, the notice may be delivered as provided in subsection (1) to his agent in the State.</w:t>
      </w:r>
    </w:p>
    <w:p>
      <w:pPr>
        <w:pStyle w:val="Subsection"/>
        <w:spacing w:before="120"/>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37" w:name="_Toc131413169"/>
      <w:r>
        <w:rPr>
          <w:rStyle w:val="CharSchNo"/>
        </w:rPr>
        <w:t>First Schedule</w:t>
      </w:r>
      <w:bookmarkEnd w:id="337"/>
    </w:p>
    <w:p>
      <w:pPr>
        <w:pStyle w:val="yShoulderClause"/>
        <w:rPr>
          <w:snapToGrid w:val="0"/>
        </w:rPr>
      </w:pPr>
      <w:r>
        <w:rPr>
          <w:snapToGrid w:val="0"/>
        </w:rPr>
        <w:t>[Section 4(a)]</w:t>
      </w:r>
    </w:p>
    <w:p>
      <w:pPr>
        <w:pStyle w:val="MiscellaneousHeading"/>
        <w:spacing w:after="80"/>
        <w:rPr>
          <w:b/>
          <w:snapToGrid w:val="0"/>
          <w:sz w:val="28"/>
        </w:rPr>
      </w:pPr>
      <w:r>
        <w:rPr>
          <w:b/>
          <w:snapToGrid w:val="0"/>
          <w:sz w:val="28"/>
        </w:rPr>
        <w:t>Adopted Acts ceasing to have effect</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jc w:val="center"/>
            </w:pPr>
            <w:r>
              <w:t>Reference to Acts</w:t>
            </w:r>
          </w:p>
        </w:tc>
        <w:tc>
          <w:tcPr>
            <w:tcW w:w="3119" w:type="dxa"/>
            <w:tcBorders>
              <w:top w:val="single" w:sz="4" w:space="0" w:color="auto"/>
              <w:bottom w:val="single" w:sz="4" w:space="0" w:color="auto"/>
            </w:tcBorders>
          </w:tcPr>
          <w:p>
            <w:pPr>
              <w:pStyle w:val="yTable"/>
              <w:jc w:val="center"/>
            </w:pPr>
            <w: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338" w:name="_Toc131413170"/>
      <w:r>
        <w:rPr>
          <w:rStyle w:val="CharSchNo"/>
        </w:rPr>
        <w:t>Second Schedule</w:t>
      </w:r>
      <w:bookmarkEnd w:id="338"/>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jc w:val="center"/>
            </w:pPr>
            <w:r>
              <w:t>Reference to Act</w:t>
            </w:r>
          </w:p>
        </w:tc>
        <w:tc>
          <w:tcPr>
            <w:tcW w:w="2835" w:type="dxa"/>
            <w:tcBorders>
              <w:top w:val="single" w:sz="4" w:space="0" w:color="auto"/>
              <w:bottom w:val="single" w:sz="4" w:space="0" w:color="auto"/>
            </w:tcBorders>
          </w:tcPr>
          <w:p>
            <w:pPr>
              <w:pStyle w:val="yTable"/>
              <w:jc w:val="center"/>
            </w:pPr>
            <w:r>
              <w:t>Subject or Title</w:t>
            </w:r>
          </w:p>
        </w:tc>
        <w:tc>
          <w:tcPr>
            <w:tcW w:w="1418" w:type="dxa"/>
            <w:tcBorders>
              <w:top w:val="single" w:sz="4" w:space="0" w:color="auto"/>
              <w:bottom w:val="single" w:sz="4" w:space="0" w:color="auto"/>
            </w:tcBorders>
          </w:tcPr>
          <w:p>
            <w:pPr>
              <w:pStyle w:val="yTable"/>
              <w:jc w:val="center"/>
            </w:pPr>
            <w:r>
              <w:t>Extent of Repeal</w:t>
            </w:r>
          </w:p>
        </w:tc>
      </w:tr>
      <w:tr>
        <w:tc>
          <w:tcPr>
            <w:tcW w:w="2835" w:type="dxa"/>
          </w:tcPr>
          <w:p>
            <w:pPr>
              <w:pStyle w:val="yTable"/>
            </w:pPr>
            <w:r>
              <w:t>2 Gul. IV No. 7.</w:t>
            </w:r>
          </w:p>
        </w:tc>
        <w:tc>
          <w:tcPr>
            <w:tcW w:w="2835" w:type="dxa"/>
          </w:tcPr>
          <w:p>
            <w:pPr>
              <w:pStyle w:val="yTable"/>
              <w:rPr>
                <w:highlight w:val="red"/>
              </w:rPr>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rPr>
                <w:highlight w:val="red"/>
              </w:rPr>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rPr>
                <w:highlight w:val="red"/>
              </w:rPr>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339" w:name="_Toc131413171"/>
      <w:r>
        <w:rPr>
          <w:rStyle w:val="CharSchNo"/>
        </w:rPr>
        <w:t>Third Schedule</w:t>
      </w:r>
      <w:bookmarkEnd w:id="339"/>
    </w:p>
    <w:p>
      <w:pPr>
        <w:pStyle w:val="yShoulderClause"/>
      </w:pPr>
      <w:r>
        <w:t>[Section 45]</w:t>
      </w:r>
    </w:p>
    <w:p>
      <w:pPr>
        <w:pStyle w:val="MiscellaneousHeading"/>
        <w:spacing w:after="120"/>
        <w:rPr>
          <w:b/>
          <w:sz w:val="28"/>
        </w:rPr>
      </w:pPr>
      <w:r>
        <w:rPr>
          <w:b/>
          <w:sz w:val="28"/>
        </w:rPr>
        <w:t>Implied covenants</w:t>
      </w:r>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
        </w:rPr>
        <w:t xml:space="preserve">Third Schedule </w:t>
      </w:r>
      <w:r>
        <w:t xml:space="preserve"> amended by No. 24 of 1990 s.123.]</w:t>
      </w:r>
    </w:p>
    <w:p>
      <w:pPr>
        <w:pStyle w:val="yScheduleHeading"/>
      </w:pPr>
      <w:bookmarkStart w:id="340" w:name="_Toc131413172"/>
      <w:r>
        <w:rPr>
          <w:rStyle w:val="CharSchNo"/>
        </w:rPr>
        <w:t>Fourth Schedule</w:t>
      </w:r>
      <w:bookmarkEnd w:id="340"/>
    </w:p>
    <w:p>
      <w:pPr>
        <w:pStyle w:val="yShoulderClause"/>
      </w:pPr>
      <w:r>
        <w:t>[Section 37]</w:t>
      </w:r>
    </w:p>
    <w:p>
      <w:pPr>
        <w:pStyle w:val="MiscellaneousHeading"/>
        <w:spacing w:after="80"/>
        <w:rPr>
          <w:b/>
          <w:snapToGrid w:val="0"/>
          <w:sz w:val="28"/>
        </w:rPr>
      </w:pPr>
      <w:r>
        <w:rPr>
          <w:b/>
          <w:snapToGrid w:val="0"/>
          <w:sz w:val="28"/>
        </w:rPr>
        <w:t>Conveyance</w:t>
      </w:r>
    </w:p>
    <w:p>
      <w:pPr>
        <w:pStyle w:val="MiscellaneousBody"/>
        <w:tabs>
          <w:tab w:val="left" w:pos="5954"/>
        </w:tabs>
        <w:rPr>
          <w:sz w:val="22"/>
        </w:rPr>
      </w:pPr>
      <w:r>
        <w:rPr>
          <w:sz w:val="22"/>
        </w:rPr>
        <w:t xml:space="preserve">This Deed made this              day of                                                             19     </w:t>
      </w:r>
    </w:p>
    <w:p>
      <w:pPr>
        <w:pStyle w:val="MiscellaneousBody"/>
        <w:tabs>
          <w:tab w:val="left" w:pos="5103"/>
        </w:tabs>
        <w:spacing w:before="0"/>
        <w:rPr>
          <w:sz w:val="22"/>
        </w:rPr>
      </w:pPr>
      <w:r>
        <w:rPr>
          <w:sz w:val="22"/>
        </w:rPr>
        <w:t>Between A.B. of (address and occupation)                                    of the one part and C.D. of (address and occupation) of the other part.</w:t>
      </w:r>
    </w:p>
    <w:p>
      <w:pPr>
        <w:pStyle w:val="MiscellaneousBody"/>
        <w:tabs>
          <w:tab w:val="left" w:pos="567"/>
        </w:tabs>
        <w:rPr>
          <w:sz w:val="22"/>
        </w:rPr>
      </w:pPr>
      <w:r>
        <w:rPr>
          <w:sz w:val="22"/>
        </w:rPr>
        <w:tab/>
        <w:t>Witnesseth that in consideration of the sum of                                  dollars</w:t>
      </w:r>
    </w:p>
    <w:p>
      <w:pPr>
        <w:pStyle w:val="MiscellaneousBody"/>
        <w:spacing w:before="0"/>
        <w:rPr>
          <w:sz w:val="22"/>
        </w:rPr>
      </w:pPr>
      <w:r>
        <w:rPr>
          <w:sz w:val="22"/>
        </w:rPr>
        <w:t>paid by the said C.D. to the said A.B. (the receipt whereof is hereby acknowledged) the said A.B. as beneficial owner (if it is not intended to include the usual covenants for title, omit the words “beneficial owner”) hereby conveys to the said C.D. in fee simple (or as the case may be) all that piece of land being </w:t>
      </w:r>
      <w:r>
        <w:rPr>
          <w:snapToGrid w:val="0"/>
          <w:sz w:val="22"/>
        </w:rPr>
        <w:t>—</w:t>
      </w:r>
      <w:r>
        <w:rPr>
          <w:sz w:val="22"/>
        </w:rPr>
        <w:t> </w:t>
      </w:r>
    </w:p>
    <w:p>
      <w:pPr>
        <w:pStyle w:val="MiscellaneousBody"/>
        <w:jc w:val="center"/>
        <w:rPr>
          <w:sz w:val="22"/>
        </w:rPr>
      </w:pPr>
      <w:r>
        <w:rPr>
          <w:sz w:val="22"/>
        </w:rPr>
        <w:t>(description of land)</w:t>
      </w:r>
    </w:p>
    <w:p>
      <w:pPr>
        <w:pStyle w:val="MiscellaneousBody"/>
        <w:rPr>
          <w:sz w:val="22"/>
        </w:rPr>
      </w:pPr>
      <w:r>
        <w:rPr>
          <w:sz w:val="22"/>
        </w:rPr>
        <w:t>SIGNED by the said A.B.</w:t>
      </w:r>
      <w:r>
        <w:rPr>
          <w:sz w:val="22"/>
        </w:rPr>
        <w:tab/>
        <w:t>)</w:t>
      </w:r>
    </w:p>
    <w:p>
      <w:pPr>
        <w:pStyle w:val="MiscellaneousBody"/>
        <w:spacing w:before="0"/>
        <w:rPr>
          <w:sz w:val="22"/>
        </w:rPr>
      </w:pPr>
      <w:r>
        <w:rPr>
          <w:sz w:val="22"/>
        </w:rPr>
        <w:t>in the presence of:</w:t>
      </w:r>
      <w:r>
        <w:rPr>
          <w:sz w:val="22"/>
        </w:rPr>
        <w:tab/>
      </w:r>
      <w:r>
        <w:rPr>
          <w:sz w:val="22"/>
        </w:rPr>
        <w:tab/>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41" w:name="_Toc122773066"/>
      <w:bookmarkStart w:id="342" w:name="_Toc123004081"/>
      <w:bookmarkStart w:id="343" w:name="_Toc131413173"/>
      <w:r>
        <w:t>Notes</w:t>
      </w:r>
      <w:bookmarkEnd w:id="341"/>
      <w:bookmarkEnd w:id="342"/>
      <w:bookmarkEnd w:id="343"/>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w:t>
      </w:r>
    </w:p>
    <w:p>
      <w:pPr>
        <w:pStyle w:val="nHeading3"/>
      </w:pPr>
      <w:bookmarkStart w:id="344" w:name="_Toc131413174"/>
      <w:r>
        <w:t>Compilation table</w:t>
      </w:r>
      <w:bookmarkEnd w:id="3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ind w:right="170"/>
              <w:rPr>
                <w:b/>
              </w:rPr>
            </w:pPr>
            <w:r>
              <w:rPr>
                <w:b/>
              </w:rPr>
              <w:t>Short title</w:t>
            </w:r>
          </w:p>
        </w:tc>
        <w:tc>
          <w:tcPr>
            <w:tcW w:w="1134" w:type="dxa"/>
            <w:tcBorders>
              <w:top w:val="single" w:sz="12" w:space="0" w:color="auto"/>
              <w:bottom w:val="single" w:sz="12" w:space="0" w:color="auto"/>
            </w:tcBorders>
          </w:tcPr>
          <w:p>
            <w:pPr>
              <w:pStyle w:val="nTable"/>
              <w:spacing w:before="120"/>
              <w:rPr>
                <w:b/>
              </w:rPr>
            </w:pPr>
            <w:r>
              <w:rPr>
                <w:b/>
              </w:rPr>
              <w:t>Number and Year</w:t>
            </w:r>
          </w:p>
        </w:tc>
        <w:tc>
          <w:tcPr>
            <w:tcW w:w="1134" w:type="dxa"/>
            <w:tcBorders>
              <w:top w:val="single" w:sz="12" w:space="0" w:color="auto"/>
              <w:bottom w:val="single" w:sz="12" w:space="0" w:color="auto"/>
            </w:tcBorders>
          </w:tcPr>
          <w:p>
            <w:pPr>
              <w:pStyle w:val="nTable"/>
              <w:spacing w:before="120"/>
              <w:rPr>
                <w:b/>
              </w:rPr>
            </w:pPr>
            <w:r>
              <w:rPr>
                <w:b/>
              </w:rPr>
              <w:t>Assent</w:t>
            </w:r>
          </w:p>
        </w:tc>
        <w:tc>
          <w:tcPr>
            <w:tcW w:w="2552" w:type="dxa"/>
            <w:tcBorders>
              <w:top w:val="single" w:sz="12" w:space="0" w:color="auto"/>
              <w:bottom w:val="single" w:sz="12" w:space="0" w:color="auto"/>
            </w:tcBorders>
          </w:tcPr>
          <w:p>
            <w:pPr>
              <w:pStyle w:val="nTable"/>
              <w:spacing w:before="120"/>
              <w:rPr>
                <w:b/>
              </w:rPr>
            </w:pPr>
            <w:r>
              <w:rPr>
                <w:b/>
              </w:rPr>
              <w:t>Commencement</w:t>
            </w:r>
          </w:p>
        </w:tc>
      </w:tr>
      <w:tr>
        <w:trPr>
          <w:cantSplit/>
        </w:trPr>
        <w:tc>
          <w:tcPr>
            <w:tcW w:w="2268" w:type="dxa"/>
          </w:tcPr>
          <w:p>
            <w:pPr>
              <w:pStyle w:val="nTable"/>
              <w:spacing w:before="120"/>
              <w:ind w:right="170"/>
            </w:pPr>
            <w:r>
              <w:rPr>
                <w:i/>
              </w:rPr>
              <w:t>Property Law Act 1969</w:t>
            </w:r>
          </w:p>
        </w:tc>
        <w:tc>
          <w:tcPr>
            <w:tcW w:w="1134" w:type="dxa"/>
          </w:tcPr>
          <w:p>
            <w:pPr>
              <w:pStyle w:val="nTable"/>
              <w:spacing w:before="120"/>
            </w:pPr>
            <w:r>
              <w:t>32 of 1969</w:t>
            </w:r>
          </w:p>
        </w:tc>
        <w:tc>
          <w:tcPr>
            <w:tcW w:w="1134" w:type="dxa"/>
          </w:tcPr>
          <w:p>
            <w:pPr>
              <w:pStyle w:val="nTable"/>
              <w:spacing w:before="120"/>
            </w:pPr>
            <w:r>
              <w:t>19 May 1969</w:t>
            </w:r>
          </w:p>
        </w:tc>
        <w:tc>
          <w:tcPr>
            <w:tcW w:w="2552" w:type="dxa"/>
          </w:tcPr>
          <w:p>
            <w:pPr>
              <w:pStyle w:val="nTable"/>
              <w:spacing w:before="120"/>
            </w:pPr>
            <w:r>
              <w:t>1 Aug 1969 (see s. 2 and </w:t>
            </w:r>
            <w:r>
              <w:rPr>
                <w:i/>
              </w:rPr>
              <w:t>Gazette</w:t>
            </w:r>
            <w:r>
              <w:t xml:space="preserve"> </w:t>
            </w:r>
            <w:r>
              <w:br/>
              <w:t>27 Jun 1969 p. 1873)</w:t>
            </w:r>
          </w:p>
        </w:tc>
      </w:tr>
      <w:tr>
        <w:trPr>
          <w:cantSplit/>
        </w:trPr>
        <w:tc>
          <w:tcPr>
            <w:tcW w:w="2268" w:type="dxa"/>
          </w:tcPr>
          <w:p>
            <w:pPr>
              <w:pStyle w:val="nTable"/>
              <w:spacing w:before="120"/>
              <w:ind w:right="170"/>
            </w:pPr>
            <w:r>
              <w:rPr>
                <w:i/>
              </w:rPr>
              <w:t>Wills Act 1970</w:t>
            </w:r>
            <w:r>
              <w:t xml:space="preserve"> s. 3</w:t>
            </w:r>
          </w:p>
        </w:tc>
        <w:tc>
          <w:tcPr>
            <w:tcW w:w="1134" w:type="dxa"/>
          </w:tcPr>
          <w:p>
            <w:pPr>
              <w:pStyle w:val="nTable"/>
              <w:spacing w:before="120"/>
            </w:pPr>
            <w:r>
              <w:t>12 of 1970</w:t>
            </w:r>
          </w:p>
        </w:tc>
        <w:tc>
          <w:tcPr>
            <w:tcW w:w="1134" w:type="dxa"/>
          </w:tcPr>
          <w:p>
            <w:pPr>
              <w:pStyle w:val="nTable"/>
              <w:spacing w:before="120"/>
            </w:pPr>
            <w:r>
              <w:t>29 Apr 1970</w:t>
            </w:r>
          </w:p>
        </w:tc>
        <w:tc>
          <w:tcPr>
            <w:tcW w:w="2552" w:type="dxa"/>
          </w:tcPr>
          <w:p>
            <w:pPr>
              <w:pStyle w:val="nTable"/>
              <w:spacing w:before="120"/>
            </w:pPr>
            <w:r>
              <w:t>1 Jul 1970 (see s. 2 and </w:t>
            </w:r>
            <w:r>
              <w:rPr>
                <w:i/>
              </w:rPr>
              <w:t>Gazette</w:t>
            </w:r>
            <w:r>
              <w:t xml:space="preserve"> </w:t>
            </w:r>
            <w:r>
              <w:br/>
              <w:t>5 Jun 1970 p. 1521)</w:t>
            </w:r>
          </w:p>
        </w:tc>
      </w:tr>
      <w:tr>
        <w:trPr>
          <w:cantSplit/>
        </w:trPr>
        <w:tc>
          <w:tcPr>
            <w:tcW w:w="2268" w:type="dxa"/>
          </w:tcPr>
          <w:p>
            <w:pPr>
              <w:pStyle w:val="nTable"/>
              <w:spacing w:before="120"/>
              <w:ind w:right="170"/>
            </w:pPr>
            <w:r>
              <w:rPr>
                <w:i/>
              </w:rPr>
              <w:t>Property Law Act Amendment Act 1971</w:t>
            </w:r>
          </w:p>
        </w:tc>
        <w:tc>
          <w:tcPr>
            <w:tcW w:w="1134" w:type="dxa"/>
          </w:tcPr>
          <w:p>
            <w:pPr>
              <w:pStyle w:val="nTable"/>
              <w:spacing w:before="120"/>
            </w:pPr>
            <w:r>
              <w:t>19 of 1971</w:t>
            </w:r>
          </w:p>
        </w:tc>
        <w:tc>
          <w:tcPr>
            <w:tcW w:w="1134" w:type="dxa"/>
          </w:tcPr>
          <w:p>
            <w:pPr>
              <w:pStyle w:val="nTable"/>
              <w:spacing w:before="120"/>
            </w:pPr>
            <w:r>
              <w:t>1 Dec 1971</w:t>
            </w:r>
          </w:p>
        </w:tc>
        <w:tc>
          <w:tcPr>
            <w:tcW w:w="2552" w:type="dxa"/>
          </w:tcPr>
          <w:p>
            <w:pPr>
              <w:pStyle w:val="nTable"/>
              <w:spacing w:before="120"/>
            </w:pPr>
            <w:r>
              <w:t>1 Dec 1971</w:t>
            </w:r>
          </w:p>
        </w:tc>
      </w:tr>
      <w:tr>
        <w:trPr>
          <w:cantSplit/>
        </w:trPr>
        <w:tc>
          <w:tcPr>
            <w:tcW w:w="2268" w:type="dxa"/>
          </w:tcPr>
          <w:p>
            <w:pPr>
              <w:pStyle w:val="nTable"/>
              <w:spacing w:before="120"/>
              <w:ind w:right="170"/>
            </w:pPr>
            <w:r>
              <w:rPr>
                <w:i/>
              </w:rPr>
              <w:t>Property Law Act Amendment Act (No. 2) 1971</w:t>
            </w:r>
          </w:p>
        </w:tc>
        <w:tc>
          <w:tcPr>
            <w:tcW w:w="1134" w:type="dxa"/>
          </w:tcPr>
          <w:p>
            <w:pPr>
              <w:pStyle w:val="nTable"/>
              <w:spacing w:before="120"/>
            </w:pPr>
            <w:r>
              <w:t>25 of 1971</w:t>
            </w:r>
          </w:p>
        </w:tc>
        <w:tc>
          <w:tcPr>
            <w:tcW w:w="1134" w:type="dxa"/>
          </w:tcPr>
          <w:p>
            <w:pPr>
              <w:pStyle w:val="nTable"/>
              <w:spacing w:before="120"/>
            </w:pPr>
            <w:r>
              <w:t>1 Dec 1971</w:t>
            </w:r>
          </w:p>
        </w:tc>
        <w:tc>
          <w:tcPr>
            <w:tcW w:w="2552" w:type="dxa"/>
          </w:tcPr>
          <w:p>
            <w:pPr>
              <w:pStyle w:val="nTable"/>
              <w:spacing w:before="120"/>
            </w:pPr>
            <w:r>
              <w:t xml:space="preserve">22 Dec 1972 (see s. 2 and </w:t>
            </w:r>
            <w:r>
              <w:rPr>
                <w:i/>
              </w:rPr>
              <w:t xml:space="preserve">Gazette </w:t>
            </w:r>
            <w:r>
              <w:t>22 Dec 1972 p. 4755)</w:t>
            </w:r>
          </w:p>
        </w:tc>
      </w:tr>
      <w:tr>
        <w:trPr>
          <w:cantSplit/>
        </w:trPr>
        <w:tc>
          <w:tcPr>
            <w:tcW w:w="2268" w:type="dxa"/>
          </w:tcPr>
          <w:p>
            <w:pPr>
              <w:pStyle w:val="nTable"/>
              <w:spacing w:before="120"/>
              <w:ind w:right="170"/>
            </w:pPr>
            <w:r>
              <w:rPr>
                <w:i/>
              </w:rPr>
              <w:t>Property Law Act Amendment Act 1973</w:t>
            </w:r>
          </w:p>
        </w:tc>
        <w:tc>
          <w:tcPr>
            <w:tcW w:w="1134" w:type="dxa"/>
          </w:tcPr>
          <w:p>
            <w:pPr>
              <w:pStyle w:val="nTable"/>
              <w:spacing w:before="120"/>
            </w:pPr>
            <w:r>
              <w:t>35 of 1973</w:t>
            </w:r>
          </w:p>
        </w:tc>
        <w:tc>
          <w:tcPr>
            <w:tcW w:w="1134" w:type="dxa"/>
          </w:tcPr>
          <w:p>
            <w:pPr>
              <w:pStyle w:val="nTable"/>
              <w:spacing w:before="120"/>
            </w:pPr>
            <w:r>
              <w:t>18 Oct 1973</w:t>
            </w:r>
          </w:p>
        </w:tc>
        <w:tc>
          <w:tcPr>
            <w:tcW w:w="2552" w:type="dxa"/>
          </w:tcPr>
          <w:p>
            <w:pPr>
              <w:pStyle w:val="nTable"/>
              <w:spacing w:before="120"/>
            </w:pPr>
            <w:r>
              <w:t>18 Oct 1973</w:t>
            </w:r>
          </w:p>
        </w:tc>
      </w:tr>
      <w:tr>
        <w:trPr>
          <w:cantSplit/>
        </w:trPr>
        <w:tc>
          <w:tcPr>
            <w:tcW w:w="2268" w:type="dxa"/>
          </w:tcPr>
          <w:p>
            <w:pPr>
              <w:pStyle w:val="nTable"/>
              <w:spacing w:before="120"/>
              <w:ind w:right="170"/>
            </w:pPr>
            <w:r>
              <w:rPr>
                <w:i/>
              </w:rPr>
              <w:t>Property Law Act Amendment Act 1979</w:t>
            </w:r>
          </w:p>
        </w:tc>
        <w:tc>
          <w:tcPr>
            <w:tcW w:w="1134" w:type="dxa"/>
          </w:tcPr>
          <w:p>
            <w:pPr>
              <w:pStyle w:val="nTable"/>
              <w:spacing w:before="120"/>
            </w:pPr>
            <w:r>
              <w:t>102  of 1979</w:t>
            </w:r>
          </w:p>
        </w:tc>
        <w:tc>
          <w:tcPr>
            <w:tcW w:w="1134" w:type="dxa"/>
          </w:tcPr>
          <w:p>
            <w:pPr>
              <w:pStyle w:val="nTable"/>
              <w:spacing w:before="120"/>
            </w:pPr>
            <w:r>
              <w:t>17 Dec 1979</w:t>
            </w:r>
          </w:p>
        </w:tc>
        <w:tc>
          <w:tcPr>
            <w:tcW w:w="2552" w:type="dxa"/>
          </w:tcPr>
          <w:p>
            <w:pPr>
              <w:pStyle w:val="nTable"/>
              <w:spacing w:before="120"/>
            </w:pPr>
            <w:r>
              <w:t xml:space="preserve">24 Apr 1980 (see s. 2 and </w:t>
            </w:r>
            <w:r>
              <w:rPr>
                <w:i/>
              </w:rPr>
              <w:t>Gazette</w:t>
            </w:r>
            <w:r>
              <w:t> 24 Apr 1980 p. 1180)</w:t>
            </w:r>
          </w:p>
        </w:tc>
      </w:tr>
      <w:tr>
        <w:trPr>
          <w:cantSplit/>
        </w:trPr>
        <w:tc>
          <w:tcPr>
            <w:tcW w:w="2268" w:type="dxa"/>
          </w:tcPr>
          <w:p>
            <w:pPr>
              <w:pStyle w:val="nTable"/>
              <w:spacing w:before="120"/>
              <w:ind w:right="170"/>
            </w:pPr>
            <w:r>
              <w:rPr>
                <w:i/>
              </w:rPr>
              <w:t>Artificial Conception Act 1985</w:t>
            </w:r>
            <w:r>
              <w:t xml:space="preserve"> s. 8</w:t>
            </w:r>
          </w:p>
        </w:tc>
        <w:tc>
          <w:tcPr>
            <w:tcW w:w="1134" w:type="dxa"/>
          </w:tcPr>
          <w:p>
            <w:pPr>
              <w:pStyle w:val="nTable"/>
              <w:spacing w:before="120"/>
            </w:pPr>
            <w:r>
              <w:t>14 of 1985</w:t>
            </w:r>
          </w:p>
        </w:tc>
        <w:tc>
          <w:tcPr>
            <w:tcW w:w="1134" w:type="dxa"/>
          </w:tcPr>
          <w:p>
            <w:pPr>
              <w:pStyle w:val="nTable"/>
              <w:spacing w:before="120"/>
            </w:pPr>
            <w:r>
              <w:t>12 Apr 1985</w:t>
            </w:r>
          </w:p>
        </w:tc>
        <w:tc>
          <w:tcPr>
            <w:tcW w:w="2552" w:type="dxa"/>
          </w:tcPr>
          <w:p>
            <w:pPr>
              <w:pStyle w:val="nTable"/>
              <w:spacing w:before="120"/>
            </w:pPr>
            <w:r>
              <w:t xml:space="preserve">1 Jul 1985 (see s. 2 and </w:t>
            </w:r>
            <w:r>
              <w:rPr>
                <w:i/>
              </w:rPr>
              <w:t>Gazette</w:t>
            </w:r>
            <w:r>
              <w:t> 28 Jun 1985 p. 2291)</w:t>
            </w:r>
          </w:p>
        </w:tc>
      </w:tr>
      <w:tr>
        <w:trPr>
          <w:cantSplit/>
        </w:trPr>
        <w:tc>
          <w:tcPr>
            <w:tcW w:w="2268" w:type="dxa"/>
          </w:tcPr>
          <w:p>
            <w:pPr>
              <w:pStyle w:val="nTable"/>
              <w:spacing w:before="120"/>
              <w:ind w:right="170"/>
            </w:pPr>
            <w:r>
              <w:rPr>
                <w:i/>
              </w:rPr>
              <w:t>Residential Tenancies Act 1987</w:t>
            </w:r>
            <w:r>
              <w:t xml:space="preserve"> s. 89</w:t>
            </w:r>
          </w:p>
        </w:tc>
        <w:tc>
          <w:tcPr>
            <w:tcW w:w="1134" w:type="dxa"/>
          </w:tcPr>
          <w:p>
            <w:pPr>
              <w:pStyle w:val="nTable"/>
              <w:spacing w:before="120"/>
            </w:pPr>
            <w:r>
              <w:t>128 of 1987</w:t>
            </w:r>
          </w:p>
        </w:tc>
        <w:tc>
          <w:tcPr>
            <w:tcW w:w="1134" w:type="dxa"/>
          </w:tcPr>
          <w:p>
            <w:pPr>
              <w:pStyle w:val="nTable"/>
              <w:spacing w:before="120"/>
            </w:pPr>
            <w:r>
              <w:t>21 Jan 1988</w:t>
            </w:r>
          </w:p>
        </w:tc>
        <w:tc>
          <w:tcPr>
            <w:tcW w:w="2552" w:type="dxa"/>
          </w:tcPr>
          <w:p>
            <w:pPr>
              <w:pStyle w:val="nTable"/>
              <w:spacing w:before="120"/>
            </w:pPr>
            <w:r>
              <w:t xml:space="preserve">1 Oct 1989 (see s. 2 and </w:t>
            </w:r>
            <w:r>
              <w:rPr>
                <w:i/>
              </w:rPr>
              <w:t>Gazette</w:t>
            </w:r>
            <w:r>
              <w:t> 18 Aug 1989 p. 2748)</w:t>
            </w:r>
          </w:p>
        </w:tc>
      </w:tr>
      <w:tr>
        <w:trPr>
          <w:cantSplit/>
        </w:trPr>
        <w:tc>
          <w:tcPr>
            <w:tcW w:w="2268" w:type="dxa"/>
          </w:tcPr>
          <w:p>
            <w:pPr>
              <w:pStyle w:val="nTable"/>
              <w:spacing w:before="120"/>
              <w:ind w:right="170"/>
            </w:pPr>
            <w:r>
              <w:rPr>
                <w:i/>
              </w:rPr>
              <w:t>Guardianship and Administration Act 1990</w:t>
            </w:r>
            <w:r>
              <w:t xml:space="preserve"> s. 123</w:t>
            </w:r>
          </w:p>
        </w:tc>
        <w:tc>
          <w:tcPr>
            <w:tcW w:w="1134" w:type="dxa"/>
          </w:tcPr>
          <w:p>
            <w:pPr>
              <w:pStyle w:val="nTable"/>
              <w:keepNext/>
              <w:spacing w:before="120"/>
            </w:pPr>
            <w:r>
              <w:t>24 of 1990</w:t>
            </w:r>
          </w:p>
        </w:tc>
        <w:tc>
          <w:tcPr>
            <w:tcW w:w="1134" w:type="dxa"/>
          </w:tcPr>
          <w:p>
            <w:pPr>
              <w:pStyle w:val="nTable"/>
              <w:spacing w:before="120"/>
            </w:pPr>
            <w:r>
              <w:t>7 Sept 1990</w:t>
            </w:r>
          </w:p>
        </w:tc>
        <w:tc>
          <w:tcPr>
            <w:tcW w:w="2552" w:type="dxa"/>
          </w:tcPr>
          <w:p>
            <w:pPr>
              <w:pStyle w:val="nTable"/>
              <w:spacing w:before="120"/>
            </w:pPr>
            <w:r>
              <w:t>20 Oct 1992 (see s. 2 and </w:t>
            </w:r>
            <w:r>
              <w:rPr>
                <w:i/>
              </w:rPr>
              <w:t xml:space="preserve">Gazette </w:t>
            </w:r>
            <w:r>
              <w:t>2 Oct 1992 p. 4811)</w:t>
            </w:r>
          </w:p>
        </w:tc>
      </w:tr>
      <w:tr>
        <w:trPr>
          <w:cantSplit/>
        </w:trPr>
        <w:tc>
          <w:tcPr>
            <w:tcW w:w="2268" w:type="dxa"/>
          </w:tcPr>
          <w:p>
            <w:pPr>
              <w:pStyle w:val="nTable"/>
              <w:spacing w:before="120"/>
              <w:ind w:right="170"/>
            </w:pPr>
            <w:r>
              <w:rPr>
                <w:i/>
              </w:rPr>
              <w:t>Planning Legislation Amendment Act (No. 2) 1994</w:t>
            </w:r>
            <w:r>
              <w:t xml:space="preserve"> s. 46(1)</w:t>
            </w:r>
          </w:p>
        </w:tc>
        <w:tc>
          <w:tcPr>
            <w:tcW w:w="1134" w:type="dxa"/>
          </w:tcPr>
          <w:p>
            <w:pPr>
              <w:pStyle w:val="nTable"/>
              <w:spacing w:before="120"/>
            </w:pPr>
            <w:r>
              <w:t>84 of 1994</w:t>
            </w:r>
          </w:p>
        </w:tc>
        <w:tc>
          <w:tcPr>
            <w:tcW w:w="1134" w:type="dxa"/>
          </w:tcPr>
          <w:p>
            <w:pPr>
              <w:pStyle w:val="nTable"/>
              <w:spacing w:before="120"/>
            </w:pPr>
            <w:r>
              <w:t>13 Jan 1995</w:t>
            </w:r>
          </w:p>
        </w:tc>
        <w:tc>
          <w:tcPr>
            <w:tcW w:w="2552" w:type="dxa"/>
          </w:tcPr>
          <w:p>
            <w:pPr>
              <w:pStyle w:val="nTable"/>
              <w:spacing w:before="120"/>
            </w:pPr>
            <w:r>
              <w:t xml:space="preserve">1 Mar 1995 (see s. 2 and </w:t>
            </w:r>
            <w:r>
              <w:rPr>
                <w:i/>
              </w:rPr>
              <w:t>Gazette</w:t>
            </w:r>
            <w:r>
              <w:t> 21 Feb 1995 p. 567)</w:t>
            </w:r>
          </w:p>
        </w:tc>
      </w:tr>
      <w:tr>
        <w:trPr>
          <w:cantSplit/>
        </w:trPr>
        <w:tc>
          <w:tcPr>
            <w:tcW w:w="2268" w:type="dxa"/>
          </w:tcPr>
          <w:p>
            <w:pPr>
              <w:pStyle w:val="nTable"/>
              <w:spacing w:before="120"/>
              <w:ind w:right="170"/>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2268" w:type="dxa"/>
          </w:tcPr>
          <w:p>
            <w:pPr>
              <w:pStyle w:val="nTable"/>
              <w:spacing w:before="120"/>
              <w:ind w:right="170"/>
            </w:pPr>
            <w:r>
              <w:rPr>
                <w:i/>
              </w:rPr>
              <w:t>Transfer of Land Amendment Act 1996</w:t>
            </w:r>
            <w:r>
              <w:t> s. 153(1)</w:t>
            </w:r>
          </w:p>
        </w:tc>
        <w:tc>
          <w:tcPr>
            <w:tcW w:w="1134" w:type="dxa"/>
          </w:tcPr>
          <w:p>
            <w:pPr>
              <w:pStyle w:val="nTable"/>
              <w:spacing w:before="120"/>
            </w:pPr>
            <w:r>
              <w:t>81 of 1996</w:t>
            </w:r>
          </w:p>
        </w:tc>
        <w:tc>
          <w:tcPr>
            <w:tcW w:w="1134" w:type="dxa"/>
          </w:tcPr>
          <w:p>
            <w:pPr>
              <w:pStyle w:val="nTable"/>
              <w:spacing w:before="120"/>
            </w:pPr>
            <w:r>
              <w:t>14 Nov 1996</w:t>
            </w:r>
          </w:p>
        </w:tc>
        <w:tc>
          <w:tcPr>
            <w:tcW w:w="2552" w:type="dxa"/>
          </w:tcPr>
          <w:p>
            <w:pPr>
              <w:pStyle w:val="nTable"/>
              <w:spacing w:before="120"/>
            </w:pPr>
            <w:r>
              <w:t>14 Nov 1996 (see s. 2(1))</w:t>
            </w:r>
          </w:p>
        </w:tc>
      </w:tr>
      <w:tr>
        <w:trPr>
          <w:cantSplit/>
        </w:trPr>
        <w:tc>
          <w:tcPr>
            <w:tcW w:w="2268" w:type="dxa"/>
          </w:tcPr>
          <w:p>
            <w:pPr>
              <w:pStyle w:val="nTable"/>
              <w:spacing w:before="120"/>
              <w:ind w:right="170"/>
            </w:pPr>
            <w:r>
              <w:rPr>
                <w:i/>
              </w:rPr>
              <w:t>Statutes (Repeals and Minor Amendments) Act (No. 2) 1998</w:t>
            </w:r>
            <w:r>
              <w:t xml:space="preserve"> s. 76</w:t>
            </w:r>
          </w:p>
        </w:tc>
        <w:tc>
          <w:tcPr>
            <w:tcW w:w="1134" w:type="dxa"/>
          </w:tcPr>
          <w:p>
            <w:pPr>
              <w:pStyle w:val="nTable"/>
              <w:spacing w:before="120"/>
            </w:pPr>
            <w:r>
              <w:t>10 of 1998</w:t>
            </w:r>
          </w:p>
        </w:tc>
        <w:tc>
          <w:tcPr>
            <w:tcW w:w="1134" w:type="dxa"/>
          </w:tcPr>
          <w:p>
            <w:pPr>
              <w:pStyle w:val="nTable"/>
              <w:spacing w:before="120"/>
            </w:pPr>
            <w:r>
              <w:t>30 Apr 1998</w:t>
            </w:r>
          </w:p>
        </w:tc>
        <w:tc>
          <w:tcPr>
            <w:tcW w:w="2552" w:type="dxa"/>
          </w:tcPr>
          <w:p>
            <w:pPr>
              <w:pStyle w:val="nTable"/>
              <w:spacing w:before="120"/>
            </w:pPr>
            <w:r>
              <w:t>30 Apr 1998 (see s. 2(1))</w:t>
            </w:r>
          </w:p>
        </w:tc>
      </w:tr>
      <w:tr>
        <w:trPr>
          <w:cantSplit/>
        </w:trPr>
        <w:tc>
          <w:tcPr>
            <w:tcW w:w="2268" w:type="dxa"/>
          </w:tcPr>
          <w:p>
            <w:pPr>
              <w:pStyle w:val="nTable"/>
              <w:spacing w:before="120"/>
              <w:ind w:right="170"/>
              <w:rPr>
                <w:i/>
              </w:rPr>
            </w:pPr>
            <w:r>
              <w:rPr>
                <w:i/>
              </w:rPr>
              <w:t>Corporations (Consequential Amendments) Act (No. 2) 2003</w:t>
            </w:r>
            <w:r>
              <w:t xml:space="preserve"> Pt. 21</w:t>
            </w:r>
          </w:p>
        </w:tc>
        <w:tc>
          <w:tcPr>
            <w:tcW w:w="1134" w:type="dxa"/>
          </w:tcPr>
          <w:p>
            <w:pPr>
              <w:pStyle w:val="nTable"/>
              <w:spacing w:before="120"/>
            </w:pPr>
            <w:r>
              <w:t>20 of 2003</w:t>
            </w:r>
          </w:p>
        </w:tc>
        <w:tc>
          <w:tcPr>
            <w:tcW w:w="1134" w:type="dxa"/>
          </w:tcPr>
          <w:p>
            <w:pPr>
              <w:pStyle w:val="nTable"/>
              <w:spacing w:before="120"/>
            </w:pPr>
            <w:r>
              <w:t>23 Apr 2003</w:t>
            </w:r>
          </w:p>
        </w:tc>
        <w:tc>
          <w:tcPr>
            <w:tcW w:w="2552" w:type="dxa"/>
          </w:tcPr>
          <w:p>
            <w:pPr>
              <w:pStyle w:val="nTable"/>
              <w:spacing w:before="120"/>
            </w:pPr>
            <w:r>
              <w:t xml:space="preserve">15 Jul 2001 (see s. 2(1) and Cwlth </w:t>
            </w:r>
            <w:r>
              <w:rPr>
                <w:i/>
              </w:rPr>
              <w:t>Gazette</w:t>
            </w:r>
            <w:r>
              <w:t xml:space="preserve"> 13 Jul 2001 No. S285)</w:t>
            </w:r>
          </w:p>
        </w:tc>
      </w:tr>
      <w:tr>
        <w:trPr>
          <w:cantSplit/>
        </w:trPr>
        <w:tc>
          <w:tcPr>
            <w:tcW w:w="2268" w:type="dxa"/>
          </w:tcPr>
          <w:p>
            <w:pPr>
              <w:pStyle w:val="nTable"/>
              <w:spacing w:before="120"/>
              <w:ind w:right="170"/>
            </w:pPr>
            <w:r>
              <w:rPr>
                <w:i/>
                <w:sz w:val="19"/>
              </w:rPr>
              <w:t>Acts Amendment (Equality of Status) Act 2003</w:t>
            </w:r>
            <w:r>
              <w:rPr>
                <w:sz w:val="19"/>
              </w:rPr>
              <w:t xml:space="preserve"> s. 125</w:t>
            </w:r>
            <w:r>
              <w:rPr>
                <w:sz w:val="19"/>
                <w:vertAlign w:val="superscript"/>
              </w:rPr>
              <w:t> 10</w:t>
            </w:r>
            <w:r>
              <w:rPr>
                <w:sz w:val="19"/>
              </w:rPr>
              <w:t> and Pt. 49</w:t>
            </w:r>
          </w:p>
        </w:tc>
        <w:tc>
          <w:tcPr>
            <w:tcW w:w="1134" w:type="dxa"/>
          </w:tcPr>
          <w:p>
            <w:pPr>
              <w:pStyle w:val="nTable"/>
              <w:spacing w:before="120"/>
            </w:pPr>
            <w:r>
              <w:rPr>
                <w:sz w:val="19"/>
              </w:rPr>
              <w:t>28 of 2003</w:t>
            </w:r>
          </w:p>
        </w:tc>
        <w:tc>
          <w:tcPr>
            <w:tcW w:w="1134" w:type="dxa"/>
          </w:tcPr>
          <w:p>
            <w:pPr>
              <w:pStyle w:val="nTable"/>
              <w:spacing w:before="120"/>
            </w:pPr>
            <w:r>
              <w:rPr>
                <w:sz w:val="19"/>
              </w:rPr>
              <w:t>22 May 2003</w:t>
            </w:r>
          </w:p>
        </w:tc>
        <w:tc>
          <w:tcPr>
            <w:tcW w:w="2552" w:type="dxa"/>
          </w:tcPr>
          <w:p>
            <w:pPr>
              <w:pStyle w:val="nTable"/>
              <w:spacing w:before="120"/>
            </w:pPr>
            <w:r>
              <w:rPr>
                <w:sz w:val="19"/>
              </w:rPr>
              <w:t xml:space="preserve">1 Jul 2003 (see s. 2 and </w:t>
            </w:r>
            <w:r>
              <w:rPr>
                <w:i/>
                <w:sz w:val="19"/>
              </w:rPr>
              <w:t xml:space="preserve">Gazette </w:t>
            </w:r>
            <w:r>
              <w:rPr>
                <w:sz w:val="19"/>
              </w:rPr>
              <w:t>30 Jun 2003 p. 2579)</w:t>
            </w:r>
          </w:p>
        </w:tc>
      </w:tr>
      <w:tr>
        <w:trPr>
          <w:cantSplit/>
        </w:trPr>
        <w:tc>
          <w:tcPr>
            <w:tcW w:w="2268" w:type="dxa"/>
            <w:tcBorders>
              <w:bottom w:val="single" w:sz="4" w:space="0" w:color="auto"/>
            </w:tcBorders>
          </w:tcPr>
          <w:p>
            <w:pPr>
              <w:pStyle w:val="nTable"/>
              <w:spacing w:before="12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(No. 12 of 1984).</w:t>
      </w:r>
    </w:p>
    <w:p>
      <w:pPr>
        <w:pStyle w:val="nSubsection"/>
        <w:spacing w:before="120"/>
        <w:rPr>
          <w:snapToGrid w:val="0"/>
        </w:rPr>
      </w:pPr>
      <w:r>
        <w:rPr>
          <w:snapToGrid w:val="0"/>
          <w:vertAlign w:val="superscript"/>
        </w:rPr>
        <w:t>3</w:t>
      </w:r>
      <w:r>
        <w:rPr>
          <w:snapToGrid w:val="0"/>
        </w:rPr>
        <w:tab/>
        <w:t xml:space="preserve">Repealed by the </w:t>
      </w:r>
      <w:r>
        <w:rPr>
          <w:i/>
          <w:snapToGrid w:val="0"/>
        </w:rPr>
        <w:t xml:space="preserve">Strata Titles Act 1985 </w:t>
      </w:r>
      <w:r>
        <w:rPr>
          <w:snapToGrid w:val="0"/>
        </w:rPr>
        <w:t>(No. 33 of 1985).</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 xml:space="preserve"> (No. 32 of 1969).</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Licensing Act 1988</w:t>
      </w:r>
      <w:r>
        <w:rPr>
          <w:snapToGrid w:val="0"/>
        </w:rPr>
        <w:t xml:space="preserve"> (No. 54 of 1988).</w:t>
      </w:r>
    </w:p>
    <w:p>
      <w:pPr>
        <w:pStyle w:val="nSubsection"/>
        <w:spacing w:before="120"/>
        <w:rPr>
          <w:snapToGrid w:val="0"/>
        </w:rPr>
      </w:pPr>
      <w:r>
        <w:rPr>
          <w:snapToGrid w:val="0"/>
          <w:vertAlign w:val="superscript"/>
        </w:rPr>
        <w:t>7</w:t>
      </w:r>
      <w:r>
        <w:rPr>
          <w:snapToGrid w:val="0"/>
        </w:rPr>
        <w:tab/>
        <w:t>Footnote no longer applicable.</w:t>
      </w:r>
    </w:p>
    <w:p>
      <w:pPr>
        <w:pStyle w:val="nSubsection"/>
        <w:spacing w:before="120"/>
        <w:rPr>
          <w:snapToGrid w:val="0"/>
        </w:rPr>
      </w:pPr>
      <w:r>
        <w:rPr>
          <w:snapToGrid w:val="0"/>
          <w:vertAlign w:val="superscript"/>
        </w:rPr>
        <w:t>8</w:t>
      </w:r>
      <w:r>
        <w:rPr>
          <w:snapToGrid w:val="0"/>
        </w:rPr>
        <w:tab/>
        <w:t xml:space="preserve">Section 117 repealed by s.3 of the </w:t>
      </w:r>
      <w:r>
        <w:rPr>
          <w:i/>
          <w:snapToGrid w:val="0"/>
        </w:rPr>
        <w:t>Wills Act 1970</w:t>
      </w:r>
      <w:r>
        <w:rPr>
          <w:snapToGrid w:val="0"/>
        </w:rPr>
        <w:t xml:space="preserve"> (No. 12 of 1970).</w:t>
      </w:r>
    </w:p>
    <w:p>
      <w:pPr>
        <w:pStyle w:val="nSubsection"/>
        <w:spacing w:before="120"/>
        <w:rPr>
          <w:snapToGrid w:val="0"/>
        </w:rPr>
      </w:pPr>
      <w:r>
        <w:rPr>
          <w:snapToGrid w:val="0"/>
          <w:vertAlign w:val="superscript"/>
        </w:rPr>
        <w:t>9</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pPr>
      <w:r>
        <w:rPr>
          <w:vertAlign w:val="superscript"/>
        </w:rPr>
        <w:t>10</w:t>
      </w:r>
      <w:r>
        <w:tab/>
        <w:t xml:space="preserve">The </w:t>
      </w:r>
      <w:r>
        <w:rPr>
          <w:i/>
        </w:rPr>
        <w:t>Acts Amendment (Equality of Status) Act 2003</w:t>
      </w:r>
      <w:r>
        <w:t xml:space="preserve"> s. 125(3) reads as follows:</w:t>
      </w:r>
    </w:p>
    <w:p>
      <w:pPr>
        <w:pStyle w:val="MiscOpen"/>
      </w:pPr>
      <w:r>
        <w:t>“</w:t>
      </w:r>
    </w:p>
    <w:p>
      <w:pPr>
        <w:pStyle w:val="nzSubsection"/>
      </w:pPr>
      <w:r>
        <w:tab/>
        <w:t>(3)</w:t>
      </w:r>
      <w:r>
        <w:tab/>
        <w:t xml:space="preserve">A restriction upon anticipation or alienation attached to the enjoyment of any property by a woman which —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 xml:space="preserve">, </w:t>
      </w:r>
    </w:p>
    <w:p>
      <w:pPr>
        <w:pStyle w:val="nzSubsection"/>
      </w:pPr>
      <w:r>
        <w:tab/>
      </w:r>
      <w:r>
        <w:tab/>
        <w:t>is of no effect.</w:t>
      </w:r>
    </w:p>
    <w:p>
      <w:pPr>
        <w:pStyle w:val="MiscClose"/>
        <w:keepLines w:val="0"/>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Property Law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13"/>
      <w:gridCol w:w="1548"/>
    </w:tblGrid>
    <w:tr>
      <w:trPr>
        <w:cantSplit/>
      </w:trPr>
      <w:tc>
        <w:tcPr>
          <w:tcW w:w="7161" w:type="dxa"/>
          <w:gridSpan w:val="2"/>
        </w:tcPr>
        <w:p>
          <w:pPr>
            <w:pStyle w:val="HeaderActNameRight"/>
          </w:pPr>
          <w:fldSimple w:instr=" STYLEREF &quot;Name of Act/Reg&quot; \* MERGEFORMAT ">
            <w:r>
              <w:rPr>
                <w:noProof/>
              </w:rPr>
              <w:t>Property Law Act 1969</w:t>
            </w:r>
          </w:fldSimple>
        </w:p>
      </w:tc>
    </w:tr>
    <w:tr>
      <w:tc>
        <w:tcPr>
          <w:tcW w:w="5613" w:type="dxa"/>
        </w:tcPr>
        <w:p>
          <w:pPr>
            <w:pStyle w:val="HeaderTextRight"/>
          </w:pPr>
        </w:p>
      </w:tc>
      <w:tc>
        <w:tcPr>
          <w:tcW w:w="1548" w:type="dxa"/>
        </w:tcPr>
        <w:p>
          <w:pPr>
            <w:pStyle w:val="HeaderNumberRight"/>
            <w:rPr>
              <w:b w:val="0"/>
            </w:rPr>
          </w:pPr>
        </w:p>
      </w:tc>
    </w:tr>
    <w:tr>
      <w:tc>
        <w:tcPr>
          <w:tcW w:w="5613" w:type="dxa"/>
        </w:tcPr>
        <w:p>
          <w:pPr>
            <w:pStyle w:val="HeaderTextRight"/>
          </w:pPr>
        </w:p>
      </w:tc>
      <w:tc>
        <w:tcPr>
          <w:tcW w:w="1548" w:type="dxa"/>
        </w:tcPr>
        <w:p>
          <w:pPr>
            <w:pStyle w:val="HeaderNumberRight"/>
            <w:rPr>
              <w:b w:val="0"/>
            </w:rPr>
          </w:pPr>
        </w:p>
      </w:tc>
    </w:tr>
    <w:tr>
      <w:trPr>
        <w:cantSplit/>
      </w:trPr>
      <w:tc>
        <w:tcPr>
          <w:tcW w:w="7161" w:type="dxa"/>
          <w:gridSpan w:val="2"/>
        </w:tcPr>
        <w:p>
          <w:pPr>
            <w:pStyle w:val="HeaderNumberRigh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MERGEFORMAT ">
            <w:r>
              <w:rPr>
                <w:noProof/>
              </w:rPr>
              <w:t>Property Law Act 1969</w:t>
            </w:r>
          </w:fldSimple>
        </w:p>
      </w:tc>
    </w:tr>
    <w:tr>
      <w:tc>
        <w:tcPr>
          <w:tcW w:w="1305" w:type="dxa"/>
        </w:tcPr>
        <w:p>
          <w:pPr>
            <w:pStyle w:val="HeaderNumberLeft"/>
            <w:rPr>
              <w:b w:val="0"/>
            </w:rPr>
          </w:pPr>
        </w:p>
      </w:tc>
      <w:tc>
        <w:tcPr>
          <w:tcW w:w="5855" w:type="dxa"/>
        </w:tcPr>
        <w:p>
          <w:pPr>
            <w:pStyle w:val="HeaderTextLeft"/>
          </w:pPr>
        </w:p>
      </w:tc>
    </w:tr>
    <w:tr>
      <w:tc>
        <w:tcPr>
          <w:tcW w:w="1305" w:type="dxa"/>
        </w:tcPr>
        <w:p>
          <w:pPr>
            <w:pStyle w:val="HeaderNumberLeft"/>
            <w:rPr>
              <w:b w:val="0"/>
            </w:rPr>
          </w:pPr>
        </w:p>
      </w:tc>
      <w:tc>
        <w:tcPr>
          <w:tcW w:w="5855" w:type="dxa"/>
        </w:tcPr>
        <w:p>
          <w:pPr>
            <w:pStyle w:val="HeaderTextLeft"/>
          </w:pPr>
        </w:p>
      </w:tc>
    </w:tr>
    <w:tr>
      <w:trPr>
        <w:cantSplit/>
      </w:trPr>
      <w:tc>
        <w:tcPr>
          <w:tcW w:w="7160" w:type="dxa"/>
          <w:gridSpan w:val="2"/>
        </w:tcPr>
        <w:p>
          <w:pPr>
            <w:pStyle w:val="HeaderNumberLef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EAC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5C7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909A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3EF5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3CA3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F2A2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DE46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F6B2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726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808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006FE5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9CFF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CCA3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6210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29"/>
    <w:docVar w:name="WAFER_20151209084729" w:val="RemoveTrackChanges"/>
    <w:docVar w:name="WAFER_20151209084729_GUID" w:val="4847483b-e496-4bca-acc4-8cd2c79d06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31689</Words>
  <Characters>147989</Characters>
  <Application>Microsoft Office Word</Application>
  <DocSecurity>0</DocSecurity>
  <Lines>3523</Lines>
  <Paragraphs>1497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1969 - 03-d0-03</dc:title>
  <dc:subject/>
  <dc:creator/>
  <cp:keywords/>
  <dc:description/>
  <cp:lastModifiedBy>svcMRProcess</cp:lastModifiedBy>
  <cp:revision>4</cp:revision>
  <cp:lastPrinted>1999-06-22T07:32:00Z</cp:lastPrinted>
  <dcterms:created xsi:type="dcterms:W3CDTF">2020-02-18T05:10:00Z</dcterms:created>
  <dcterms:modified xsi:type="dcterms:W3CDTF">2020-02-18T05:10:00Z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636</vt:i4>
  </property>
  <property fmtid="{D5CDD505-2E9C-101B-9397-08002B2CF9AE}" pid="6" name="AsAtDate">
    <vt:lpwstr>09 Apr 2006</vt:lpwstr>
  </property>
  <property fmtid="{D5CDD505-2E9C-101B-9397-08002B2CF9AE}" pid="7" name="Suffix">
    <vt:lpwstr>03-d0-03</vt:lpwstr>
  </property>
</Properties>
</file>