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Transmission and Distribution Systems (Access) Act 1994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Distribution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_Toc251759150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_Toc251759151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_Toc251759152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_Toc251759153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Electricity distribution system prescribed (Act s. 89(1))</w:t>
      </w:r>
      <w:r>
        <w:tab/>
      </w:r>
      <w:r>
        <w:fldChar w:fldCharType="begin"/>
      </w:r>
      <w:r>
        <w:instrText xml:space="preserve"> PAGEREF _Toc251759154 \h </w:instrText>
      </w:r>
      <w:r>
        <w:fldChar w:fldCharType="separate"/>
      </w:r>
      <w:r>
        <w:t>11</w:t>
      </w:r>
      <w:r>
        <w:fldChar w:fldCharType="end"/>
      </w:r>
    </w:p>
    <w:p>
      <w:pPr>
        <w:pStyle w:val="TOC8"/>
        <w:rPr>
          <w:sz w:val="24"/>
          <w:szCs w:val="24"/>
        </w:rPr>
      </w:pPr>
      <w:r>
        <w:rPr>
          <w:szCs w:val="24"/>
        </w:rPr>
        <w:t>6.</w:t>
      </w:r>
      <w:r>
        <w:rPr>
          <w:szCs w:val="24"/>
        </w:rPr>
        <w:tab/>
        <w:t>Restricted application of regulations</w:t>
      </w:r>
      <w:r>
        <w:tab/>
      </w:r>
      <w:r>
        <w:fldChar w:fldCharType="begin"/>
      </w:r>
      <w:r>
        <w:instrText xml:space="preserve"> PAGEREF _Toc251759155 \h </w:instrText>
      </w:r>
      <w:r>
        <w:fldChar w:fldCharType="separate"/>
      </w:r>
      <w:r>
        <w:t>12</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_Toc251759157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_Toc251759158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_Toc251759159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_Toc251759160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_Toc251759161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_Toc251759162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_Toc251759163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_Toc251759164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_Toc251759165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_Toc251759166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_Toc251759167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_Toc251759168 \h </w:instrText>
      </w:r>
      <w:r>
        <w:fldChar w:fldCharType="separate"/>
      </w:r>
      <w:r>
        <w:t>30</w:t>
      </w:r>
      <w:r>
        <w:fldChar w:fldCharType="end"/>
      </w:r>
    </w:p>
    <w:p>
      <w:pPr>
        <w:pStyle w:val="TOC2"/>
        <w:tabs>
          <w:tab w:val="right" w:leader="dot" w:pos="7086"/>
        </w:tabs>
        <w:rPr>
          <w:b w:val="0"/>
          <w:sz w:val="24"/>
          <w:szCs w:val="24"/>
        </w:rPr>
      </w:pPr>
      <w:r>
        <w:rPr>
          <w:szCs w:val="30"/>
        </w:rPr>
        <w:lastRenderedPageBreak/>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_Toc251759170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_Toc251759171 \h </w:instrText>
      </w:r>
      <w:r>
        <w:fldChar w:fldCharType="separate"/>
      </w:r>
      <w:r>
        <w:t>33</w:t>
      </w:r>
      <w:r>
        <w:fldChar w:fldCharType="end"/>
      </w:r>
    </w:p>
    <w:p>
      <w:pPr>
        <w:pStyle w:val="TOC2"/>
        <w:tabs>
          <w:tab w:val="right" w:leader="dot" w:pos="7086"/>
        </w:tabs>
        <w:rPr>
          <w:b w:val="0"/>
          <w:sz w:val="24"/>
          <w:szCs w:val="24"/>
        </w:rPr>
      </w:pPr>
      <w:r>
        <w:rPr>
          <w:szCs w:val="30"/>
        </w:rPr>
        <w:t>Part 4 — Balancing</w:t>
      </w:r>
    </w:p>
    <w:p>
      <w:pPr>
        <w:pStyle w:val="TOC8"/>
        <w:rPr>
          <w:sz w:val="24"/>
          <w:szCs w:val="24"/>
        </w:rPr>
      </w:pPr>
      <w:r>
        <w:rPr>
          <w:szCs w:val="24"/>
        </w:rPr>
        <w:t>20A.</w:t>
      </w:r>
      <w:r>
        <w:rPr>
          <w:szCs w:val="24"/>
        </w:rPr>
        <w:tab/>
        <w:t>Application of Part modified for wholesale electricity market</w:t>
      </w:r>
      <w:r>
        <w:tab/>
      </w:r>
      <w:r>
        <w:fldChar w:fldCharType="begin"/>
      </w:r>
      <w:r>
        <w:instrText xml:space="preserve"> PAGEREF _Toc251759173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_Toc251759174 \h </w:instrText>
      </w:r>
      <w:r>
        <w:fldChar w:fldCharType="separate"/>
      </w:r>
      <w:r>
        <w:t>34</w:t>
      </w:r>
      <w:r>
        <w:fldChar w:fldCharType="end"/>
      </w:r>
    </w:p>
    <w:p>
      <w:pPr>
        <w:pStyle w:val="TOC8"/>
        <w:rPr>
          <w:sz w:val="24"/>
          <w:szCs w:val="24"/>
        </w:rPr>
      </w:pPr>
      <w:r>
        <w:rPr>
          <w:szCs w:val="24"/>
        </w:rPr>
        <w:t>22.</w:t>
      </w:r>
      <w:r>
        <w:rPr>
          <w:szCs w:val="24"/>
        </w:rPr>
        <w:tab/>
        <w:t>Loss factors</w:t>
      </w:r>
      <w:r>
        <w:tab/>
      </w:r>
      <w:r>
        <w:fldChar w:fldCharType="begin"/>
      </w:r>
      <w:r>
        <w:instrText xml:space="preserve"> PAGEREF _Toc251759175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Terms used</w:t>
      </w:r>
      <w:r>
        <w:tab/>
      </w:r>
      <w:r>
        <w:fldChar w:fldCharType="begin"/>
      </w:r>
      <w:r>
        <w:instrText xml:space="preserve"> PAGEREF _Toc251759176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_Toc251759177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_Toc251759178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_Toc251759179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_Toc251759180 \h </w:instrText>
      </w:r>
      <w:r>
        <w:fldChar w:fldCharType="separate"/>
      </w:r>
      <w:r>
        <w:t>49</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_Toc251759182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_Toc251759183 \h </w:instrText>
      </w:r>
      <w:r>
        <w:fldChar w:fldCharType="separate"/>
      </w:r>
      <w:r>
        <w:t>54</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_Toc251759184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_Toc251759185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_Toc251759186 \h </w:instrText>
      </w:r>
      <w:r>
        <w:fldChar w:fldCharType="separate"/>
      </w:r>
      <w:r>
        <w:t>56</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_Toc251759187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_Toc251759188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_Toc251759189 \h </w:instrText>
      </w:r>
      <w:r>
        <w:fldChar w:fldCharType="separate"/>
      </w:r>
      <w:r>
        <w:t>60</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_Toc251759191 \h </w:instrText>
      </w:r>
      <w:r>
        <w:fldChar w:fldCharType="separate"/>
      </w:r>
      <w:r>
        <w:t>62</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_Toc251759192 \h </w:instrText>
      </w:r>
      <w:r>
        <w:fldChar w:fldCharType="separate"/>
      </w:r>
      <w:r>
        <w:t>62</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_Toc251759193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_Toc251759194 \h </w:instrText>
      </w:r>
      <w:r>
        <w:fldChar w:fldCharType="separate"/>
      </w:r>
      <w:r>
        <w:t>65</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szCs w:val="24"/>
        </w:rPr>
        <w:noBreakHyphen/>
      </w:r>
      <w:r>
        <w:rPr>
          <w:snapToGrid w:val="0"/>
          <w:szCs w:val="24"/>
        </w:rPr>
        <w:t>out capacity</w:t>
      </w:r>
      <w:r>
        <w:tab/>
      </w:r>
      <w:r>
        <w:fldChar w:fldCharType="begin"/>
      </w:r>
      <w:r>
        <w:instrText xml:space="preserve"> PAGEREF _Toc251759195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_Toc251759196 \h </w:instrText>
      </w:r>
      <w:r>
        <w:fldChar w:fldCharType="separate"/>
      </w:r>
      <w:r>
        <w:t>66</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_Toc251759198 \h </w:instrText>
      </w:r>
      <w:r>
        <w:fldChar w:fldCharType="separate"/>
      </w:r>
      <w:r>
        <w:t>67</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_Toc251759199 \h </w:instrText>
      </w:r>
      <w:r>
        <w:fldChar w:fldCharType="separate"/>
      </w:r>
      <w:r>
        <w:t>68</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_Toc251759201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_Toc251759202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_Toc251759203 \h </w:instrText>
      </w:r>
      <w:r>
        <w:fldChar w:fldCharType="separate"/>
      </w:r>
      <w:r>
        <w:t>72</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_Toc251759204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_Toc251759205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_Toc251759206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_Toc251759207 \h </w:instrText>
      </w:r>
      <w:r>
        <w:fldChar w:fldCharType="separate"/>
      </w:r>
      <w:r>
        <w:t>76</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_Toc251759208 \h </w:instrText>
      </w:r>
      <w:r>
        <w:fldChar w:fldCharType="separate"/>
      </w:r>
      <w:r>
        <w:t>77</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_Toc251759210 \h </w:instrText>
      </w:r>
      <w:r>
        <w:fldChar w:fldCharType="separate"/>
      </w:r>
      <w:r>
        <w:t>78</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_Toc251759211 \h </w:instrText>
      </w:r>
      <w:r>
        <w:fldChar w:fldCharType="separate"/>
      </w:r>
      <w:r>
        <w:t>78</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_Toc251759212 \h </w:instrText>
      </w:r>
      <w:r>
        <w:fldChar w:fldCharType="separate"/>
      </w:r>
      <w:r>
        <w:t>78</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_Toc251759213 \h </w:instrText>
      </w:r>
      <w:r>
        <w:fldChar w:fldCharType="separate"/>
      </w:r>
      <w:r>
        <w:t>79</w:t>
      </w:r>
      <w:r>
        <w:fldChar w:fldCharType="end"/>
      </w:r>
    </w:p>
    <w:p>
      <w:pPr>
        <w:pStyle w:val="TOC2"/>
        <w:keepNext w:val="0"/>
        <w:tabs>
          <w:tab w:val="right" w:leader="dot" w:pos="7086"/>
        </w:tabs>
        <w:rPr>
          <w:b w:val="0"/>
          <w:sz w:val="24"/>
          <w:szCs w:val="24"/>
        </w:rPr>
      </w:pPr>
      <w:r>
        <w:rPr>
          <w:szCs w:val="28"/>
        </w:rPr>
        <w:t>Schedule 1 — Access application flow chart</w:t>
      </w:r>
    </w:p>
    <w:p>
      <w:pPr>
        <w:pStyle w:val="TOC2"/>
        <w:keepNext w:val="0"/>
        <w:tabs>
          <w:tab w:val="right" w:leader="dot" w:pos="7086"/>
        </w:tabs>
        <w:rPr>
          <w:b w:val="0"/>
          <w:sz w:val="24"/>
          <w:szCs w:val="24"/>
        </w:rPr>
      </w:pPr>
      <w:r>
        <w:rPr>
          <w:szCs w:val="28"/>
        </w:rPr>
        <w:t>Schedule 2 — Access information</w:t>
      </w:r>
    </w:p>
    <w:p>
      <w:pPr>
        <w:pStyle w:val="TOC4"/>
        <w:keepNext w:val="0"/>
        <w:tabs>
          <w:tab w:val="right" w:leader="dot" w:pos="7086"/>
        </w:tabs>
        <w:rPr>
          <w:b w:val="0"/>
          <w:sz w:val="24"/>
          <w:szCs w:val="24"/>
        </w:rPr>
      </w:pPr>
      <w:r>
        <w:rPr>
          <w:szCs w:val="24"/>
        </w:rPr>
        <w:t>Part A — Information to be included in an access application</w:t>
      </w:r>
    </w:p>
    <w:p>
      <w:pPr>
        <w:pStyle w:val="TOC4"/>
        <w:keepNext w:val="0"/>
        <w:tabs>
          <w:tab w:val="right" w:leader="dot" w:pos="7086"/>
        </w:tabs>
        <w:rPr>
          <w:b w:val="0"/>
          <w:sz w:val="24"/>
          <w:szCs w:val="24"/>
        </w:rPr>
      </w:pPr>
      <w:r>
        <w:rPr>
          <w:szCs w:val="24"/>
        </w:rPr>
        <w:t>Part B — Information to be included in a response</w:t>
      </w:r>
    </w:p>
    <w:p>
      <w:pPr>
        <w:pStyle w:val="TOC2"/>
        <w:keepNext w:val="0"/>
        <w:tabs>
          <w:tab w:val="right" w:leader="dot" w:pos="7086"/>
        </w:tabs>
        <w:rPr>
          <w:b w:val="0"/>
          <w:sz w:val="24"/>
          <w:szCs w:val="24"/>
        </w:rPr>
      </w:pPr>
      <w:r>
        <w:rPr>
          <w:szCs w:val="28"/>
        </w:rPr>
        <w:t>Schedule 3 — Terms of an access offer</w:t>
      </w:r>
    </w:p>
    <w:p>
      <w:pPr>
        <w:pStyle w:val="TOC2"/>
        <w:keepNext w:val="0"/>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_Toc251759221 \h </w:instrText>
      </w:r>
      <w:r>
        <w:fldChar w:fldCharType="separate"/>
      </w:r>
      <w:r>
        <w:t>87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January 2010</w:t>
            </w:r>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9771988"/>
      <w:bookmarkStart w:id="249" w:name="_Toc139772438"/>
      <w:bookmarkStart w:id="250" w:name="_Toc144196741"/>
      <w:bookmarkStart w:id="251" w:name="_Toc146521312"/>
      <w:bookmarkStart w:id="252" w:name="_Toc146531015"/>
      <w:bookmarkStart w:id="253" w:name="_Toc170631398"/>
      <w:bookmarkStart w:id="254" w:name="_Toc171051507"/>
      <w:bookmarkStart w:id="255" w:name="_Toc246133837"/>
      <w:bookmarkStart w:id="256" w:name="_Toc246138315"/>
      <w:bookmarkStart w:id="257" w:name="_Toc248541332"/>
      <w:bookmarkStart w:id="258" w:name="_Toc248542512"/>
      <w:bookmarkStart w:id="259" w:name="_Toc248542905"/>
      <w:bookmarkStart w:id="260" w:name="_Toc250705824"/>
      <w:bookmarkStart w:id="261" w:name="_Toc250705898"/>
      <w:bookmarkStart w:id="262" w:name="_Toc251759149"/>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23332722"/>
      <w:bookmarkStart w:id="264" w:name="_Toc425219441"/>
      <w:bookmarkStart w:id="265" w:name="_Toc426249308"/>
      <w:bookmarkStart w:id="266" w:name="_Toc449924704"/>
      <w:bookmarkStart w:id="267" w:name="_Toc449947722"/>
      <w:bookmarkStart w:id="268" w:name="_Toc454185713"/>
      <w:bookmarkStart w:id="269" w:name="_Toc515958686"/>
      <w:bookmarkStart w:id="270" w:name="_Toc133227843"/>
      <w:bookmarkStart w:id="271" w:name="_Toc251759150"/>
      <w:r>
        <w:rPr>
          <w:rStyle w:val="CharSectno"/>
        </w:rPr>
        <w:t>1</w:t>
      </w:r>
      <w:r>
        <w:t>.</w:t>
      </w:r>
      <w:r>
        <w:tab/>
        <w:t>Citation</w:t>
      </w:r>
      <w:bookmarkEnd w:id="263"/>
      <w:bookmarkEnd w:id="264"/>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72" w:name="_Toc28753058"/>
      <w:bookmarkStart w:id="273" w:name="_Toc131575649"/>
      <w:bookmarkStart w:id="274" w:name="_Toc251759151"/>
      <w:r>
        <w:rPr>
          <w:rStyle w:val="CharSectno"/>
        </w:rPr>
        <w:t>2</w:t>
      </w:r>
      <w:r>
        <w:rPr>
          <w:snapToGrid w:val="0"/>
        </w:rPr>
        <w:t>.</w:t>
      </w:r>
      <w:r>
        <w:rPr>
          <w:snapToGrid w:val="0"/>
        </w:rPr>
        <w:tab/>
        <w:t>Commencement</w:t>
      </w:r>
      <w:bookmarkEnd w:id="272"/>
      <w:bookmarkEnd w:id="273"/>
      <w:bookmarkEnd w:id="274"/>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75" w:name="_Toc28753059"/>
      <w:bookmarkStart w:id="276" w:name="_Toc131575650"/>
      <w:bookmarkStart w:id="277" w:name="_Toc251759152"/>
      <w:r>
        <w:rPr>
          <w:rStyle w:val="CharSectno"/>
        </w:rPr>
        <w:t>3</w:t>
      </w:r>
      <w:r>
        <w:rPr>
          <w:snapToGrid w:val="0"/>
        </w:rPr>
        <w:t>.</w:t>
      </w:r>
      <w:r>
        <w:rPr>
          <w:snapToGrid w:val="0"/>
        </w:rPr>
        <w:tab/>
      </w:r>
      <w:bookmarkEnd w:id="275"/>
      <w:bookmarkEnd w:id="276"/>
      <w:r>
        <w:rPr>
          <w:snapToGrid w:val="0"/>
        </w:rPr>
        <w:t>Terms used</w:t>
      </w:r>
      <w:bookmarkEnd w:id="27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tab/>
        <w:t>(b)</w:t>
      </w:r>
      <w:r>
        <w:tab/>
        <w:t>control system services;</w:t>
      </w:r>
    </w:p>
    <w:p>
      <w:pPr>
        <w:pStyle w:val="Defpara"/>
        <w:spacing w:before="70"/>
      </w:pPr>
      <w:r>
        <w:tab/>
        <w:t>(c)</w:t>
      </w:r>
      <w:r>
        <w:tab/>
        <w:t>spinning reserve; and</w:t>
      </w:r>
    </w:p>
    <w:p>
      <w:pPr>
        <w:pStyle w:val="Defpara"/>
        <w:spacing w:before="70"/>
      </w:pPr>
      <w:r>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p>
    <w:p>
      <w:pPr>
        <w:pStyle w:val="Defsubpara"/>
        <w:spacing w:before="70"/>
        <w:rPr>
          <w:snapToGrid w:val="0"/>
        </w:rPr>
      </w:pPr>
      <w:r>
        <w:rPr>
          <w:snapToGrid w:val="0"/>
        </w:rPr>
        <w:tab/>
        <w:t>(i)</w:t>
      </w:r>
      <w:r>
        <w:rPr>
          <w:snapToGrid w:val="0"/>
        </w:rPr>
        <w:tab/>
        <w:t>control of performance of the electricity distribution network;</w:t>
      </w:r>
    </w:p>
    <w:p>
      <w:pPr>
        <w:pStyle w:val="Defsubpara"/>
        <w:keepLines w:val="0"/>
        <w:spacing w:before="70"/>
        <w:rPr>
          <w:snapToGrid w:val="0"/>
        </w:rPr>
      </w:pPr>
      <w:r>
        <w:rPr>
          <w:snapToGrid w:val="0"/>
        </w:rPr>
        <w:tab/>
        <w:t>(ii)</w:t>
      </w:r>
      <w:r>
        <w:rPr>
          <w:snapToGrid w:val="0"/>
        </w:rPr>
        <w:tab/>
        <w:t>monitoring of faults on the electricity distribution network and rectification of faults identified;</w:t>
      </w:r>
    </w:p>
    <w:p>
      <w:pPr>
        <w:pStyle w:val="Defsubpara"/>
        <w:spacing w:before="70"/>
        <w:rPr>
          <w:snapToGrid w:val="0"/>
        </w:rPr>
      </w:pPr>
      <w:r>
        <w:rPr>
          <w:snapToGrid w:val="0"/>
        </w:rPr>
        <w:tab/>
        <w:t>(iii)</w:t>
      </w:r>
      <w:r>
        <w:rPr>
          <w:snapToGrid w:val="0"/>
        </w:rP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rPr>
          <w:b/>
        </w:rPr>
        <w:tab/>
      </w:r>
      <w:r>
        <w:rPr>
          <w:rStyle w:val="CharDefText"/>
        </w:rPr>
        <w:t>Electricity Generation Corporation</w:t>
      </w:r>
      <w:r>
        <w:t xml:space="preserve"> means the body established by section 4(1)(a) of the </w:t>
      </w:r>
      <w:r>
        <w:rPr>
          <w:i/>
          <w:iCs/>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p>
    <w:p>
      <w:pPr>
        <w:pStyle w:val="Defpara"/>
      </w:pPr>
      <w:r>
        <w:tab/>
        <w:t>(a)</w:t>
      </w:r>
      <w:r>
        <w:tab/>
        <w:t>the provision of metering equipment complying with the Distribution Technical Code;</w:t>
      </w:r>
    </w:p>
    <w:p>
      <w:pPr>
        <w:pStyle w:val="Defpara"/>
      </w:pPr>
      <w:r>
        <w:tab/>
        <w:t>(b)</w:t>
      </w:r>
      <w:r>
        <w:tab/>
        <w:t>the use of that metering equipment to measure and record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rPr>
          <w:vertAlign w:val="superscript"/>
        </w:rPr>
        <w:t> 4</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r>
        <w:rPr>
          <w:b/>
          <w:bCs/>
          <w:i/>
          <w:iCs/>
        </w:rPr>
        <w:t>access services</w:t>
      </w:r>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r>
        <w:rPr>
          <w:b/>
          <w:bCs/>
          <w:i/>
          <w:iCs/>
        </w:rPr>
        <w:t>fee schedule</w:t>
      </w:r>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 26 Jun 2007 p. 3025.]</w:t>
      </w:r>
    </w:p>
    <w:p>
      <w:pPr>
        <w:pStyle w:val="Heading5"/>
        <w:rPr>
          <w:snapToGrid w:val="0"/>
        </w:rPr>
      </w:pPr>
      <w:bookmarkStart w:id="278" w:name="_Toc28753060"/>
      <w:bookmarkStart w:id="279" w:name="_Toc131575651"/>
      <w:bookmarkStart w:id="280" w:name="_Toc251759153"/>
      <w:r>
        <w:rPr>
          <w:rStyle w:val="CharSectno"/>
        </w:rPr>
        <w:t>4</w:t>
      </w:r>
      <w:r>
        <w:rPr>
          <w:snapToGrid w:val="0"/>
        </w:rPr>
        <w:t>.</w:t>
      </w:r>
      <w:r>
        <w:rPr>
          <w:snapToGrid w:val="0"/>
        </w:rPr>
        <w:tab/>
        <w:t>Interpretation</w:t>
      </w:r>
      <w:bookmarkEnd w:id="278"/>
      <w:bookmarkEnd w:id="279"/>
      <w:bookmarkEnd w:id="280"/>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81" w:name="_Toc28753061"/>
      <w:bookmarkStart w:id="282" w:name="_Toc131575652"/>
      <w:bookmarkStart w:id="283" w:name="_Toc251759154"/>
      <w:r>
        <w:rPr>
          <w:rStyle w:val="CharSectno"/>
        </w:rPr>
        <w:t>5</w:t>
      </w:r>
      <w:r>
        <w:rPr>
          <w:snapToGrid w:val="0"/>
        </w:rPr>
        <w:t>.</w:t>
      </w:r>
      <w:r>
        <w:rPr>
          <w:snapToGrid w:val="0"/>
        </w:rPr>
        <w:tab/>
        <w:t xml:space="preserve">Electricity distribution </w:t>
      </w:r>
      <w:bookmarkEnd w:id="281"/>
      <w:bookmarkEnd w:id="282"/>
      <w:r>
        <w:rPr>
          <w:snapToGrid w:val="0"/>
        </w:rPr>
        <w:t>system prescribed (Act s. 89(1))</w:t>
      </w:r>
      <w:bookmarkEnd w:id="283"/>
    </w:p>
    <w:p>
      <w:pPr>
        <w:pStyle w:val="Subsection"/>
      </w:pPr>
      <w:r>
        <w:tab/>
        <w:t>(1)</w:t>
      </w:r>
      <w:r>
        <w:tab/>
        <w:t xml:space="preserve">For the purposes of the definition of </w:t>
      </w:r>
      <w:r>
        <w:rPr>
          <w:b/>
          <w:bCs/>
          <w:i/>
          <w:iCs/>
        </w:rPr>
        <w:t>electricity distribution system</w:t>
      </w:r>
      <w:r>
        <w:t xml:space="preserve"> in section 89(1) of the Act, all parts of the system operated by a corporation for transportation of electricity at nominal voltages of less than 66kV and a nominal frequency of 50Hz are prescribed other than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r>
        <w:tab/>
        <w:t>deleted]</w:t>
      </w:r>
    </w:p>
    <w:p>
      <w:pPr>
        <w:pStyle w:val="Footnotesection"/>
        <w:ind w:left="890" w:hanging="890"/>
      </w:pPr>
      <w:r>
        <w:tab/>
        <w:t>[Regulation 5 amended in Gazette 31 Dec 1998 p. 7400; 31 Mar 2006 p. 1306</w:t>
      </w:r>
      <w:r>
        <w:noBreakHyphen/>
        <w:t>7 and 1316; 26 Jun 2007 p. 3025.]</w:t>
      </w:r>
    </w:p>
    <w:p>
      <w:pPr>
        <w:pStyle w:val="Heading5"/>
      </w:pPr>
      <w:bookmarkStart w:id="284" w:name="_Toc251759155"/>
      <w:bookmarkStart w:id="285" w:name="_Toc125451717"/>
      <w:bookmarkStart w:id="286" w:name="_Toc125452225"/>
      <w:bookmarkStart w:id="287" w:name="_Toc131575654"/>
      <w:bookmarkStart w:id="288" w:name="_Toc131575731"/>
      <w:bookmarkStart w:id="289" w:name="_Toc131912063"/>
      <w:bookmarkStart w:id="290" w:name="_Toc135538163"/>
      <w:bookmarkStart w:id="291" w:name="_Toc138227293"/>
      <w:bookmarkStart w:id="292" w:name="_Toc138489282"/>
      <w:bookmarkStart w:id="293" w:name="_Toc139771995"/>
      <w:bookmarkStart w:id="294" w:name="_Toc139772445"/>
      <w:bookmarkStart w:id="295" w:name="_Toc144196748"/>
      <w:bookmarkStart w:id="296" w:name="_Toc146521319"/>
      <w:bookmarkStart w:id="297" w:name="_Toc146531022"/>
      <w:r>
        <w:rPr>
          <w:rStyle w:val="CharSectno"/>
        </w:rPr>
        <w:t>6</w:t>
      </w:r>
      <w:r>
        <w:t>.</w:t>
      </w:r>
      <w:r>
        <w:tab/>
        <w:t>Restricted application of regulations</w:t>
      </w:r>
      <w:bookmarkEnd w:id="284"/>
    </w:p>
    <w:p>
      <w:pPr>
        <w:pStyle w:val="Subsection"/>
      </w:pPr>
      <w:r>
        <w:tab/>
      </w:r>
      <w:r>
        <w:tab/>
        <w:t>The application of these regulations is limited to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in Gazette 26 Jun 2007 p. 3025.]</w:t>
      </w:r>
    </w:p>
    <w:p>
      <w:pPr>
        <w:pStyle w:val="Heading2"/>
      </w:pPr>
      <w:bookmarkStart w:id="298" w:name="_Toc170631406"/>
      <w:bookmarkStart w:id="299" w:name="_Toc171051514"/>
      <w:bookmarkStart w:id="300" w:name="_Toc246133844"/>
      <w:bookmarkStart w:id="301" w:name="_Toc246138322"/>
      <w:bookmarkStart w:id="302" w:name="_Toc248541339"/>
      <w:bookmarkStart w:id="303" w:name="_Toc248542519"/>
      <w:bookmarkStart w:id="304" w:name="_Toc248542912"/>
      <w:bookmarkStart w:id="305" w:name="_Toc250705831"/>
      <w:bookmarkStart w:id="306" w:name="_Toc250705905"/>
      <w:bookmarkStart w:id="307" w:name="_Toc251759156"/>
      <w:r>
        <w:rPr>
          <w:rStyle w:val="CharPartNo"/>
        </w:rPr>
        <w:t>Part 2</w:t>
      </w:r>
      <w:r>
        <w:rPr>
          <w:rStyle w:val="CharDivNo"/>
        </w:rPr>
        <w:t> </w:t>
      </w:r>
      <w:r>
        <w:t>—</w:t>
      </w:r>
      <w:r>
        <w:rPr>
          <w:rStyle w:val="CharDivText"/>
        </w:rPr>
        <w:t> </w:t>
      </w:r>
      <w:r>
        <w:rPr>
          <w:rStyle w:val="CharPartText"/>
        </w:rPr>
        <w:t>Access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28753063"/>
      <w:bookmarkStart w:id="309" w:name="_Toc131575655"/>
      <w:bookmarkStart w:id="310" w:name="_Toc251759157"/>
      <w:r>
        <w:rPr>
          <w:rStyle w:val="CharSectno"/>
        </w:rPr>
        <w:t>7</w:t>
      </w:r>
      <w:r>
        <w:rPr>
          <w:snapToGrid w:val="0"/>
        </w:rPr>
        <w:t>.</w:t>
      </w:r>
      <w:r>
        <w:rPr>
          <w:snapToGrid w:val="0"/>
        </w:rPr>
        <w:tab/>
        <w:t>Access procedure</w:t>
      </w:r>
      <w:bookmarkEnd w:id="308"/>
      <w:bookmarkEnd w:id="309"/>
      <w:bookmarkEnd w:id="310"/>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11" w:name="_Toc28753064"/>
      <w:bookmarkStart w:id="312" w:name="_Toc131575656"/>
      <w:bookmarkStart w:id="313" w:name="_Toc251759158"/>
      <w:r>
        <w:rPr>
          <w:rStyle w:val="CharSectno"/>
        </w:rPr>
        <w:t>8</w:t>
      </w:r>
      <w:r>
        <w:rPr>
          <w:snapToGrid w:val="0"/>
        </w:rPr>
        <w:t>.</w:t>
      </w:r>
      <w:r>
        <w:rPr>
          <w:snapToGrid w:val="0"/>
        </w:rPr>
        <w:tab/>
        <w:t>Access application</w:t>
      </w:r>
      <w:bookmarkEnd w:id="311"/>
      <w:bookmarkEnd w:id="312"/>
      <w:bookmarkEnd w:id="313"/>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14" w:name="_Toc28753065"/>
      <w:bookmarkStart w:id="315" w:name="_Toc131575657"/>
      <w:bookmarkStart w:id="316" w:name="_Toc251759159"/>
      <w:r>
        <w:rPr>
          <w:rStyle w:val="CharSectno"/>
        </w:rPr>
        <w:t>9</w:t>
      </w:r>
      <w:r>
        <w:rPr>
          <w:snapToGrid w:val="0"/>
        </w:rPr>
        <w:t>.</w:t>
      </w:r>
      <w:r>
        <w:rPr>
          <w:snapToGrid w:val="0"/>
        </w:rPr>
        <w:tab/>
        <w:t>Provision and use of information in respect of access application</w:t>
      </w:r>
      <w:bookmarkEnd w:id="314"/>
      <w:bookmarkEnd w:id="315"/>
      <w:bookmarkEnd w:id="316"/>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distribution access services.</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17" w:name="_Toc28753066"/>
      <w:bookmarkStart w:id="318" w:name="_Toc131575658"/>
      <w:bookmarkStart w:id="319" w:name="_Toc251759160"/>
      <w:r>
        <w:rPr>
          <w:rStyle w:val="CharSectno"/>
        </w:rPr>
        <w:t>10</w:t>
      </w:r>
      <w:r>
        <w:rPr>
          <w:snapToGrid w:val="0"/>
        </w:rPr>
        <w:t>.</w:t>
      </w:r>
      <w:r>
        <w:rPr>
          <w:snapToGrid w:val="0"/>
        </w:rPr>
        <w:tab/>
        <w:t>Preliminary assessment</w:t>
      </w:r>
      <w:bookmarkEnd w:id="317"/>
      <w:bookmarkEnd w:id="318"/>
      <w:bookmarkEnd w:id="319"/>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20" w:name="_Toc28753067"/>
      <w:bookmarkStart w:id="321" w:name="_Toc131575659"/>
      <w:bookmarkStart w:id="322" w:name="_Toc251759161"/>
      <w:r>
        <w:rPr>
          <w:rStyle w:val="CharSectno"/>
        </w:rPr>
        <w:t>11</w:t>
      </w:r>
      <w:r>
        <w:rPr>
          <w:snapToGrid w:val="0"/>
        </w:rPr>
        <w:t>.</w:t>
      </w:r>
      <w:r>
        <w:rPr>
          <w:snapToGrid w:val="0"/>
        </w:rPr>
        <w:tab/>
        <w:t>Access offer</w:t>
      </w:r>
      <w:bookmarkEnd w:id="320"/>
      <w:bookmarkEnd w:id="321"/>
      <w:bookmarkEnd w:id="322"/>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 in Gazette 31 Mar 2006 p. 1308, 1317 and 1318.]</w:t>
      </w:r>
    </w:p>
    <w:p>
      <w:pPr>
        <w:pStyle w:val="Heading5"/>
        <w:spacing w:before="180"/>
        <w:rPr>
          <w:snapToGrid w:val="0"/>
        </w:rPr>
      </w:pPr>
      <w:bookmarkStart w:id="323" w:name="_Toc28753068"/>
      <w:bookmarkStart w:id="324" w:name="_Toc131575660"/>
      <w:bookmarkStart w:id="325" w:name="_Toc251759162"/>
      <w:r>
        <w:rPr>
          <w:rStyle w:val="CharSectno"/>
        </w:rPr>
        <w:t>12</w:t>
      </w:r>
      <w:r>
        <w:rPr>
          <w:snapToGrid w:val="0"/>
        </w:rPr>
        <w:t>.</w:t>
      </w:r>
      <w:r>
        <w:rPr>
          <w:snapToGrid w:val="0"/>
        </w:rPr>
        <w:tab/>
        <w:t>Capital contributions</w:t>
      </w:r>
      <w:bookmarkEnd w:id="323"/>
      <w:bookmarkEnd w:id="324"/>
      <w:bookmarkEnd w:id="325"/>
    </w:p>
    <w:p>
      <w:pPr>
        <w:pStyle w:val="Subsection"/>
        <w:spacing w:before="120"/>
      </w:pPr>
      <w:r>
        <w:tab/>
        <w:t>(1)</w:t>
      </w:r>
      <w:r>
        <w:tab/>
        <w:t>For the purposes of this regulation, an augmentation is commercially viable if —</w:t>
      </w:r>
    </w:p>
    <w:p>
      <w:pPr>
        <w:pStyle w:val="Indenta"/>
        <w:spacing w:before="60"/>
      </w:pPr>
      <w:r>
        <w:tab/>
        <w:t>(a)</w:t>
      </w:r>
      <w:r>
        <w:tab/>
        <w:t>in the case of the Electricity Networks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 26 Jun 2007 p. 3026.]</w:t>
      </w:r>
    </w:p>
    <w:p>
      <w:pPr>
        <w:pStyle w:val="Heading5"/>
        <w:rPr>
          <w:snapToGrid w:val="0"/>
        </w:rPr>
      </w:pPr>
      <w:bookmarkStart w:id="326" w:name="_Toc28753069"/>
      <w:bookmarkStart w:id="327" w:name="_Toc131575661"/>
      <w:bookmarkStart w:id="328" w:name="_Toc251759163"/>
      <w:r>
        <w:rPr>
          <w:rStyle w:val="CharSectno"/>
        </w:rPr>
        <w:t>13</w:t>
      </w:r>
      <w:r>
        <w:rPr>
          <w:snapToGrid w:val="0"/>
        </w:rPr>
        <w:t>.</w:t>
      </w:r>
      <w:r>
        <w:rPr>
          <w:snapToGrid w:val="0"/>
        </w:rPr>
        <w:tab/>
        <w:t>First come first served</w:t>
      </w:r>
      <w:bookmarkEnd w:id="326"/>
      <w:bookmarkEnd w:id="327"/>
      <w:bookmarkEnd w:id="32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r>
      <w:r>
        <w:t xml:space="preserve">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29" w:name="_Toc28753070"/>
      <w:bookmarkStart w:id="330" w:name="_Toc131575662"/>
      <w:bookmarkStart w:id="331" w:name="_Toc251759164"/>
      <w:r>
        <w:rPr>
          <w:rStyle w:val="CharSectno"/>
        </w:rPr>
        <w:t>14</w:t>
      </w:r>
      <w:r>
        <w:rPr>
          <w:snapToGrid w:val="0"/>
        </w:rPr>
        <w:t>.</w:t>
      </w:r>
      <w:r>
        <w:rPr>
          <w:snapToGrid w:val="0"/>
        </w:rPr>
        <w:tab/>
        <w:t>Confidentiality</w:t>
      </w:r>
      <w:bookmarkEnd w:id="329"/>
      <w:bookmarkEnd w:id="330"/>
      <w:bookmarkEnd w:id="331"/>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p>
    <w:p>
      <w:pPr>
        <w:pStyle w:val="Indenta"/>
        <w:spacing w:before="60"/>
        <w:rPr>
          <w:snapToGrid w:val="0"/>
        </w:rPr>
      </w:pPr>
      <w:r>
        <w:rPr>
          <w:snapToGrid w:val="0"/>
        </w:rPr>
        <w:tab/>
        <w:t>(a)</w:t>
      </w:r>
      <w:r>
        <w:rPr>
          <w:snapToGrid w:val="0"/>
        </w:rPr>
        <w:tab/>
        <w:t>the disclosure of an item of sensitive information to —</w:t>
      </w:r>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vertAlign w:val="superscript"/>
        </w:rPr>
        <w:t> 4</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32" w:name="_Toc28753071"/>
      <w:bookmarkStart w:id="333" w:name="_Toc131575663"/>
      <w:bookmarkStart w:id="334" w:name="_Toc251759165"/>
      <w:r>
        <w:rPr>
          <w:rStyle w:val="CharSectno"/>
        </w:rPr>
        <w:t>15</w:t>
      </w:r>
      <w:r>
        <w:rPr>
          <w:snapToGrid w:val="0"/>
        </w:rPr>
        <w:t>.</w:t>
      </w:r>
      <w:r>
        <w:rPr>
          <w:snapToGrid w:val="0"/>
        </w:rPr>
        <w:tab/>
        <w:t>Distribution access agreements</w:t>
      </w:r>
      <w:bookmarkEnd w:id="332"/>
      <w:bookmarkEnd w:id="333"/>
      <w:bookmarkEnd w:id="334"/>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tab/>
        <w:t>deleted]</w:t>
      </w:r>
    </w:p>
    <w:p>
      <w:pPr>
        <w:pStyle w:val="Footnotesection"/>
        <w:keepLines w:val="0"/>
      </w:pPr>
      <w:bookmarkStart w:id="335" w:name="_Toc28753072"/>
      <w:r>
        <w:tab/>
        <w:t>[Regulation 15 amended in Gazette 20 Jan 2006 p. 379; 31 Mar 2006 p. 1309, 1316 and 1318; 26 Jun 2007 p. 3026.]</w:t>
      </w:r>
    </w:p>
    <w:p>
      <w:pPr>
        <w:pStyle w:val="Heading5"/>
        <w:rPr>
          <w:snapToGrid w:val="0"/>
        </w:rPr>
      </w:pPr>
      <w:bookmarkStart w:id="336" w:name="_Toc131575664"/>
      <w:bookmarkStart w:id="337" w:name="_Toc251759166"/>
      <w:r>
        <w:rPr>
          <w:rStyle w:val="CharSectno"/>
        </w:rPr>
        <w:t>16</w:t>
      </w:r>
      <w:r>
        <w:rPr>
          <w:snapToGrid w:val="0"/>
        </w:rPr>
        <w:t>.</w:t>
      </w:r>
      <w:r>
        <w:rPr>
          <w:snapToGrid w:val="0"/>
        </w:rPr>
        <w:tab/>
        <w:t>Cost of processing access applications</w:t>
      </w:r>
      <w:bookmarkEnd w:id="335"/>
      <w:bookmarkEnd w:id="336"/>
      <w:bookmarkEnd w:id="337"/>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38" w:name="_Toc28753073"/>
      <w:bookmarkStart w:id="339" w:name="_Toc131575665"/>
      <w:bookmarkStart w:id="340" w:name="_Toc251759167"/>
      <w:r>
        <w:rPr>
          <w:rStyle w:val="CharSectno"/>
        </w:rPr>
        <w:t>17</w:t>
      </w:r>
      <w:r>
        <w:rPr>
          <w:snapToGrid w:val="0"/>
        </w:rPr>
        <w:t>.</w:t>
      </w:r>
      <w:r>
        <w:rPr>
          <w:snapToGrid w:val="0"/>
        </w:rPr>
        <w:tab/>
        <w:t>Suspension of time limits</w:t>
      </w:r>
      <w:bookmarkEnd w:id="338"/>
      <w:bookmarkEnd w:id="339"/>
      <w:bookmarkEnd w:id="340"/>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vertAlign w:val="superscript"/>
        </w:rPr>
        <w:t> 4</w:t>
      </w:r>
      <w:r>
        <w:rPr>
          <w:snapToGrid w:val="0"/>
        </w:rPr>
        <w:t>.</w:t>
      </w:r>
    </w:p>
    <w:p>
      <w:pPr>
        <w:pStyle w:val="Heading5"/>
        <w:rPr>
          <w:snapToGrid w:val="0"/>
        </w:rPr>
      </w:pPr>
      <w:bookmarkStart w:id="341" w:name="_Toc28753074"/>
      <w:bookmarkStart w:id="342" w:name="_Toc131575666"/>
      <w:bookmarkStart w:id="343" w:name="_Toc251759168"/>
      <w:r>
        <w:rPr>
          <w:rStyle w:val="CharSectno"/>
        </w:rPr>
        <w:t>18</w:t>
      </w:r>
      <w:r>
        <w:rPr>
          <w:snapToGrid w:val="0"/>
        </w:rPr>
        <w:t>.</w:t>
      </w:r>
      <w:r>
        <w:rPr>
          <w:snapToGrid w:val="0"/>
        </w:rPr>
        <w:tab/>
        <w:t>Metering</w:t>
      </w:r>
      <w:bookmarkEnd w:id="341"/>
      <w:bookmarkEnd w:id="342"/>
      <w:bookmarkEnd w:id="343"/>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44" w:name="_Toc125451730"/>
      <w:bookmarkStart w:id="345" w:name="_Toc125452238"/>
      <w:bookmarkStart w:id="346" w:name="_Toc131575667"/>
      <w:bookmarkStart w:id="347" w:name="_Toc131575744"/>
      <w:bookmarkStart w:id="348" w:name="_Toc131912076"/>
      <w:bookmarkStart w:id="349" w:name="_Toc135538176"/>
      <w:bookmarkStart w:id="350" w:name="_Toc138227306"/>
      <w:bookmarkStart w:id="351" w:name="_Toc138489295"/>
      <w:bookmarkStart w:id="352" w:name="_Toc139772008"/>
      <w:bookmarkStart w:id="353" w:name="_Toc139772458"/>
      <w:bookmarkStart w:id="354" w:name="_Toc144196761"/>
      <w:bookmarkStart w:id="355" w:name="_Toc146521332"/>
      <w:bookmarkStart w:id="356" w:name="_Toc146531035"/>
      <w:bookmarkStart w:id="357" w:name="_Toc170631419"/>
      <w:bookmarkStart w:id="358" w:name="_Toc171051527"/>
      <w:bookmarkStart w:id="359" w:name="_Toc246133857"/>
      <w:bookmarkStart w:id="360" w:name="_Toc246138335"/>
      <w:bookmarkStart w:id="361" w:name="_Toc248541352"/>
      <w:bookmarkStart w:id="362" w:name="_Toc248542532"/>
      <w:bookmarkStart w:id="363" w:name="_Toc248542925"/>
      <w:bookmarkStart w:id="364" w:name="_Toc250705844"/>
      <w:bookmarkStart w:id="365" w:name="_Toc250705918"/>
      <w:bookmarkStart w:id="366" w:name="_Toc251759169"/>
      <w:r>
        <w:rPr>
          <w:rStyle w:val="CharPartNo"/>
        </w:rPr>
        <w:t>Part 3</w:t>
      </w:r>
      <w:r>
        <w:rPr>
          <w:rStyle w:val="CharDivNo"/>
        </w:rPr>
        <w:t> </w:t>
      </w:r>
      <w:r>
        <w:t>—</w:t>
      </w:r>
      <w:r>
        <w:rPr>
          <w:rStyle w:val="CharDivText"/>
        </w:rPr>
        <w:t> </w:t>
      </w:r>
      <w:r>
        <w:rPr>
          <w:rStyle w:val="CharPartText"/>
        </w:rPr>
        <w:t>Pricing methods, prices and charges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8753075"/>
      <w:bookmarkStart w:id="368" w:name="_Toc131575668"/>
      <w:bookmarkStart w:id="369" w:name="_Toc251759170"/>
      <w:r>
        <w:rPr>
          <w:rStyle w:val="CharSectno"/>
        </w:rPr>
        <w:t>19</w:t>
      </w:r>
      <w:r>
        <w:rPr>
          <w:snapToGrid w:val="0"/>
        </w:rPr>
        <w:t>.</w:t>
      </w:r>
      <w:r>
        <w:rPr>
          <w:snapToGrid w:val="0"/>
        </w:rPr>
        <w:tab/>
        <w:t>Pricing methods and prices</w:t>
      </w:r>
      <w:bookmarkEnd w:id="367"/>
      <w:bookmarkEnd w:id="368"/>
      <w:bookmarkEnd w:id="369"/>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 26 Jun 2007 p. 3026.]</w:t>
      </w:r>
    </w:p>
    <w:p>
      <w:pPr>
        <w:pStyle w:val="Heading5"/>
        <w:rPr>
          <w:snapToGrid w:val="0"/>
        </w:rPr>
      </w:pPr>
      <w:bookmarkStart w:id="370" w:name="_Toc28753076"/>
      <w:bookmarkStart w:id="371" w:name="_Toc131575669"/>
      <w:bookmarkStart w:id="372" w:name="_Toc251759171"/>
      <w:r>
        <w:rPr>
          <w:rStyle w:val="CharSectno"/>
        </w:rPr>
        <w:t>20</w:t>
      </w:r>
      <w:r>
        <w:rPr>
          <w:snapToGrid w:val="0"/>
        </w:rPr>
        <w:t>.</w:t>
      </w:r>
      <w:r>
        <w:rPr>
          <w:snapToGrid w:val="0"/>
        </w:rPr>
        <w:tab/>
        <w:t>Charges</w:t>
      </w:r>
      <w:bookmarkEnd w:id="370"/>
      <w:bookmarkEnd w:id="371"/>
      <w:bookmarkEnd w:id="372"/>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73" w:name="_Toc125451733"/>
      <w:bookmarkStart w:id="374" w:name="_Toc125452241"/>
      <w:bookmarkStart w:id="375" w:name="_Toc131575670"/>
      <w:bookmarkStart w:id="376" w:name="_Toc131575747"/>
      <w:bookmarkStart w:id="377" w:name="_Toc131912079"/>
      <w:bookmarkStart w:id="378" w:name="_Toc135538179"/>
      <w:bookmarkStart w:id="379" w:name="_Toc138227309"/>
      <w:bookmarkStart w:id="380" w:name="_Toc138489298"/>
      <w:bookmarkStart w:id="381" w:name="_Toc139772011"/>
      <w:bookmarkStart w:id="382" w:name="_Toc139772461"/>
      <w:bookmarkStart w:id="383" w:name="_Toc144196764"/>
      <w:bookmarkStart w:id="384" w:name="_Toc146521335"/>
      <w:bookmarkStart w:id="385" w:name="_Toc146531038"/>
      <w:bookmarkStart w:id="386" w:name="_Toc170631422"/>
      <w:bookmarkStart w:id="387" w:name="_Toc171051530"/>
      <w:bookmarkStart w:id="388" w:name="_Toc246133860"/>
      <w:bookmarkStart w:id="389" w:name="_Toc246138338"/>
      <w:bookmarkStart w:id="390" w:name="_Toc248541355"/>
      <w:bookmarkStart w:id="391" w:name="_Toc248542535"/>
      <w:bookmarkStart w:id="392" w:name="_Toc248542928"/>
      <w:bookmarkStart w:id="393" w:name="_Toc250705847"/>
      <w:bookmarkStart w:id="394" w:name="_Toc250705921"/>
      <w:bookmarkStart w:id="395" w:name="_Toc251759172"/>
      <w:r>
        <w:rPr>
          <w:rStyle w:val="CharPartNo"/>
        </w:rPr>
        <w:t>Part 4</w:t>
      </w:r>
      <w:r>
        <w:rPr>
          <w:rStyle w:val="CharDivNo"/>
        </w:rPr>
        <w:t> </w:t>
      </w:r>
      <w:r>
        <w:t>—</w:t>
      </w:r>
      <w:r>
        <w:rPr>
          <w:rStyle w:val="CharDivText"/>
        </w:rPr>
        <w:t> </w:t>
      </w:r>
      <w:r>
        <w:rPr>
          <w:rStyle w:val="CharPartText"/>
        </w:rPr>
        <w:t>Balancing</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spacing w:before="180"/>
      </w:pPr>
      <w:bookmarkStart w:id="396" w:name="_Toc251759173"/>
      <w:bookmarkStart w:id="397" w:name="_Toc28753077"/>
      <w:bookmarkStart w:id="398" w:name="_Toc131575671"/>
      <w:r>
        <w:rPr>
          <w:rStyle w:val="CharSectno"/>
        </w:rPr>
        <w:t>20A</w:t>
      </w:r>
      <w:r>
        <w:t>.</w:t>
      </w:r>
      <w:r>
        <w:tab/>
        <w:t>Application of Part modified for wholesale electricity market</w:t>
      </w:r>
      <w:bookmarkEnd w:id="396"/>
    </w:p>
    <w:p>
      <w:pPr>
        <w:pStyle w:val="Subsection"/>
        <w:spacing w:before="120"/>
      </w:pPr>
      <w:r>
        <w:tab/>
        <w:t>(1)</w:t>
      </w:r>
      <w:r>
        <w:tab/>
        <w:t>In this regulation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399" w:name="_Toc251759174"/>
      <w:r>
        <w:rPr>
          <w:rStyle w:val="CharSectno"/>
        </w:rPr>
        <w:t>21</w:t>
      </w:r>
      <w:r>
        <w:rPr>
          <w:snapToGrid w:val="0"/>
        </w:rPr>
        <w:t>.</w:t>
      </w:r>
      <w:r>
        <w:rPr>
          <w:snapToGrid w:val="0"/>
        </w:rPr>
        <w:tab/>
        <w:t>Standby arrangements</w:t>
      </w:r>
      <w:bookmarkEnd w:id="397"/>
      <w:bookmarkEnd w:id="398"/>
      <w:bookmarkEnd w:id="399"/>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pPr>
      <w:bookmarkStart w:id="400" w:name="_Toc28753078"/>
      <w:bookmarkStart w:id="401" w:name="_Toc131575672"/>
      <w:bookmarkStart w:id="402" w:name="_Toc251759175"/>
      <w:r>
        <w:rPr>
          <w:rStyle w:val="CharSectno"/>
        </w:rPr>
        <w:t>22</w:t>
      </w:r>
      <w:r>
        <w:t>.</w:t>
      </w:r>
      <w:r>
        <w:tab/>
        <w:t>Loss factors</w:t>
      </w:r>
      <w:bookmarkEnd w:id="400"/>
      <w:bookmarkEnd w:id="401"/>
      <w:bookmarkEnd w:id="402"/>
    </w:p>
    <w:p>
      <w:pPr>
        <w:pStyle w:val="Subsection"/>
        <w:spacing w:before="120"/>
        <w:rPr>
          <w:snapToGrid w:val="0"/>
        </w:rPr>
      </w:pPr>
      <w:r>
        <w:rPr>
          <w:snapToGrid w:val="0"/>
        </w:rPr>
        <w:tab/>
        <w:t>(1)</w:t>
      </w:r>
      <w:r>
        <w:rPr>
          <w:snapToGrid w:val="0"/>
        </w:rPr>
        <w:tab/>
        <w:t>The loss factor for a distribution connection —</w:t>
      </w:r>
    </w:p>
    <w:p>
      <w:pPr>
        <w:pStyle w:val="Indenta"/>
      </w:pPr>
      <w:r>
        <w:tab/>
        <w:t>(a)</w:t>
      </w:r>
      <w:r>
        <w:tab/>
        <w:t>on the interconnected network is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403" w:name="_Toc28753079"/>
      <w:bookmarkStart w:id="404" w:name="_Toc131575673"/>
      <w:bookmarkStart w:id="405" w:name="_Toc251759176"/>
      <w:r>
        <w:rPr>
          <w:rStyle w:val="CharSectno"/>
        </w:rPr>
        <w:t>23</w:t>
      </w:r>
      <w:r>
        <w:rPr>
          <w:snapToGrid w:val="0"/>
        </w:rPr>
        <w:t>.</w:t>
      </w:r>
      <w:r>
        <w:rPr>
          <w:snapToGrid w:val="0"/>
        </w:rPr>
        <w:tab/>
        <w:t>Terms used</w:t>
      </w:r>
      <w:bookmarkStart w:id="406" w:name="UpToHere"/>
      <w:bookmarkEnd w:id="403"/>
      <w:bookmarkEnd w:id="404"/>
      <w:bookmarkEnd w:id="405"/>
      <w:bookmarkEnd w:id="406"/>
    </w:p>
    <w:p>
      <w:pPr>
        <w:pStyle w:val="Subsection"/>
        <w:rPr>
          <w:snapToGrid w:val="0"/>
        </w:rPr>
      </w:pPr>
      <w:r>
        <w:rPr>
          <w:snapToGrid w:val="0"/>
        </w:rPr>
        <w:tab/>
      </w:r>
      <w:r>
        <w:rPr>
          <w:snapToGrid w:val="0"/>
        </w:rPr>
        <w:tab/>
        <w:t>In this regulation and regulations 24, 25 and 27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2" o:title=""/>
          </v:shape>
          <o:OLEObject Type="Embed" ProgID="Equation.3" ShapeID="_x0000_i1025" DrawAspect="Content" ObjectID="_1644029309" r:id="rId23"/>
        </w:object>
      </w:r>
    </w:p>
    <w:p>
      <w:pPr>
        <w:pStyle w:val="Indenta"/>
        <w:rPr>
          <w:snapToGrid w:val="0"/>
        </w:rPr>
      </w:pPr>
      <w:r>
        <w:rPr>
          <w:snapToGrid w:val="0"/>
        </w:rPr>
        <w:tab/>
      </w:r>
      <w:r>
        <w:rPr>
          <w:snapToGrid w:val="0"/>
        </w:rPr>
        <w:tab/>
        <w:t>where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snapToGrid w:val="0"/>
        </w:rPr>
      </w:pPr>
      <w:r>
        <w:rPr>
          <w:snapToGrid w:val="0"/>
          <w:position w:val="-28"/>
        </w:rPr>
        <w:object w:dxaOrig="4400" w:dyaOrig="680">
          <v:shape id="_x0000_i1026" type="#_x0000_t75" style="width:219.75pt;height:33.75pt" o:ole="" fillcolor="window">
            <v:imagedata r:id="rId24" o:title=""/>
          </v:shape>
          <o:OLEObject Type="Embed" ProgID="Equation.3" ShapeID="_x0000_i1026" DrawAspect="Content" ObjectID="_1644029310" r:id="rId25"/>
        </w:object>
      </w:r>
    </w:p>
    <w:p>
      <w:pPr>
        <w:pStyle w:val="Indenta"/>
        <w:rPr>
          <w:snapToGrid w:val="0"/>
        </w:rPr>
      </w:pPr>
      <w:r>
        <w:rPr>
          <w:snapToGrid w:val="0"/>
        </w:rPr>
        <w:tab/>
      </w:r>
      <w:r>
        <w:rPr>
          <w:snapToGrid w:val="0"/>
        </w:rPr>
        <w:tab/>
        <w:t>where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p>
    <w:p>
      <w:pPr>
        <w:pStyle w:val="Indenti"/>
      </w:pPr>
      <w:r>
        <w:tab/>
        <w:t>(i)</w:t>
      </w:r>
      <w:r>
        <w:tab/>
        <w:t>an amount expressed in kWh equal to 3% of the relevant amount in respect of the group of connections; or</w:t>
      </w:r>
    </w:p>
    <w:p>
      <w:pPr>
        <w:pStyle w:val="Indenti"/>
      </w:pPr>
      <w:r>
        <w:tab/>
        <w:t>(ii)</w:t>
      </w:r>
      <w:r>
        <w:tab/>
        <w:t>in a case where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407" w:name="_Toc28753080"/>
      <w:bookmarkStart w:id="408" w:name="_Toc131575674"/>
      <w:bookmarkStart w:id="409" w:name="_Toc251759177"/>
      <w:r>
        <w:rPr>
          <w:rStyle w:val="CharSectno"/>
        </w:rPr>
        <w:t>24</w:t>
      </w:r>
      <w:r>
        <w:rPr>
          <w:snapToGrid w:val="0"/>
        </w:rPr>
        <w:t>.</w:t>
      </w:r>
      <w:r>
        <w:rPr>
          <w:snapToGrid w:val="0"/>
        </w:rPr>
        <w:tab/>
        <w:t>Balancing</w:t>
      </w:r>
      <w:bookmarkEnd w:id="407"/>
      <w:bookmarkEnd w:id="408"/>
      <w:bookmarkEnd w:id="409"/>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6" o:title=""/>
          </v:shape>
          <o:OLEObject Type="Embed" ProgID="Equation.3" ShapeID="_x0000_i1027" DrawAspect="Content" ObjectID="_1644029311" r:id="rId27"/>
        </w:object>
      </w:r>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8" o:title=""/>
          </v:shape>
          <o:OLEObject Type="Embed" ProgID="Equation.3" ShapeID="_x0000_i1028" DrawAspect="Content" ObjectID="_1644029312" r:id="rId29"/>
        </w:object>
      </w:r>
    </w:p>
    <w:p>
      <w:pPr>
        <w:pStyle w:val="Subsection"/>
        <w:spacing w:before="60"/>
        <w:rPr>
          <w:snapToGrid w:val="0"/>
        </w:rPr>
      </w:pPr>
      <w:r>
        <w:rPr>
          <w:snapToGrid w:val="0"/>
        </w:rPr>
        <w:tab/>
      </w:r>
      <w:r>
        <w:rPr>
          <w:snapToGrid w:val="0"/>
        </w:rPr>
        <w:tab/>
        <w:t>where —</w:t>
      </w:r>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410" w:name="_Toc28753081"/>
      <w:bookmarkStart w:id="411" w:name="_Toc131575675"/>
      <w:bookmarkStart w:id="412" w:name="_Toc251759178"/>
      <w:r>
        <w:rPr>
          <w:rStyle w:val="CharSectno"/>
        </w:rPr>
        <w:t>25</w:t>
      </w:r>
      <w:r>
        <w:rPr>
          <w:snapToGrid w:val="0"/>
        </w:rPr>
        <w:t>.</w:t>
      </w:r>
      <w:r>
        <w:rPr>
          <w:snapToGrid w:val="0"/>
        </w:rPr>
        <w:tab/>
        <w:t>Excess standby generation charge</w:t>
      </w:r>
      <w:bookmarkEnd w:id="410"/>
      <w:bookmarkEnd w:id="411"/>
      <w:bookmarkEnd w:id="412"/>
    </w:p>
    <w:p>
      <w:pPr>
        <w:pStyle w:val="Subsection"/>
        <w:keepNext/>
        <w:spacing w:before="200"/>
        <w:rPr>
          <w:snapToGrid w:val="0"/>
        </w:rPr>
      </w:pPr>
      <w:r>
        <w:rPr>
          <w:snapToGrid w:val="0"/>
        </w:rPr>
        <w:tab/>
        <w:t>(1)</w:t>
      </w:r>
      <w:r>
        <w:rPr>
          <w:snapToGrid w:val="0"/>
        </w:rPr>
        <w:tab/>
        <w:t>In this regulation —</w:t>
      </w:r>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snapToGrid w:val="0"/>
        </w:rPr>
      </w:pPr>
      <w:r>
        <w:rPr>
          <w:position w:val="-28"/>
          <w:sz w:val="20"/>
        </w:rPr>
        <w:object w:dxaOrig="4400" w:dyaOrig="680">
          <v:shape id="_x0000_i1029" type="#_x0000_t75" style="width:219.75pt;height:33.75pt" o:ole="" fillcolor="window">
            <v:imagedata r:id="rId30" o:title=""/>
          </v:shape>
          <o:OLEObject Type="Embed" ProgID="Equation.3" ShapeID="_x0000_i1029" DrawAspect="Content" ObjectID="_1644029313" r:id="rId31"/>
        </w:object>
      </w:r>
    </w:p>
    <w:p>
      <w:pPr>
        <w:pStyle w:val="Indenta"/>
        <w:rPr>
          <w:snapToGrid w:val="0"/>
        </w:rPr>
      </w:pPr>
      <w:r>
        <w:rPr>
          <w:snapToGrid w:val="0"/>
        </w:rPr>
        <w:tab/>
      </w:r>
      <w:r>
        <w:rPr>
          <w:snapToGrid w:val="0"/>
        </w:rPr>
        <w:tab/>
        <w:t>where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object w:dxaOrig="4640" w:dyaOrig="740">
          <v:shape id="_x0000_i1030" type="#_x0000_t75" style="width:231.75pt;height:36.75pt" o:ole="" fillcolor="window">
            <v:imagedata r:id="rId32" o:title=""/>
          </v:shape>
          <o:OLEObject Type="Embed" ProgID="Equation.3" ShapeID="_x0000_i1030" DrawAspect="Content" ObjectID="_1644029314" r:id="rId33"/>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4" o:title=""/>
          </v:shape>
          <o:OLEObject Type="Embed" ProgID="Equation.3" ShapeID="_x0000_i1031" DrawAspect="Content" ObjectID="_1644029315" r:id="rId35"/>
        </w:object>
      </w:r>
    </w:p>
    <w:p>
      <w:pPr>
        <w:pStyle w:val="Subsection"/>
        <w:rPr>
          <w:snapToGrid w:val="0"/>
        </w:rPr>
      </w:pPr>
      <w:r>
        <w:rPr>
          <w:snapToGrid w:val="0"/>
        </w:rPr>
        <w:tab/>
      </w:r>
      <w:r>
        <w:rPr>
          <w:snapToGrid w:val="0"/>
        </w:rPr>
        <w:tab/>
        <w:t>where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413" w:name="_Toc28753082"/>
      <w:bookmarkStart w:id="414" w:name="_Toc131575676"/>
      <w:bookmarkStart w:id="415" w:name="_Toc251759179"/>
      <w:r>
        <w:rPr>
          <w:rStyle w:val="CharSectno"/>
        </w:rPr>
        <w:t>26</w:t>
      </w:r>
      <w:r>
        <w:rPr>
          <w:snapToGrid w:val="0"/>
        </w:rPr>
        <w:t>.</w:t>
      </w:r>
      <w:r>
        <w:rPr>
          <w:snapToGrid w:val="0"/>
        </w:rPr>
        <w:tab/>
        <w:t>Excess network usage charge</w:t>
      </w:r>
      <w:bookmarkEnd w:id="413"/>
      <w:bookmarkEnd w:id="414"/>
      <w:bookmarkEnd w:id="415"/>
    </w:p>
    <w:p>
      <w:pPr>
        <w:pStyle w:val="Subsection"/>
        <w:spacing w:before="220"/>
        <w:rPr>
          <w:snapToGrid w:val="0"/>
        </w:rPr>
      </w:pPr>
      <w:r>
        <w:rPr>
          <w:snapToGrid w:val="0"/>
        </w:rPr>
        <w:tab/>
        <w:t>(1)</w:t>
      </w:r>
      <w:r>
        <w:rPr>
          <w:snapToGrid w:val="0"/>
        </w:rPr>
        <w:tab/>
        <w:t>In this subregulation and subregulation (2)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6" o:title=""/>
          </v:shape>
          <o:OLEObject Type="Embed" ProgID="Equation.3" ShapeID="_x0000_i1032" DrawAspect="Content" ObjectID="_1644029316" r:id="rId3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8" o:title=""/>
          </v:shape>
          <o:OLEObject Type="Embed" ProgID="Equation.3" ShapeID="_x0000_i1033" DrawAspect="Content" ObjectID="_1644029317" r:id="rId39"/>
        </w:object>
      </w:r>
    </w:p>
    <w:p>
      <w:pPr>
        <w:pStyle w:val="Subsection"/>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416" w:name="_Toc28753083"/>
      <w:bookmarkStart w:id="417" w:name="_Toc131575677"/>
      <w:bookmarkStart w:id="418" w:name="_Toc251759180"/>
      <w:r>
        <w:rPr>
          <w:rStyle w:val="CharSectno"/>
        </w:rPr>
        <w:t>27</w:t>
      </w:r>
      <w:r>
        <w:rPr>
          <w:snapToGrid w:val="0"/>
        </w:rPr>
        <w:t>.</w:t>
      </w:r>
      <w:r>
        <w:rPr>
          <w:snapToGrid w:val="0"/>
        </w:rPr>
        <w:tab/>
        <w:t>Other consequences of being out of balance</w:t>
      </w:r>
      <w:bookmarkEnd w:id="416"/>
      <w:bookmarkEnd w:id="417"/>
      <w:bookmarkEnd w:id="418"/>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419" w:name="_Toc125451741"/>
      <w:bookmarkStart w:id="420" w:name="_Toc125452249"/>
      <w:bookmarkStart w:id="421" w:name="_Toc131575678"/>
      <w:bookmarkStart w:id="422" w:name="_Toc131575755"/>
      <w:bookmarkStart w:id="423" w:name="_Toc131912087"/>
      <w:bookmarkStart w:id="424" w:name="_Toc135538187"/>
      <w:bookmarkStart w:id="425" w:name="_Toc138227317"/>
      <w:bookmarkStart w:id="426" w:name="_Toc138489306"/>
      <w:bookmarkStart w:id="427" w:name="_Toc139772019"/>
      <w:bookmarkStart w:id="428" w:name="_Toc139772469"/>
      <w:bookmarkStart w:id="429" w:name="_Toc144196772"/>
      <w:bookmarkStart w:id="430" w:name="_Toc146521344"/>
      <w:bookmarkStart w:id="431" w:name="_Toc146531047"/>
      <w:bookmarkStart w:id="432" w:name="_Toc170631431"/>
      <w:bookmarkStart w:id="433" w:name="_Toc171051539"/>
      <w:bookmarkStart w:id="434" w:name="_Toc246133869"/>
      <w:bookmarkStart w:id="435" w:name="_Toc246138347"/>
      <w:bookmarkStart w:id="436" w:name="_Toc248541364"/>
      <w:bookmarkStart w:id="437" w:name="_Toc248542544"/>
      <w:bookmarkStart w:id="438" w:name="_Toc248542937"/>
      <w:bookmarkStart w:id="439" w:name="_Toc250705856"/>
      <w:bookmarkStart w:id="440" w:name="_Toc250705930"/>
      <w:bookmarkStart w:id="441" w:name="_Toc251759181"/>
      <w:r>
        <w:rPr>
          <w:rStyle w:val="CharPartNo"/>
        </w:rPr>
        <w:t>Part 5</w:t>
      </w:r>
      <w:r>
        <w:rPr>
          <w:rStyle w:val="CharDivNo"/>
        </w:rPr>
        <w:t> </w:t>
      </w:r>
      <w:r>
        <w:t>—</w:t>
      </w:r>
      <w:r>
        <w:rPr>
          <w:rStyle w:val="CharDivText"/>
        </w:rPr>
        <w:t> </w:t>
      </w:r>
      <w:r>
        <w:rPr>
          <w:rStyle w:val="CharPartText"/>
        </w:rPr>
        <w:t>Technical regulation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rPr>
          <w:snapToGrid w:val="0"/>
        </w:rPr>
      </w:pPr>
      <w:bookmarkStart w:id="442" w:name="_Toc28753084"/>
      <w:bookmarkStart w:id="443" w:name="_Toc131575679"/>
      <w:bookmarkStart w:id="444" w:name="_Toc251759182"/>
      <w:r>
        <w:rPr>
          <w:rStyle w:val="CharSectno"/>
        </w:rPr>
        <w:t>28</w:t>
      </w:r>
      <w:r>
        <w:rPr>
          <w:snapToGrid w:val="0"/>
        </w:rPr>
        <w:t>.</w:t>
      </w:r>
      <w:r>
        <w:rPr>
          <w:snapToGrid w:val="0"/>
        </w:rPr>
        <w:tab/>
        <w:t>Distribution Technical Code</w:t>
      </w:r>
      <w:bookmarkEnd w:id="442"/>
      <w:bookmarkEnd w:id="443"/>
      <w:bookmarkEnd w:id="444"/>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45" w:name="_Toc28753085"/>
      <w:bookmarkStart w:id="446" w:name="_Toc131575680"/>
      <w:bookmarkStart w:id="447" w:name="_Toc251759183"/>
      <w:r>
        <w:rPr>
          <w:rStyle w:val="CharSectno"/>
        </w:rPr>
        <w:t>29</w:t>
      </w:r>
      <w:r>
        <w:rPr>
          <w:snapToGrid w:val="0"/>
        </w:rPr>
        <w:t>.</w:t>
      </w:r>
      <w:r>
        <w:rPr>
          <w:snapToGrid w:val="0"/>
        </w:rPr>
        <w:tab/>
        <w:t>Network planning criteria</w:t>
      </w:r>
      <w:bookmarkEnd w:id="445"/>
      <w:bookmarkEnd w:id="446"/>
      <w:bookmarkEnd w:id="447"/>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w:t>
      </w:r>
    </w:p>
    <w:p>
      <w:pPr>
        <w:pStyle w:val="Indenti"/>
        <w:rPr>
          <w:snapToGrid w:val="0"/>
        </w:rPr>
      </w:pPr>
      <w:r>
        <w:rPr>
          <w:snapToGrid w:val="0"/>
        </w:rPr>
        <w:tab/>
        <w:t>(i)</w:t>
      </w:r>
      <w:r>
        <w:rPr>
          <w:snapToGrid w:val="0"/>
        </w:rPr>
        <w:tab/>
        <w:t>voltage fluctuation criteria;</w:t>
      </w:r>
    </w:p>
    <w:p>
      <w:pPr>
        <w:pStyle w:val="Indenti"/>
        <w:rPr>
          <w:snapToGrid w:val="0"/>
        </w:rPr>
      </w:pPr>
      <w:r>
        <w:rPr>
          <w:snapToGrid w:val="0"/>
        </w:rPr>
        <w:tab/>
        <w:t>(ii)</w:t>
      </w:r>
      <w:r>
        <w:rPr>
          <w:snapToGrid w:val="0"/>
        </w:rPr>
        <w:tab/>
        <w:t>harmonic voltage criteria;</w:t>
      </w:r>
    </w:p>
    <w:p>
      <w:pPr>
        <w:pStyle w:val="Indenti"/>
        <w:rPr>
          <w:snapToGrid w:val="0"/>
        </w:rPr>
      </w:pPr>
      <w:r>
        <w:rPr>
          <w:snapToGrid w:val="0"/>
        </w:rPr>
        <w:tab/>
        <w:t>(iii)</w:t>
      </w:r>
      <w:r>
        <w:rPr>
          <w:snapToGrid w:val="0"/>
        </w:rPr>
        <w:tab/>
        <w:t>harmonic current criteria;</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48" w:name="_Toc28753086"/>
      <w:bookmarkStart w:id="449" w:name="_Toc131575681"/>
      <w:bookmarkStart w:id="450" w:name="_Toc251759184"/>
      <w:r>
        <w:rPr>
          <w:rStyle w:val="CharSectno"/>
        </w:rPr>
        <w:t>29A</w:t>
      </w:r>
      <w:r>
        <w:t>.</w:t>
      </w:r>
      <w:r>
        <w:tab/>
        <w:t>Distribution Technical Code, network planning criteria and distribution price schedule may form one or more documents</w:t>
      </w:r>
      <w:bookmarkEnd w:id="448"/>
      <w:bookmarkEnd w:id="449"/>
      <w:bookmarkEnd w:id="450"/>
    </w:p>
    <w:p>
      <w:pPr>
        <w:pStyle w:val="Subsection"/>
      </w:pPr>
      <w:r>
        <w:tab/>
      </w:r>
      <w:r>
        <w:tab/>
        <w:t>Nothing in these regulations prevents a part of the Distribution Technical Code, the network planning criteria or the distribution price schedule being prepared or distributed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51" w:name="_Toc28753087"/>
      <w:bookmarkStart w:id="452" w:name="_Toc131575682"/>
      <w:bookmarkStart w:id="453" w:name="_Toc251759185"/>
      <w:r>
        <w:rPr>
          <w:rStyle w:val="CharSectno"/>
        </w:rPr>
        <w:t>30</w:t>
      </w:r>
      <w:r>
        <w:rPr>
          <w:snapToGrid w:val="0"/>
        </w:rPr>
        <w:t>.</w:t>
      </w:r>
      <w:r>
        <w:rPr>
          <w:snapToGrid w:val="0"/>
        </w:rPr>
        <w:tab/>
        <w:t>Good electricity industry practice</w:t>
      </w:r>
      <w:bookmarkEnd w:id="451"/>
      <w:bookmarkEnd w:id="452"/>
      <w:bookmarkEnd w:id="453"/>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54" w:name="_Toc28753088"/>
      <w:bookmarkStart w:id="455" w:name="_Toc131575683"/>
      <w:bookmarkStart w:id="456" w:name="_Toc251759186"/>
      <w:r>
        <w:rPr>
          <w:rStyle w:val="CharSectno"/>
        </w:rPr>
        <w:t>31</w:t>
      </w:r>
      <w:r>
        <w:rPr>
          <w:snapToGrid w:val="0"/>
        </w:rPr>
        <w:t>.</w:t>
      </w:r>
      <w:r>
        <w:rPr>
          <w:snapToGrid w:val="0"/>
        </w:rPr>
        <w:tab/>
        <w:t>Interruption and curtailment powers</w:t>
      </w:r>
      <w:bookmarkEnd w:id="454"/>
      <w:bookmarkEnd w:id="455"/>
      <w:bookmarkEnd w:id="456"/>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57" w:name="_Toc28753089"/>
      <w:bookmarkStart w:id="458" w:name="_Toc131575684"/>
      <w:bookmarkStart w:id="459" w:name="_Toc251759187"/>
      <w:r>
        <w:rPr>
          <w:rStyle w:val="CharSectno"/>
        </w:rPr>
        <w:t>32</w:t>
      </w:r>
      <w:r>
        <w:rPr>
          <w:snapToGrid w:val="0"/>
        </w:rPr>
        <w:t>.</w:t>
      </w:r>
      <w:r>
        <w:rPr>
          <w:snapToGrid w:val="0"/>
        </w:rPr>
        <w:tab/>
        <w:t>Safety and security of system</w:t>
      </w:r>
      <w:bookmarkEnd w:id="457"/>
      <w:bookmarkEnd w:id="458"/>
      <w:bookmarkEnd w:id="459"/>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60" w:name="_Toc28753090"/>
      <w:bookmarkStart w:id="461" w:name="_Toc131575685"/>
      <w:bookmarkStart w:id="462" w:name="_Toc251759188"/>
      <w:r>
        <w:rPr>
          <w:rStyle w:val="CharSectno"/>
        </w:rPr>
        <w:t>33</w:t>
      </w:r>
      <w:r>
        <w:rPr>
          <w:snapToGrid w:val="0"/>
        </w:rPr>
        <w:t>.</w:t>
      </w:r>
      <w:r>
        <w:rPr>
          <w:snapToGrid w:val="0"/>
        </w:rPr>
        <w:tab/>
        <w:t>Maintenance</w:t>
      </w:r>
      <w:bookmarkEnd w:id="460"/>
      <w:bookmarkEnd w:id="461"/>
      <w:bookmarkEnd w:id="462"/>
    </w:p>
    <w:p>
      <w:pPr>
        <w:pStyle w:val="Subsection"/>
        <w:rPr>
          <w:snapToGrid w:val="0"/>
        </w:rPr>
      </w:pPr>
      <w:r>
        <w:rPr>
          <w:snapToGrid w:val="0"/>
        </w:rPr>
        <w:tab/>
        <w:t>(1)</w:t>
      </w:r>
      <w:r>
        <w:rPr>
          <w:snapToGrid w:val="0"/>
        </w:rPr>
        <w:tab/>
        <w:t>A user must keep records detailing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63" w:name="_Toc28753091"/>
      <w:bookmarkStart w:id="464" w:name="_Toc131575686"/>
      <w:bookmarkStart w:id="465" w:name="_Toc251759189"/>
      <w:r>
        <w:rPr>
          <w:rStyle w:val="CharSectno"/>
        </w:rPr>
        <w:t>34</w:t>
      </w:r>
      <w:r>
        <w:rPr>
          <w:snapToGrid w:val="0"/>
        </w:rPr>
        <w:t>.</w:t>
      </w:r>
      <w:r>
        <w:rPr>
          <w:snapToGrid w:val="0"/>
        </w:rPr>
        <w:tab/>
        <w:t>Electricity generation and load forecast information</w:t>
      </w:r>
      <w:bookmarkEnd w:id="463"/>
      <w:bookmarkEnd w:id="464"/>
      <w:bookmarkEnd w:id="465"/>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66" w:name="_Toc125451750"/>
      <w:bookmarkStart w:id="467" w:name="_Toc125452258"/>
      <w:bookmarkStart w:id="468" w:name="_Toc131575687"/>
      <w:bookmarkStart w:id="469" w:name="_Toc131575764"/>
      <w:bookmarkStart w:id="470" w:name="_Toc131912096"/>
      <w:bookmarkStart w:id="471" w:name="_Toc135538196"/>
      <w:bookmarkStart w:id="472" w:name="_Toc138227326"/>
      <w:bookmarkStart w:id="473" w:name="_Toc138489315"/>
      <w:bookmarkStart w:id="474" w:name="_Toc139772028"/>
      <w:bookmarkStart w:id="475" w:name="_Toc139772478"/>
      <w:bookmarkStart w:id="476" w:name="_Toc144196781"/>
      <w:bookmarkStart w:id="477" w:name="_Toc146521353"/>
      <w:bookmarkStart w:id="478" w:name="_Toc146531056"/>
      <w:bookmarkStart w:id="479" w:name="_Toc170631440"/>
      <w:bookmarkStart w:id="480" w:name="_Toc171051548"/>
      <w:bookmarkStart w:id="481" w:name="_Toc246133878"/>
      <w:bookmarkStart w:id="482" w:name="_Toc246138356"/>
      <w:bookmarkStart w:id="483" w:name="_Toc248541373"/>
      <w:bookmarkStart w:id="484" w:name="_Toc248542553"/>
      <w:bookmarkStart w:id="485" w:name="_Toc248542946"/>
      <w:bookmarkStart w:id="486" w:name="_Toc250705865"/>
      <w:bookmarkStart w:id="487" w:name="_Toc250705939"/>
      <w:bookmarkStart w:id="488" w:name="_Toc251759190"/>
      <w:r>
        <w:rPr>
          <w:rStyle w:val="CharPartNo"/>
        </w:rPr>
        <w:t>Part 6</w:t>
      </w:r>
      <w:r>
        <w:rPr>
          <w:rStyle w:val="CharDivNo"/>
        </w:rPr>
        <w:t> </w:t>
      </w:r>
      <w:r>
        <w:t>—</w:t>
      </w:r>
      <w:r>
        <w:rPr>
          <w:rStyle w:val="CharDivText"/>
        </w:rPr>
        <w:t> </w:t>
      </w:r>
      <w:r>
        <w:rPr>
          <w:rStyle w:val="CharPartText"/>
        </w:rPr>
        <w:t>Access terms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28753092"/>
      <w:bookmarkStart w:id="490" w:name="_Toc131575688"/>
      <w:bookmarkStart w:id="491" w:name="_Toc251759191"/>
      <w:r>
        <w:rPr>
          <w:rStyle w:val="CharSectno"/>
        </w:rPr>
        <w:t>35</w:t>
      </w:r>
      <w:r>
        <w:rPr>
          <w:snapToGrid w:val="0"/>
        </w:rPr>
        <w:t>.</w:t>
      </w:r>
      <w:r>
        <w:rPr>
          <w:snapToGrid w:val="0"/>
        </w:rPr>
        <w:tab/>
        <w:t>Reasonable endeavours</w:t>
      </w:r>
      <w:bookmarkEnd w:id="489"/>
      <w:bookmarkEnd w:id="490"/>
      <w:bookmarkEnd w:id="491"/>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92" w:name="_Toc28753093"/>
      <w:bookmarkStart w:id="493" w:name="_Toc131575689"/>
      <w:bookmarkStart w:id="494" w:name="_Toc251759192"/>
      <w:r>
        <w:rPr>
          <w:rStyle w:val="CharSectno"/>
        </w:rPr>
        <w:t>36</w:t>
      </w:r>
      <w:r>
        <w:rPr>
          <w:snapToGrid w:val="0"/>
        </w:rPr>
        <w:t>.</w:t>
      </w:r>
      <w:r>
        <w:rPr>
          <w:snapToGrid w:val="0"/>
        </w:rPr>
        <w:tab/>
      </w:r>
      <w:r>
        <w:rPr>
          <w:i/>
          <w:snapToGrid w:val="0"/>
        </w:rPr>
        <w:t>Force majeure</w:t>
      </w:r>
      <w:r>
        <w:rPr>
          <w:snapToGrid w:val="0"/>
        </w:rPr>
        <w:t xml:space="preserve"> and interruption</w:t>
      </w:r>
      <w:bookmarkEnd w:id="492"/>
      <w:bookmarkEnd w:id="493"/>
      <w:bookmarkEnd w:id="494"/>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95" w:name="_Toc28753094"/>
      <w:bookmarkStart w:id="496" w:name="_Toc131575690"/>
      <w:bookmarkStart w:id="497" w:name="_Toc251759193"/>
      <w:r>
        <w:rPr>
          <w:rStyle w:val="CharSectno"/>
        </w:rPr>
        <w:t>37</w:t>
      </w:r>
      <w:r>
        <w:rPr>
          <w:snapToGrid w:val="0"/>
        </w:rPr>
        <w:t>.</w:t>
      </w:r>
      <w:r>
        <w:rPr>
          <w:snapToGrid w:val="0"/>
        </w:rPr>
        <w:tab/>
        <w:t>Effect of access to capacity</w:t>
      </w:r>
      <w:bookmarkEnd w:id="495"/>
      <w:bookmarkEnd w:id="496"/>
      <w:bookmarkEnd w:id="497"/>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98" w:name="_Toc28753095"/>
      <w:bookmarkStart w:id="499" w:name="_Toc131575691"/>
      <w:bookmarkStart w:id="500" w:name="_Toc251759194"/>
      <w:r>
        <w:rPr>
          <w:rStyle w:val="CharSectno"/>
        </w:rPr>
        <w:t>38</w:t>
      </w:r>
      <w:r>
        <w:rPr>
          <w:snapToGrid w:val="0"/>
        </w:rPr>
        <w:t>.</w:t>
      </w:r>
      <w:r>
        <w:rPr>
          <w:snapToGrid w:val="0"/>
        </w:rPr>
        <w:tab/>
        <w:t>Minimum term and renewal</w:t>
      </w:r>
      <w:bookmarkEnd w:id="498"/>
      <w:bookmarkEnd w:id="499"/>
      <w:bookmarkEnd w:id="500"/>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501" w:name="_Toc28753096"/>
      <w:bookmarkStart w:id="502" w:name="_Toc131575692"/>
      <w:bookmarkStart w:id="503" w:name="_Toc251759195"/>
      <w:r>
        <w:rPr>
          <w:rStyle w:val="CharSectno"/>
        </w:rPr>
        <w:t>39</w:t>
      </w:r>
      <w:r>
        <w:rPr>
          <w:snapToGrid w:val="0"/>
        </w:rPr>
        <w:t>.</w:t>
      </w:r>
      <w:r>
        <w:rPr>
          <w:snapToGrid w:val="0"/>
        </w:rPr>
        <w:tab/>
        <w:t>Contract maximum demand and declared sent</w:t>
      </w:r>
      <w:r>
        <w:noBreakHyphen/>
      </w:r>
      <w:r>
        <w:rPr>
          <w:snapToGrid w:val="0"/>
        </w:rPr>
        <w:t>out capacity</w:t>
      </w:r>
      <w:bookmarkEnd w:id="501"/>
      <w:bookmarkEnd w:id="502"/>
      <w:bookmarkEnd w:id="503"/>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504" w:name="_Toc28753097"/>
      <w:bookmarkStart w:id="505" w:name="_Toc131575693"/>
      <w:bookmarkStart w:id="506" w:name="_Toc251759196"/>
      <w:r>
        <w:rPr>
          <w:rStyle w:val="CharSectno"/>
        </w:rPr>
        <w:t>40</w:t>
      </w:r>
      <w:r>
        <w:rPr>
          <w:snapToGrid w:val="0"/>
        </w:rPr>
        <w:t>.</w:t>
      </w:r>
      <w:r>
        <w:rPr>
          <w:snapToGrid w:val="0"/>
        </w:rPr>
        <w:tab/>
        <w:t>Commencement date</w:t>
      </w:r>
      <w:bookmarkEnd w:id="504"/>
      <w:bookmarkEnd w:id="505"/>
      <w:bookmarkEnd w:id="506"/>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507" w:name="_Toc125451757"/>
      <w:bookmarkStart w:id="508" w:name="_Toc125452265"/>
      <w:bookmarkStart w:id="509" w:name="_Toc131575694"/>
      <w:bookmarkStart w:id="510" w:name="_Toc131575771"/>
      <w:bookmarkStart w:id="511" w:name="_Toc131912103"/>
      <w:bookmarkStart w:id="512" w:name="_Toc135538203"/>
      <w:bookmarkStart w:id="513" w:name="_Toc138227333"/>
      <w:bookmarkStart w:id="514" w:name="_Toc138489322"/>
      <w:bookmarkStart w:id="515" w:name="_Toc139772035"/>
      <w:bookmarkStart w:id="516" w:name="_Toc139772485"/>
      <w:bookmarkStart w:id="517" w:name="_Toc144196788"/>
      <w:bookmarkStart w:id="518" w:name="_Toc146521360"/>
      <w:bookmarkStart w:id="519" w:name="_Toc146531063"/>
      <w:bookmarkStart w:id="520" w:name="_Toc170631447"/>
      <w:bookmarkStart w:id="521" w:name="_Toc171051555"/>
      <w:bookmarkStart w:id="522" w:name="_Toc246133885"/>
      <w:bookmarkStart w:id="523" w:name="_Toc246138363"/>
      <w:bookmarkStart w:id="524" w:name="_Toc248541380"/>
      <w:bookmarkStart w:id="525" w:name="_Toc248542560"/>
      <w:bookmarkStart w:id="526" w:name="_Toc248542953"/>
      <w:bookmarkStart w:id="527" w:name="_Toc250705872"/>
      <w:bookmarkStart w:id="528" w:name="_Toc250705946"/>
      <w:bookmarkStart w:id="529" w:name="_Toc251759197"/>
      <w:r>
        <w:rPr>
          <w:rStyle w:val="CharPartNo"/>
        </w:rPr>
        <w:t>Part 7</w:t>
      </w:r>
      <w:r>
        <w:rPr>
          <w:rStyle w:val="CharDivNo"/>
        </w:rPr>
        <w:t> </w:t>
      </w:r>
      <w:r>
        <w:t>—</w:t>
      </w:r>
      <w:r>
        <w:rPr>
          <w:rStyle w:val="CharDivText"/>
        </w:rPr>
        <w:t> </w:t>
      </w:r>
      <w:r>
        <w:rPr>
          <w:rStyle w:val="CharPartText"/>
        </w:rPr>
        <w:t>Enforcement, liability and insurance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28753098"/>
      <w:bookmarkStart w:id="531" w:name="_Toc131575695"/>
      <w:bookmarkStart w:id="532" w:name="_Toc251759198"/>
      <w:r>
        <w:rPr>
          <w:rStyle w:val="CharSectno"/>
        </w:rPr>
        <w:t>41</w:t>
      </w:r>
      <w:r>
        <w:rPr>
          <w:snapToGrid w:val="0"/>
        </w:rPr>
        <w:t>.</w:t>
      </w:r>
      <w:r>
        <w:rPr>
          <w:snapToGrid w:val="0"/>
        </w:rPr>
        <w:tab/>
        <w:t>Enforcement</w:t>
      </w:r>
      <w:bookmarkEnd w:id="530"/>
      <w:bookmarkEnd w:id="531"/>
      <w:bookmarkEnd w:id="532"/>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533" w:name="_Toc28753099"/>
      <w:bookmarkStart w:id="534" w:name="_Toc131575696"/>
      <w:bookmarkStart w:id="535" w:name="_Toc251759199"/>
      <w:r>
        <w:rPr>
          <w:rStyle w:val="CharSectno"/>
        </w:rPr>
        <w:t>42</w:t>
      </w:r>
      <w:r>
        <w:rPr>
          <w:snapToGrid w:val="0"/>
        </w:rPr>
        <w:t>.</w:t>
      </w:r>
      <w:r>
        <w:rPr>
          <w:snapToGrid w:val="0"/>
        </w:rPr>
        <w:tab/>
        <w:t>Liability, insurance and indemnity</w:t>
      </w:r>
      <w:bookmarkEnd w:id="533"/>
      <w:bookmarkEnd w:id="534"/>
      <w:bookmarkEnd w:id="535"/>
    </w:p>
    <w:p>
      <w:pPr>
        <w:pStyle w:val="Subsection"/>
        <w:rPr>
          <w:snapToGrid w:val="0"/>
        </w:rPr>
      </w:pPr>
      <w:r>
        <w:rPr>
          <w:snapToGrid w:val="0"/>
        </w:rPr>
        <w:tab/>
        <w:t>(1)</w:t>
      </w:r>
      <w:r>
        <w:rPr>
          <w:snapToGrid w:val="0"/>
        </w:rPr>
        <w:tab/>
        <w:t>In this regulation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p>
    <w:p>
      <w:pPr>
        <w:pStyle w:val="Defpara"/>
      </w:pPr>
      <w:r>
        <w:tab/>
        <w:t>(a)</w:t>
      </w:r>
      <w:r>
        <w:tab/>
        <w:t>any consequential loss, consequential damage or special damages however caused suffered by the person including any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536" w:name="_Toc125451760"/>
      <w:bookmarkStart w:id="537" w:name="_Toc125452268"/>
      <w:bookmarkStart w:id="538" w:name="_Toc131575697"/>
      <w:bookmarkStart w:id="539" w:name="_Toc131575774"/>
      <w:bookmarkStart w:id="540" w:name="_Toc131912106"/>
      <w:bookmarkStart w:id="541" w:name="_Toc135538206"/>
      <w:bookmarkStart w:id="542" w:name="_Toc138227336"/>
      <w:bookmarkStart w:id="543" w:name="_Toc138489325"/>
      <w:bookmarkStart w:id="544" w:name="_Toc139772038"/>
      <w:bookmarkStart w:id="545" w:name="_Toc139772488"/>
      <w:bookmarkStart w:id="546" w:name="_Toc144196791"/>
      <w:bookmarkStart w:id="547" w:name="_Toc146521363"/>
      <w:bookmarkStart w:id="548" w:name="_Toc146531066"/>
      <w:bookmarkStart w:id="549" w:name="_Toc170631450"/>
      <w:bookmarkStart w:id="550" w:name="_Toc171051558"/>
      <w:bookmarkStart w:id="551" w:name="_Toc246133888"/>
      <w:bookmarkStart w:id="552" w:name="_Toc246138366"/>
      <w:bookmarkStart w:id="553" w:name="_Toc248541383"/>
      <w:bookmarkStart w:id="554" w:name="_Toc248542563"/>
      <w:bookmarkStart w:id="555" w:name="_Toc248542956"/>
      <w:bookmarkStart w:id="556" w:name="_Toc250705875"/>
      <w:bookmarkStart w:id="557" w:name="_Toc250705949"/>
      <w:bookmarkStart w:id="558" w:name="_Toc251759200"/>
      <w:r>
        <w:rPr>
          <w:rStyle w:val="CharPartNo"/>
        </w:rPr>
        <w:t>Part 8</w:t>
      </w:r>
      <w:r>
        <w:rPr>
          <w:rStyle w:val="CharDivNo"/>
        </w:rPr>
        <w:t> </w:t>
      </w:r>
      <w:r>
        <w:t>—</w:t>
      </w:r>
      <w:r>
        <w:rPr>
          <w:rStyle w:val="CharDivText"/>
        </w:rPr>
        <w:t> </w:t>
      </w:r>
      <w:r>
        <w:rPr>
          <w:rStyle w:val="CharPartText"/>
        </w:rPr>
        <w:t>Other matters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28753100"/>
      <w:bookmarkStart w:id="560" w:name="_Toc131575698"/>
      <w:bookmarkStart w:id="561" w:name="_Toc251759201"/>
      <w:r>
        <w:rPr>
          <w:rStyle w:val="CharSectno"/>
        </w:rPr>
        <w:t>43</w:t>
      </w:r>
      <w:r>
        <w:rPr>
          <w:snapToGrid w:val="0"/>
        </w:rPr>
        <w:t>.</w:t>
      </w:r>
      <w:r>
        <w:rPr>
          <w:snapToGrid w:val="0"/>
        </w:rPr>
        <w:tab/>
        <w:t>Ancillary services</w:t>
      </w:r>
      <w:bookmarkEnd w:id="559"/>
      <w:bookmarkEnd w:id="560"/>
      <w:bookmarkEnd w:id="561"/>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562" w:name="_Toc28753101"/>
      <w:bookmarkStart w:id="563" w:name="_Toc131575699"/>
      <w:bookmarkStart w:id="564" w:name="_Toc251759202"/>
      <w:r>
        <w:rPr>
          <w:rStyle w:val="CharSectno"/>
        </w:rPr>
        <w:t>44</w:t>
      </w:r>
      <w:r>
        <w:rPr>
          <w:snapToGrid w:val="0"/>
        </w:rPr>
        <w:t>.</w:t>
      </w:r>
      <w:r>
        <w:rPr>
          <w:snapToGrid w:val="0"/>
        </w:rPr>
        <w:tab/>
        <w:t>Prudential requirements</w:t>
      </w:r>
      <w:bookmarkEnd w:id="562"/>
      <w:bookmarkEnd w:id="563"/>
      <w:bookmarkEnd w:id="564"/>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565" w:name="_Toc28753102"/>
      <w:bookmarkStart w:id="566" w:name="_Toc131575700"/>
      <w:bookmarkStart w:id="567" w:name="_Toc251759203"/>
      <w:r>
        <w:rPr>
          <w:rStyle w:val="CharSectno"/>
        </w:rPr>
        <w:t>45</w:t>
      </w:r>
      <w:r>
        <w:rPr>
          <w:snapToGrid w:val="0"/>
        </w:rPr>
        <w:t>.</w:t>
      </w:r>
      <w:r>
        <w:rPr>
          <w:snapToGrid w:val="0"/>
        </w:rPr>
        <w:tab/>
        <w:t>Title to electricity</w:t>
      </w:r>
      <w:bookmarkEnd w:id="565"/>
      <w:bookmarkEnd w:id="566"/>
      <w:bookmarkEnd w:id="567"/>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568" w:name="_Toc28753103"/>
      <w:bookmarkStart w:id="569" w:name="_Toc131575701"/>
      <w:bookmarkStart w:id="570" w:name="_Toc251759204"/>
      <w:r>
        <w:rPr>
          <w:rStyle w:val="CharSectno"/>
        </w:rPr>
        <w:t>46</w:t>
      </w:r>
      <w:r>
        <w:rPr>
          <w:snapToGrid w:val="0"/>
        </w:rPr>
        <w:t>.</w:t>
      </w:r>
      <w:r>
        <w:rPr>
          <w:snapToGrid w:val="0"/>
        </w:rPr>
        <w:tab/>
        <w:t>Assignment of distribution access agreements</w:t>
      </w:r>
      <w:bookmarkEnd w:id="568"/>
      <w:bookmarkEnd w:id="569"/>
      <w:bookmarkEnd w:id="570"/>
    </w:p>
    <w:p>
      <w:pPr>
        <w:pStyle w:val="Subsection"/>
        <w:rPr>
          <w:snapToGrid w:val="0"/>
        </w:rPr>
      </w:pPr>
      <w:r>
        <w:rPr>
          <w:snapToGrid w:val="0"/>
        </w:rPr>
        <w:tab/>
        <w:t>(1)</w:t>
      </w:r>
      <w:r>
        <w:rPr>
          <w:snapToGrid w:val="0"/>
        </w:rPr>
        <w:tab/>
        <w:t>A user must not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 26 Jun 2007 p. 3027.]</w:t>
      </w:r>
    </w:p>
    <w:p>
      <w:pPr>
        <w:pStyle w:val="Heading5"/>
        <w:rPr>
          <w:snapToGrid w:val="0"/>
        </w:rPr>
      </w:pPr>
      <w:bookmarkStart w:id="571" w:name="_Toc28753104"/>
      <w:bookmarkStart w:id="572" w:name="_Toc131575702"/>
      <w:bookmarkStart w:id="573" w:name="_Toc251759205"/>
      <w:r>
        <w:rPr>
          <w:rStyle w:val="CharSectno"/>
        </w:rPr>
        <w:t>47</w:t>
      </w:r>
      <w:r>
        <w:rPr>
          <w:snapToGrid w:val="0"/>
        </w:rPr>
        <w:t>.</w:t>
      </w:r>
      <w:r>
        <w:rPr>
          <w:snapToGrid w:val="0"/>
        </w:rPr>
        <w:tab/>
        <w:t>Essential terms</w:t>
      </w:r>
      <w:bookmarkEnd w:id="571"/>
      <w:bookmarkEnd w:id="572"/>
      <w:bookmarkEnd w:id="573"/>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bookmarkStart w:id="574" w:name="_Toc28753105"/>
      <w:bookmarkStart w:id="575" w:name="_Toc131575703"/>
      <w:r>
        <w:rPr>
          <w:rStyle w:val="CharSectno"/>
        </w:rPr>
        <w:tab/>
        <w:t>[Regulation 47 amended in Gazette 26 Jun 2007 p. 3027.]</w:t>
      </w:r>
    </w:p>
    <w:p>
      <w:pPr>
        <w:pStyle w:val="Heading5"/>
        <w:rPr>
          <w:snapToGrid w:val="0"/>
        </w:rPr>
      </w:pPr>
      <w:bookmarkStart w:id="576" w:name="_Toc251759206"/>
      <w:r>
        <w:rPr>
          <w:rStyle w:val="CharSectno"/>
        </w:rPr>
        <w:t>48</w:t>
      </w:r>
      <w:r>
        <w:rPr>
          <w:snapToGrid w:val="0"/>
        </w:rPr>
        <w:t>.</w:t>
      </w:r>
      <w:r>
        <w:rPr>
          <w:snapToGrid w:val="0"/>
        </w:rPr>
        <w:tab/>
        <w:t>Representations and warranties</w:t>
      </w:r>
      <w:bookmarkEnd w:id="574"/>
      <w:bookmarkEnd w:id="575"/>
      <w:bookmarkEnd w:id="576"/>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577" w:name="_Toc28753106"/>
      <w:bookmarkStart w:id="578" w:name="_Toc131575704"/>
      <w:bookmarkStart w:id="579" w:name="_Toc251759207"/>
      <w:r>
        <w:rPr>
          <w:rStyle w:val="CharSectno"/>
        </w:rPr>
        <w:t>49</w:t>
      </w:r>
      <w:r>
        <w:rPr>
          <w:snapToGrid w:val="0"/>
        </w:rPr>
        <w:t>.</w:t>
      </w:r>
      <w:r>
        <w:rPr>
          <w:snapToGrid w:val="0"/>
        </w:rPr>
        <w:tab/>
        <w:t>Payment arrangements</w:t>
      </w:r>
      <w:bookmarkEnd w:id="577"/>
      <w:bookmarkEnd w:id="578"/>
      <w:bookmarkEnd w:id="579"/>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 in Gazette 31 Mar 2006 p. 1316, 1318 and 1319.]</w:t>
      </w:r>
    </w:p>
    <w:p>
      <w:pPr>
        <w:pStyle w:val="Heading5"/>
        <w:rPr>
          <w:snapToGrid w:val="0"/>
        </w:rPr>
      </w:pPr>
      <w:bookmarkStart w:id="580" w:name="_Toc28753107"/>
      <w:bookmarkStart w:id="581" w:name="_Toc131575705"/>
      <w:bookmarkStart w:id="582" w:name="_Toc251759208"/>
      <w:r>
        <w:rPr>
          <w:rStyle w:val="CharSectno"/>
        </w:rPr>
        <w:t>50</w:t>
      </w:r>
      <w:r>
        <w:rPr>
          <w:snapToGrid w:val="0"/>
        </w:rPr>
        <w:t>.</w:t>
      </w:r>
      <w:r>
        <w:rPr>
          <w:snapToGrid w:val="0"/>
        </w:rPr>
        <w:tab/>
        <w:t>Controllers</w:t>
      </w:r>
      <w:bookmarkEnd w:id="580"/>
      <w:bookmarkEnd w:id="581"/>
      <w:bookmarkEnd w:id="582"/>
    </w:p>
    <w:p>
      <w:pPr>
        <w:pStyle w:val="Subsection"/>
        <w:keepNext/>
        <w:spacing w:before="140"/>
        <w:rPr>
          <w:snapToGrid w:val="0"/>
        </w:rPr>
      </w:pPr>
      <w:r>
        <w:rPr>
          <w:snapToGrid w:val="0"/>
        </w:rPr>
        <w:tab/>
        <w:t>(1)</w:t>
      </w:r>
      <w:r>
        <w:rPr>
          <w:snapToGrid w:val="0"/>
        </w:rPr>
        <w:tab/>
        <w:t>Each controller of a distribution connection must —</w:t>
      </w:r>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583" w:name="_Toc125451769"/>
      <w:bookmarkStart w:id="584" w:name="_Toc125452277"/>
      <w:bookmarkStart w:id="585" w:name="_Toc131575706"/>
      <w:bookmarkStart w:id="586" w:name="_Toc131575783"/>
      <w:bookmarkStart w:id="587" w:name="_Toc131912115"/>
      <w:bookmarkStart w:id="588" w:name="_Toc135538215"/>
      <w:bookmarkStart w:id="589" w:name="_Toc138227345"/>
      <w:bookmarkStart w:id="590" w:name="_Toc138489334"/>
      <w:bookmarkStart w:id="591" w:name="_Toc139772047"/>
      <w:bookmarkStart w:id="592" w:name="_Toc139772497"/>
      <w:bookmarkStart w:id="593" w:name="_Toc144196800"/>
      <w:bookmarkStart w:id="594" w:name="_Toc146521372"/>
      <w:bookmarkStart w:id="595" w:name="_Toc146531075"/>
      <w:bookmarkStart w:id="596" w:name="_Toc170631459"/>
      <w:bookmarkStart w:id="597" w:name="_Toc171051567"/>
      <w:bookmarkStart w:id="598" w:name="_Toc246133897"/>
      <w:bookmarkStart w:id="599" w:name="_Toc246138375"/>
      <w:bookmarkStart w:id="600" w:name="_Toc248541392"/>
      <w:bookmarkStart w:id="601" w:name="_Toc248542572"/>
      <w:bookmarkStart w:id="602" w:name="_Toc248542965"/>
      <w:bookmarkStart w:id="603" w:name="_Toc250705884"/>
      <w:bookmarkStart w:id="604" w:name="_Toc250705958"/>
      <w:bookmarkStart w:id="605" w:name="_Toc251759209"/>
      <w:r>
        <w:rPr>
          <w:rStyle w:val="CharPartNo"/>
        </w:rPr>
        <w:t>Part 9</w:t>
      </w:r>
      <w:r>
        <w:rPr>
          <w:rStyle w:val="CharDivNo"/>
        </w:rPr>
        <w:t> </w:t>
      </w:r>
      <w:r>
        <w:t>—</w:t>
      </w:r>
      <w:r>
        <w:rPr>
          <w:rStyle w:val="CharDivText"/>
        </w:rPr>
        <w:t> </w:t>
      </w:r>
      <w:r>
        <w:rPr>
          <w:rStyle w:val="CharPartText"/>
        </w:rPr>
        <w:t>Committed capacity and transitional provisions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28753108"/>
      <w:bookmarkStart w:id="607" w:name="_Toc131575707"/>
      <w:bookmarkStart w:id="608" w:name="_Toc251759210"/>
      <w:r>
        <w:rPr>
          <w:rStyle w:val="CharSectno"/>
        </w:rPr>
        <w:t>51</w:t>
      </w:r>
      <w:r>
        <w:rPr>
          <w:snapToGrid w:val="0"/>
        </w:rPr>
        <w:t>.</w:t>
      </w:r>
      <w:r>
        <w:rPr>
          <w:snapToGrid w:val="0"/>
        </w:rPr>
        <w:tab/>
      </w:r>
      <w:bookmarkEnd w:id="606"/>
      <w:bookmarkEnd w:id="607"/>
      <w:r>
        <w:rPr>
          <w:snapToGrid w:val="0"/>
        </w:rPr>
        <w:t>Terms used</w:t>
      </w:r>
      <w:bookmarkEnd w:id="608"/>
    </w:p>
    <w:p>
      <w:pPr>
        <w:pStyle w:val="Subsection"/>
        <w:rPr>
          <w:snapToGrid w:val="0"/>
        </w:rPr>
      </w:pPr>
      <w:r>
        <w:rPr>
          <w:snapToGrid w:val="0"/>
        </w:rPr>
        <w:tab/>
        <w:t>(1)</w:t>
      </w:r>
      <w:r>
        <w:rPr>
          <w:snapToGrid w:val="0"/>
        </w:rPr>
        <w:tab/>
        <w:t>In this Part —</w:t>
      </w:r>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in Gazette 31 Mar 2006 p. 1314 and 1318; 26 Jun 2007 p. 3027.]</w:t>
      </w:r>
    </w:p>
    <w:p>
      <w:pPr>
        <w:pStyle w:val="Heading5"/>
      </w:pPr>
      <w:bookmarkStart w:id="609" w:name="_Toc131575709"/>
      <w:bookmarkStart w:id="610" w:name="_Toc251759211"/>
      <w:bookmarkStart w:id="611" w:name="_Toc28753110"/>
      <w:r>
        <w:rPr>
          <w:rStyle w:val="CharSectno"/>
        </w:rPr>
        <w:t>52</w:t>
      </w:r>
      <w:r>
        <w:t>.</w:t>
      </w:r>
      <w:r>
        <w:tab/>
        <w:t>Regional Power Corporation’s existing capacity</w:t>
      </w:r>
      <w:bookmarkEnd w:id="609"/>
      <w:bookmarkEnd w:id="610"/>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612" w:name="_Toc131575710"/>
      <w:bookmarkStart w:id="613" w:name="_Toc251759212"/>
      <w:r>
        <w:rPr>
          <w:rStyle w:val="CharSectno"/>
        </w:rPr>
        <w:t>53</w:t>
      </w:r>
      <w:r>
        <w:rPr>
          <w:snapToGrid w:val="0"/>
        </w:rPr>
        <w:t>.</w:t>
      </w:r>
      <w:r>
        <w:rPr>
          <w:snapToGrid w:val="0"/>
        </w:rPr>
        <w:tab/>
        <w:t>Existing agreements</w:t>
      </w:r>
      <w:bookmarkEnd w:id="611"/>
      <w:bookmarkEnd w:id="612"/>
      <w:bookmarkEnd w:id="613"/>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614" w:name="_Toc28753111"/>
      <w:bookmarkStart w:id="615" w:name="_Toc131575711"/>
      <w:bookmarkStart w:id="616" w:name="_Toc251759213"/>
      <w:r>
        <w:rPr>
          <w:rStyle w:val="CharSectno"/>
        </w:rPr>
        <w:t>54</w:t>
      </w:r>
      <w:r>
        <w:rPr>
          <w:snapToGrid w:val="0"/>
        </w:rPr>
        <w:t>.</w:t>
      </w:r>
      <w:r>
        <w:rPr>
          <w:snapToGrid w:val="0"/>
        </w:rPr>
        <w:tab/>
        <w:t>Electricity Retail Corporation, RPC Retail and non</w:t>
      </w:r>
      <w:r>
        <w:rPr>
          <w:snapToGrid w:val="0"/>
        </w:rPr>
        <w:noBreakHyphen/>
        <w:t>eligible premises</w:t>
      </w:r>
      <w:bookmarkEnd w:id="614"/>
      <w:bookmarkEnd w:id="615"/>
      <w:bookmarkEnd w:id="616"/>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ab/>
        <w:t>[(2)</w:t>
      </w:r>
      <w:r>
        <w:tab/>
        <w:t>deleted]</w:t>
      </w:r>
    </w:p>
    <w:p>
      <w:pPr>
        <w:pStyle w:val="Footnotesection"/>
      </w:pPr>
      <w:r>
        <w:tab/>
        <w:t>[Regulation 54 amended in Gazette 31 Mar 2006 p. 1315.]</w:t>
      </w:r>
    </w:p>
    <w:p>
      <w:pPr>
        <w:pStyle w:val="Ednotesubsection"/>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pPr>
      <w:bookmarkStart w:id="617" w:name="_Toc125452282"/>
      <w:bookmarkStart w:id="618" w:name="_Toc131575712"/>
      <w:bookmarkStart w:id="619" w:name="_Toc131575789"/>
      <w:bookmarkStart w:id="620" w:name="_Toc131912120"/>
      <w:bookmarkStart w:id="621" w:name="_Toc135538220"/>
      <w:bookmarkStart w:id="622" w:name="_Toc138227350"/>
      <w:bookmarkStart w:id="623" w:name="_Toc138489339"/>
      <w:bookmarkStart w:id="624" w:name="_Toc139772052"/>
      <w:bookmarkStart w:id="625" w:name="_Toc139772502"/>
      <w:bookmarkStart w:id="626" w:name="_Toc144196805"/>
      <w:bookmarkStart w:id="627" w:name="_Toc146521377"/>
      <w:bookmarkStart w:id="628" w:name="_Toc146531080"/>
      <w:bookmarkStart w:id="629" w:name="_Toc170631464"/>
      <w:bookmarkStart w:id="630" w:name="_Toc171051572"/>
      <w:bookmarkStart w:id="631" w:name="_Toc246133902"/>
      <w:bookmarkStart w:id="632" w:name="_Toc246138380"/>
      <w:bookmarkStart w:id="633" w:name="_Toc248541397"/>
      <w:bookmarkStart w:id="634" w:name="_Toc248542577"/>
      <w:bookmarkStart w:id="635" w:name="_Toc248542970"/>
      <w:bookmarkStart w:id="636" w:name="_Toc250705889"/>
      <w:bookmarkStart w:id="637" w:name="_Toc250705963"/>
      <w:bookmarkStart w:id="638" w:name="_Toc251759214"/>
      <w:r>
        <w:rPr>
          <w:rStyle w:val="CharSchNo"/>
        </w:rPr>
        <w:t>Schedule 1</w:t>
      </w:r>
      <w:r>
        <w:rPr>
          <w:rStyle w:val="CharSDivNo"/>
          <w:sz w:val="28"/>
        </w:rPr>
        <w:t> </w:t>
      </w:r>
      <w:r>
        <w:t>—</w:t>
      </w:r>
      <w:r>
        <w:rPr>
          <w:rStyle w:val="CharSDivText"/>
          <w:sz w:val="28"/>
        </w:rPr>
        <w:t> </w:t>
      </w:r>
      <w:r>
        <w:rPr>
          <w:rStyle w:val="CharSchText"/>
        </w:rPr>
        <w:t>Access application flow chart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639" w:name="_Toc125452283"/>
      <w:bookmarkStart w:id="640" w:name="_Toc131575713"/>
      <w:bookmarkStart w:id="641" w:name="_Toc131575790"/>
      <w:bookmarkStart w:id="642" w:name="_Toc131912121"/>
      <w:bookmarkStart w:id="643" w:name="_Toc135538221"/>
      <w:bookmarkStart w:id="644" w:name="_Toc138227351"/>
      <w:bookmarkStart w:id="645" w:name="_Toc138489340"/>
      <w:bookmarkStart w:id="646" w:name="_Toc139772053"/>
      <w:bookmarkStart w:id="647" w:name="_Toc139772503"/>
      <w:bookmarkStart w:id="648" w:name="_Toc144196806"/>
      <w:bookmarkStart w:id="649" w:name="_Toc146521378"/>
      <w:bookmarkStart w:id="650" w:name="_Toc146531081"/>
      <w:bookmarkStart w:id="651" w:name="_Toc170631465"/>
      <w:bookmarkStart w:id="652" w:name="_Toc171051573"/>
      <w:bookmarkStart w:id="653" w:name="_Toc246133903"/>
      <w:bookmarkStart w:id="654" w:name="_Toc246138381"/>
      <w:bookmarkStart w:id="655" w:name="_Toc248541398"/>
      <w:bookmarkStart w:id="656" w:name="_Toc248542578"/>
      <w:bookmarkStart w:id="657" w:name="_Toc248542971"/>
      <w:bookmarkStart w:id="658" w:name="_Toc250705890"/>
      <w:bookmarkStart w:id="659" w:name="_Toc250705964"/>
      <w:bookmarkStart w:id="660" w:name="_Toc251759215"/>
      <w:r>
        <w:rPr>
          <w:rStyle w:val="CharSchNo"/>
        </w:rPr>
        <w:t>Schedule 2</w:t>
      </w:r>
      <w:r>
        <w:t> — </w:t>
      </w:r>
      <w:r>
        <w:rPr>
          <w:rStyle w:val="CharSchText"/>
        </w:rPr>
        <w:t>Access information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[r. 8(6) &amp; (8)]</w:t>
      </w:r>
    </w:p>
    <w:p>
      <w:pPr>
        <w:pStyle w:val="yHeading3"/>
      </w:pPr>
      <w:bookmarkStart w:id="661" w:name="_Toc131575714"/>
      <w:bookmarkStart w:id="662" w:name="_Toc131575791"/>
      <w:bookmarkStart w:id="663" w:name="_Toc131912122"/>
      <w:bookmarkStart w:id="664" w:name="_Toc135538222"/>
      <w:bookmarkStart w:id="665" w:name="_Toc138227352"/>
      <w:bookmarkStart w:id="666" w:name="_Toc138489341"/>
      <w:bookmarkStart w:id="667" w:name="_Toc139772054"/>
      <w:bookmarkStart w:id="668" w:name="_Toc139772504"/>
      <w:bookmarkStart w:id="669" w:name="_Toc144196807"/>
      <w:bookmarkStart w:id="670" w:name="_Toc146521379"/>
      <w:bookmarkStart w:id="671" w:name="_Toc146531082"/>
      <w:bookmarkStart w:id="672" w:name="_Toc170631466"/>
      <w:bookmarkStart w:id="673" w:name="_Toc171051574"/>
      <w:bookmarkStart w:id="674" w:name="_Toc246133904"/>
      <w:bookmarkStart w:id="675" w:name="_Toc246138382"/>
      <w:bookmarkStart w:id="676" w:name="_Toc248541399"/>
      <w:bookmarkStart w:id="677" w:name="_Toc248542579"/>
      <w:bookmarkStart w:id="678" w:name="_Toc248542972"/>
      <w:bookmarkStart w:id="679" w:name="_Toc250705891"/>
      <w:bookmarkStart w:id="680" w:name="_Toc250705965"/>
      <w:bookmarkStart w:id="681" w:name="_Toc251759216"/>
      <w:r>
        <w:rPr>
          <w:rStyle w:val="CharSDivNo"/>
        </w:rPr>
        <w:t>Part A</w:t>
      </w:r>
      <w:r>
        <w:t> — </w:t>
      </w:r>
      <w:r>
        <w:rPr>
          <w:rStyle w:val="CharSDivText"/>
        </w:rPr>
        <w:t>Information to be included in an access application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682" w:name="_Toc131575715"/>
      <w:bookmarkStart w:id="683" w:name="_Toc131575792"/>
      <w:bookmarkStart w:id="684" w:name="_Toc131912123"/>
      <w:bookmarkStart w:id="685" w:name="_Toc135538223"/>
      <w:bookmarkStart w:id="686" w:name="_Toc138227353"/>
      <w:r>
        <w:tab/>
        <w:t>[Part A amended in Gazette 28 Dec 2001 p. 6717; 31 Mar 2006 p. 1315.]</w:t>
      </w:r>
    </w:p>
    <w:p>
      <w:pPr>
        <w:pStyle w:val="yHeading3"/>
      </w:pPr>
      <w:bookmarkStart w:id="687" w:name="_Toc138489342"/>
      <w:bookmarkStart w:id="688" w:name="_Toc139772055"/>
      <w:bookmarkStart w:id="689" w:name="_Toc139772505"/>
      <w:bookmarkStart w:id="690" w:name="_Toc144196808"/>
      <w:bookmarkStart w:id="691" w:name="_Toc146521380"/>
      <w:bookmarkStart w:id="692" w:name="_Toc146531083"/>
      <w:bookmarkStart w:id="693" w:name="_Toc170631467"/>
      <w:bookmarkStart w:id="694" w:name="_Toc171051575"/>
      <w:bookmarkStart w:id="695" w:name="_Toc246133905"/>
      <w:bookmarkStart w:id="696" w:name="_Toc246138383"/>
      <w:bookmarkStart w:id="697" w:name="_Toc248541400"/>
      <w:bookmarkStart w:id="698" w:name="_Toc248542580"/>
      <w:bookmarkStart w:id="699" w:name="_Toc248542973"/>
      <w:bookmarkStart w:id="700" w:name="_Toc250705892"/>
      <w:bookmarkStart w:id="701" w:name="_Toc250705966"/>
      <w:bookmarkStart w:id="702" w:name="_Toc251759217"/>
      <w:r>
        <w:rPr>
          <w:rStyle w:val="CharSDivNo"/>
        </w:rPr>
        <w:t>Part B</w:t>
      </w:r>
      <w:r>
        <w:t> — </w:t>
      </w:r>
      <w:r>
        <w:rPr>
          <w:rStyle w:val="CharSDivText"/>
        </w:rPr>
        <w:t>Information to be included in a response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ScheduleHeading"/>
      </w:pPr>
      <w:bookmarkStart w:id="703" w:name="_Toc125452284"/>
      <w:bookmarkStart w:id="704" w:name="_Toc131575716"/>
      <w:bookmarkStart w:id="705" w:name="_Toc131575793"/>
      <w:bookmarkStart w:id="706" w:name="_Toc131912124"/>
      <w:bookmarkStart w:id="707" w:name="_Toc135538224"/>
      <w:bookmarkStart w:id="708" w:name="_Toc138227354"/>
      <w:bookmarkStart w:id="709" w:name="_Toc138489343"/>
      <w:bookmarkStart w:id="710" w:name="_Toc139772056"/>
      <w:bookmarkStart w:id="711" w:name="_Toc139772506"/>
      <w:bookmarkStart w:id="712" w:name="_Toc144196809"/>
      <w:bookmarkStart w:id="713" w:name="_Toc146521381"/>
      <w:bookmarkStart w:id="714" w:name="_Toc146531084"/>
      <w:bookmarkStart w:id="715" w:name="_Toc170631468"/>
      <w:bookmarkStart w:id="716" w:name="_Toc171051576"/>
      <w:bookmarkStart w:id="717" w:name="_Toc246133906"/>
      <w:bookmarkStart w:id="718" w:name="_Toc246138384"/>
      <w:bookmarkStart w:id="719" w:name="_Toc248541401"/>
      <w:bookmarkStart w:id="720" w:name="_Toc248542581"/>
      <w:bookmarkStart w:id="721" w:name="_Toc248542974"/>
      <w:bookmarkStart w:id="722" w:name="_Toc250705893"/>
      <w:bookmarkStart w:id="723" w:name="_Toc250705967"/>
      <w:bookmarkStart w:id="724" w:name="_Toc251759218"/>
      <w:r>
        <w:rPr>
          <w:rStyle w:val="CharSchNo"/>
        </w:rPr>
        <w:t>Schedule 3</w:t>
      </w:r>
      <w:r>
        <w:rPr>
          <w:rStyle w:val="CharSDivNo"/>
          <w:sz w:val="28"/>
        </w:rPr>
        <w:t> </w:t>
      </w:r>
      <w:r>
        <w:t>—</w:t>
      </w:r>
      <w:r>
        <w:rPr>
          <w:rStyle w:val="CharSDivText"/>
          <w:sz w:val="28"/>
        </w:rPr>
        <w:t> </w:t>
      </w:r>
      <w:r>
        <w:rPr>
          <w:rStyle w:val="CharSchText"/>
        </w:rPr>
        <w:t>Terms of an access offer</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725" w:name="_Toc125452285"/>
      <w:bookmarkStart w:id="726" w:name="_Toc131575717"/>
      <w:bookmarkStart w:id="727" w:name="_Toc131575794"/>
      <w:bookmarkStart w:id="728" w:name="_Toc131912125"/>
      <w:bookmarkStart w:id="729" w:name="_Toc135538225"/>
      <w:bookmarkStart w:id="730" w:name="_Toc138227355"/>
      <w:bookmarkStart w:id="731" w:name="_Toc138489344"/>
      <w:bookmarkStart w:id="732" w:name="_Toc139772057"/>
      <w:bookmarkStart w:id="733" w:name="_Toc139772507"/>
      <w:bookmarkStart w:id="734" w:name="_Toc144196810"/>
      <w:bookmarkStart w:id="735" w:name="_Toc146521382"/>
      <w:bookmarkStart w:id="736" w:name="_Toc146531085"/>
      <w:bookmarkStart w:id="737" w:name="_Toc170631469"/>
      <w:bookmarkStart w:id="738" w:name="_Toc171051577"/>
      <w:bookmarkStart w:id="739" w:name="_Toc246133907"/>
      <w:bookmarkStart w:id="740" w:name="_Toc246138385"/>
      <w:bookmarkStart w:id="741" w:name="_Toc248541402"/>
      <w:bookmarkStart w:id="742" w:name="_Toc248542582"/>
      <w:bookmarkStart w:id="743" w:name="_Toc248542975"/>
      <w:bookmarkStart w:id="744" w:name="_Toc250705894"/>
      <w:bookmarkStart w:id="745" w:name="_Toc250705968"/>
      <w:bookmarkStart w:id="746" w:name="_Toc251759219"/>
      <w:r>
        <w:rPr>
          <w:rStyle w:val="CharSchNo"/>
        </w:rPr>
        <w:t>Schedule 4</w:t>
      </w:r>
      <w:r>
        <w:t> — </w:t>
      </w:r>
      <w:r>
        <w:rPr>
          <w:rStyle w:val="CharSchText"/>
        </w:rPr>
        <w:t>Loss factor formula</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6" o:title=""/>
          </v:shape>
          <o:OLEObject Type="Embed" ProgID="Equation.3" ShapeID="_x0000_i1034" DrawAspect="Content" ObjectID="_1644029318" r:id="rId47"/>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8" o:title=""/>
          </v:shape>
          <o:OLEObject Type="Embed" ProgID="Equation.3" ShapeID="_x0000_i1035" DrawAspect="Content" ObjectID="_1644029319" r:id="rId49"/>
        </w:obje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pPr>
        <w:pStyle w:val="nHeading2"/>
      </w:pPr>
      <w:bookmarkStart w:id="747" w:name="_Toc125451778"/>
      <w:bookmarkStart w:id="748" w:name="_Toc125452286"/>
      <w:bookmarkStart w:id="749" w:name="_Toc131575718"/>
      <w:bookmarkStart w:id="750" w:name="_Toc131575795"/>
      <w:bookmarkStart w:id="751" w:name="_Toc131912126"/>
      <w:bookmarkStart w:id="752" w:name="_Toc135538226"/>
      <w:bookmarkStart w:id="753" w:name="_Toc138227356"/>
      <w:bookmarkStart w:id="754" w:name="_Toc138489345"/>
      <w:bookmarkStart w:id="755" w:name="_Toc139772058"/>
      <w:bookmarkStart w:id="756" w:name="_Toc139772508"/>
      <w:bookmarkStart w:id="757" w:name="_Toc144196811"/>
      <w:bookmarkStart w:id="758" w:name="_Toc146521383"/>
      <w:bookmarkStart w:id="759" w:name="_Toc146531086"/>
      <w:bookmarkStart w:id="760" w:name="_Toc170631470"/>
      <w:bookmarkStart w:id="761" w:name="_Toc171051578"/>
      <w:bookmarkStart w:id="762" w:name="_Toc246133908"/>
      <w:bookmarkStart w:id="763" w:name="_Toc246138386"/>
      <w:bookmarkStart w:id="764" w:name="_Toc248541403"/>
      <w:bookmarkStart w:id="765" w:name="_Toc248542583"/>
      <w:bookmarkStart w:id="766" w:name="_Toc248542976"/>
      <w:bookmarkStart w:id="767" w:name="_Toc250705895"/>
      <w:bookmarkStart w:id="768" w:name="_Toc250705969"/>
      <w:bookmarkStart w:id="769" w:name="_Toc251759220"/>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reprint is a compilation as at 8 January 2010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0" w:name="_Toc251759221"/>
      <w:r>
        <w:rPr>
          <w:snapToGrid w:val="0"/>
        </w:rPr>
        <w:t>Compilation table</w:t>
      </w:r>
      <w:bookmarkEnd w:id="77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r>
              <w:rPr>
                <w:sz w:val="19"/>
              </w:rPr>
              <w:t>Regulations other than r. 4(b) and 5-9: 25 Aug 2006 (see r. 2(1));</w:t>
            </w:r>
            <w:r>
              <w:rPr>
                <w:sz w:val="19"/>
              </w:rPr>
              <w:br/>
              <w:t xml:space="preserve">r. 4(b) and 5-9: 21 Sep 2006 08:00 (WST) (see r. 2(2) and </w:t>
            </w:r>
            <w:r>
              <w:rPr>
                <w:i/>
                <w:iCs/>
                <w:sz w:val="19"/>
              </w:rPr>
              <w:t>Gazette</w:t>
            </w:r>
            <w:r>
              <w:rPr>
                <w:sz w:val="19"/>
              </w:rPr>
              <w:t xml:space="preserve"> 19 Sep 2006 p. 4065) </w:t>
            </w:r>
          </w:p>
        </w:tc>
      </w:tr>
      <w:tr>
        <w:tc>
          <w:tcPr>
            <w:tcW w:w="3118" w:type="dxa"/>
          </w:tcPr>
          <w:p>
            <w:pPr>
              <w:pStyle w:val="nTable"/>
              <w:spacing w:after="40"/>
              <w:rPr>
                <w:i/>
                <w:sz w:val="19"/>
              </w:rPr>
            </w:pPr>
            <w:r>
              <w:rPr>
                <w:i/>
                <w:sz w:val="19"/>
              </w:rPr>
              <w:t>Electricity Distribution Amendment Regulations 2007</w:t>
            </w:r>
          </w:p>
        </w:tc>
        <w:tc>
          <w:tcPr>
            <w:tcW w:w="1276" w:type="dxa"/>
          </w:tcPr>
          <w:p>
            <w:pPr>
              <w:pStyle w:val="nTable"/>
              <w:spacing w:after="40"/>
              <w:rPr>
                <w:sz w:val="19"/>
              </w:rPr>
            </w:pPr>
            <w:r>
              <w:rPr>
                <w:sz w:val="19"/>
              </w:rPr>
              <w:t>26 Jun 2007 p. 3024-7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Borders>
              <w:bottom w:val="single" w:sz="8" w:space="0" w:color="auto"/>
            </w:tcBorders>
          </w:tcPr>
          <w:p>
            <w:pPr>
              <w:pStyle w:val="nTable"/>
              <w:spacing w:after="40"/>
              <w:rPr>
                <w:sz w:val="19"/>
              </w:rPr>
            </w:pPr>
            <w:r>
              <w:rPr>
                <w:b/>
                <w:bCs/>
                <w:iCs/>
                <w:sz w:val="19"/>
              </w:rPr>
              <w:t>Reprint 2:  The</w:t>
            </w:r>
            <w:r>
              <w:rPr>
                <w:b/>
                <w:bCs/>
                <w:i/>
                <w:sz w:val="19"/>
              </w:rPr>
              <w:t xml:space="preserve"> Electricity Distribution Regulations 1997 </w:t>
            </w:r>
            <w:r>
              <w:rPr>
                <w:b/>
                <w:bCs/>
                <w:iCs/>
                <w:sz w:val="19"/>
              </w:rPr>
              <w:t>as at 8 Jan 2010</w:t>
            </w:r>
            <w:r>
              <w:rPr>
                <w:iCs/>
                <w:sz w:val="19"/>
              </w:rPr>
              <w:t xml:space="preserve"> (includes amendments listed above)</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 xml:space="preserve">Repealed by the </w:t>
      </w:r>
      <w:r>
        <w:rPr>
          <w:i/>
          <w:iCs/>
          <w:lang w:val="en-US"/>
        </w:rPr>
        <w:t>Electricity Referee and Dispute Resolution Repeal Regulations 2007</w:t>
      </w:r>
      <w:r>
        <w:t>.</w:t>
      </w:r>
    </w:p>
    <w:p>
      <w:pPr>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
      <w:pPr>
        <w:pStyle w:val="nHeading2"/>
        <w:rPr>
          <w:sz w:val="28"/>
        </w:rPr>
      </w:pPr>
      <w:bookmarkStart w:id="771" w:name="_Toc246138388"/>
      <w:bookmarkStart w:id="772" w:name="_Toc248541405"/>
      <w:bookmarkStart w:id="773" w:name="_Toc248542585"/>
      <w:bookmarkStart w:id="774" w:name="_Toc248542978"/>
      <w:bookmarkStart w:id="775" w:name="_Toc250705897"/>
      <w:bookmarkStart w:id="776" w:name="_Toc250705971"/>
      <w:bookmarkStart w:id="777" w:name="_Toc251759222"/>
      <w:r>
        <w:rPr>
          <w:sz w:val="28"/>
        </w:rPr>
        <w:t>Defined Terms</w:t>
      </w:r>
      <w:bookmarkEnd w:id="771"/>
      <w:bookmarkEnd w:id="772"/>
      <w:bookmarkEnd w:id="773"/>
      <w:bookmarkEnd w:id="774"/>
      <w:bookmarkEnd w:id="775"/>
      <w:bookmarkEnd w:id="776"/>
      <w:bookmarkEnd w:id="7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8" w:name="DefinedTerms"/>
      <w:bookmarkEnd w:id="778"/>
      <w:r>
        <w:t>access application</w:t>
      </w:r>
      <w:r>
        <w:tab/>
        <w:t>3(1)</w:t>
      </w:r>
    </w:p>
    <w:p>
      <w:pPr>
        <w:pStyle w:val="DefinedTerms"/>
      </w:pPr>
      <w:r>
        <w:t>access information</w:t>
      </w:r>
      <w:r>
        <w:tab/>
        <w:t>3(1), 14(1)</w:t>
      </w:r>
    </w:p>
    <w:p>
      <w:pPr>
        <w:pStyle w:val="DefinedTerms"/>
      </w:pPr>
      <w:r>
        <w:t>access offer</w:t>
      </w:r>
      <w:r>
        <w:tab/>
        <w:t>3(1)</w:t>
      </w:r>
    </w:p>
    <w:p>
      <w:pPr>
        <w:pStyle w:val="DefinedTerms"/>
      </w:pPr>
      <w:r>
        <w:t>adjusted net amount</w:t>
      </w:r>
      <w:r>
        <w:tab/>
        <w:t>24(6)</w:t>
      </w:r>
    </w:p>
    <w:p>
      <w:pPr>
        <w:pStyle w:val="DefinedTerms"/>
      </w:pPr>
      <w:r>
        <w:t>affected obligation</w:t>
      </w:r>
      <w:r>
        <w:tab/>
        <w:t>36(2)</w:t>
      </w:r>
    </w:p>
    <w:p>
      <w:pPr>
        <w:pStyle w:val="DefinedTerms"/>
      </w:pPr>
      <w:r>
        <w:t>affected person</w:t>
      </w:r>
      <w:r>
        <w:tab/>
        <w:t>36(2)</w:t>
      </w:r>
    </w:p>
    <w:p>
      <w:pPr>
        <w:pStyle w:val="DefinedTerms"/>
      </w:pPr>
      <w:r>
        <w:t>ancillary services</w:t>
      </w:r>
      <w:r>
        <w:tab/>
        <w:t>3(1)</w:t>
      </w:r>
    </w:p>
    <w:p>
      <w:pPr>
        <w:pStyle w:val="DefinedTerms"/>
      </w:pPr>
      <w:r>
        <w:t>applicable laws</w:t>
      </w:r>
      <w:r>
        <w:tab/>
        <w:t>3(1)</w:t>
      </w:r>
    </w:p>
    <w:p>
      <w:pPr>
        <w:pStyle w:val="DefinedTerms"/>
      </w:pPr>
      <w:r>
        <w:t>applicant</w:t>
      </w:r>
      <w:r>
        <w:tab/>
        <w:t>3(1)</w:t>
      </w:r>
    </w:p>
    <w:p>
      <w:pPr>
        <w:pStyle w:val="DefinedTerms"/>
      </w:pPr>
      <w:r>
        <w:t>augment</w:t>
      </w:r>
      <w:r>
        <w:tab/>
        <w:t>3(1)</w:t>
      </w:r>
    </w:p>
    <w:p>
      <w:pPr>
        <w:pStyle w:val="DefinedTerms"/>
      </w:pPr>
      <w:r>
        <w:t>business day</w:t>
      </w:r>
      <w:r>
        <w:tab/>
        <w:t>3(1)</w:t>
      </w:r>
    </w:p>
    <w:p>
      <w:pPr>
        <w:pStyle w:val="DefinedTerms"/>
      </w:pPr>
      <w:r>
        <w:t>Change</w:t>
      </w:r>
      <w:r>
        <w:tab/>
        <w:t>20(2)(a)</w:t>
      </w:r>
    </w:p>
    <w:p>
      <w:pPr>
        <w:pStyle w:val="DefinedTerms"/>
      </w:pPr>
      <w:r>
        <w:t>connection</w:t>
      </w:r>
      <w:r>
        <w:tab/>
        <w:t>3(1)</w:t>
      </w:r>
    </w:p>
    <w:p>
      <w:pPr>
        <w:pStyle w:val="DefinedTerms"/>
      </w:pPr>
      <w:r>
        <w:t>connection equipment</w:t>
      </w:r>
      <w:r>
        <w:tab/>
        <w:t>3(1)</w:t>
      </w:r>
    </w:p>
    <w:p>
      <w:pPr>
        <w:pStyle w:val="DefinedTerms"/>
      </w:pPr>
      <w:r>
        <w:t>connection services</w:t>
      </w:r>
      <w:r>
        <w:tab/>
        <w:t>3(1)</w:t>
      </w:r>
    </w:p>
    <w:p>
      <w:pPr>
        <w:pStyle w:val="DefinedTerms"/>
      </w:pPr>
      <w:r>
        <w:t>contract maximum demand</w:t>
      </w:r>
      <w:r>
        <w:tab/>
        <w:t>3(1)</w:t>
      </w:r>
    </w:p>
    <w:p>
      <w:pPr>
        <w:pStyle w:val="DefinedTerms"/>
      </w:pPr>
      <w:r>
        <w:t>control system services</w:t>
      </w:r>
      <w:r>
        <w:tab/>
        <w:t>3(1)</w:t>
      </w:r>
    </w:p>
    <w:p>
      <w:pPr>
        <w:pStyle w:val="DefinedTerms"/>
      </w:pPr>
      <w:r>
        <w:t>controllers</w:t>
      </w:r>
      <w:r>
        <w:tab/>
        <w:t>3(1)</w:t>
      </w:r>
    </w:p>
    <w:p>
      <w:pPr>
        <w:pStyle w:val="DefinedTerms"/>
      </w:pPr>
      <w:r>
        <w:t>corporation</w:t>
      </w:r>
      <w:r>
        <w:tab/>
        <w:t>3(1)</w:t>
      </w:r>
    </w:p>
    <w:p>
      <w:pPr>
        <w:pStyle w:val="DefinedTerms"/>
      </w:pPr>
      <w:r>
        <w:t>declared sent</w:t>
      </w:r>
      <w:r>
        <w:noBreakHyphen/>
        <w:t>out capacity</w:t>
      </w:r>
      <w:r>
        <w:tab/>
        <w:t>3(1)</w:t>
      </w:r>
    </w:p>
    <w:p>
      <w:pPr>
        <w:pStyle w:val="DefinedTerms"/>
      </w:pPr>
      <w:r>
        <w:t>default</w:t>
      </w:r>
      <w:r>
        <w:tab/>
        <w:t>41(1)</w:t>
      </w:r>
    </w:p>
    <w:p>
      <w:pPr>
        <w:pStyle w:val="DefinedTerms"/>
      </w:pPr>
      <w:r>
        <w:t>demand entry rate</w:t>
      </w:r>
      <w:r>
        <w:tab/>
        <w:t>25(1)(b)</w:t>
      </w:r>
    </w:p>
    <w:p>
      <w:pPr>
        <w:pStyle w:val="DefinedTerms"/>
      </w:pPr>
      <w:r>
        <w:t>demand exit rate</w:t>
      </w:r>
      <w:r>
        <w:tab/>
        <w:t>25(1)(a)</w:t>
      </w:r>
    </w:p>
    <w:p>
      <w:pPr>
        <w:pStyle w:val="DefinedTerms"/>
      </w:pPr>
      <w:r>
        <w:t>direct damage</w:t>
      </w:r>
      <w:r>
        <w:tab/>
        <w:t>42(1)</w:t>
      </w:r>
    </w:p>
    <w:p>
      <w:pPr>
        <w:pStyle w:val="DefinedTerms"/>
      </w:pPr>
      <w:r>
        <w:t>disconnect</w:t>
      </w:r>
      <w:r>
        <w:tab/>
        <w:t>3(1)</w:t>
      </w:r>
    </w:p>
    <w:p>
      <w:pPr>
        <w:pStyle w:val="DefinedTerms"/>
      </w:pPr>
      <w:r>
        <w:t>distribution access agreement</w:t>
      </w:r>
      <w:r>
        <w:tab/>
        <w:t>3(1)</w:t>
      </w:r>
    </w:p>
    <w:p>
      <w:pPr>
        <w:pStyle w:val="DefinedTerms"/>
      </w:pPr>
      <w:r>
        <w:t>distribution access services</w:t>
      </w:r>
      <w:r>
        <w:tab/>
        <w:t>3(1)</w:t>
      </w:r>
    </w:p>
    <w:p>
      <w:pPr>
        <w:pStyle w:val="DefinedTerms"/>
      </w:pPr>
      <w:r>
        <w:t>distribution connection</w:t>
      </w:r>
      <w:r>
        <w:tab/>
        <w:t>3(1)</w:t>
      </w:r>
    </w:p>
    <w:p>
      <w:pPr>
        <w:pStyle w:val="DefinedTerms"/>
      </w:pPr>
      <w:r>
        <w:t>distribution employee</w:t>
      </w:r>
      <w:r>
        <w:tab/>
        <w:t>3(1)</w:t>
      </w:r>
    </w:p>
    <w:p>
      <w:pPr>
        <w:pStyle w:val="DefinedTerms"/>
      </w:pPr>
      <w:r>
        <w:t>distribution entry point</w:t>
      </w:r>
      <w:r>
        <w:tab/>
        <w:t>3(1)</w:t>
      </w:r>
    </w:p>
    <w:p>
      <w:pPr>
        <w:pStyle w:val="DefinedTerms"/>
      </w:pPr>
      <w:r>
        <w:t>distribution exit point</w:t>
      </w:r>
      <w:r>
        <w:tab/>
        <w:t>3(1)</w:t>
      </w:r>
    </w:p>
    <w:p>
      <w:pPr>
        <w:pStyle w:val="DefinedTerms"/>
      </w:pPr>
      <w:r>
        <w:t>distribution network services</w:t>
      </w:r>
      <w:r>
        <w:tab/>
        <w:t>3(1)</w:t>
      </w:r>
    </w:p>
    <w:p>
      <w:pPr>
        <w:pStyle w:val="DefinedTerms"/>
      </w:pPr>
      <w:r>
        <w:t>distribution price schedule</w:t>
      </w:r>
      <w:r>
        <w:tab/>
        <w:t>3(1)</w:t>
      </w:r>
    </w:p>
    <w:p>
      <w:pPr>
        <w:pStyle w:val="DefinedTerms"/>
      </w:pPr>
      <w:r>
        <w:t>Distribution Technical Code</w:t>
      </w:r>
      <w:r>
        <w:tab/>
        <w:t>3(1)</w:t>
      </w:r>
    </w:p>
    <w:p>
      <w:pPr>
        <w:pStyle w:val="DefinedTerms"/>
      </w:pPr>
      <w:r>
        <w:t>electricity distribution network</w:t>
      </w:r>
      <w:r>
        <w:tab/>
        <w:t>3(1)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network</w:t>
      </w:r>
      <w:r>
        <w:tab/>
        <w:t>3(1)</w:t>
      </w:r>
    </w:p>
    <w:p>
      <w:pPr>
        <w:pStyle w:val="DefinedTerms"/>
      </w:pPr>
      <w:r>
        <w:t>eligible premises</w:t>
      </w:r>
      <w:r>
        <w:tab/>
        <w:t>3(1), 51(2)</w:t>
      </w:r>
    </w:p>
    <w:p>
      <w:pPr>
        <w:pStyle w:val="DefinedTerms"/>
      </w:pPr>
      <w:r>
        <w:t>embedded generating unit</w:t>
      </w:r>
      <w:r>
        <w:tab/>
        <w:t>3(1)</w:t>
      </w:r>
    </w:p>
    <w:p>
      <w:pPr>
        <w:pStyle w:val="DefinedTerms"/>
      </w:pPr>
      <w:r>
        <w:t>encumbrance</w:t>
      </w:r>
      <w:r>
        <w:tab/>
        <w:t>3(1)</w:t>
      </w:r>
    </w:p>
    <w:p>
      <w:pPr>
        <w:pStyle w:val="DefinedTerms"/>
      </w:pPr>
      <w:r>
        <w:t>energy entry amount</w:t>
      </w:r>
      <w:r>
        <w:tab/>
        <w:t>23(c)</w:t>
      </w:r>
    </w:p>
    <w:p>
      <w:pPr>
        <w:pStyle w:val="DefinedTerms"/>
      </w:pPr>
      <w:r>
        <w:t>energy exit amount</w:t>
      </w:r>
      <w:r>
        <w:tab/>
        <w:t>23(d)</w:t>
      </w:r>
    </w:p>
    <w:p>
      <w:pPr>
        <w:pStyle w:val="DefinedTerms"/>
      </w:pPr>
      <w:r>
        <w:t>entry point</w:t>
      </w:r>
      <w:r>
        <w:tab/>
        <w:t>3(1)</w:t>
      </w:r>
    </w:p>
    <w:p>
      <w:pPr>
        <w:pStyle w:val="DefinedTerms"/>
      </w:pPr>
      <w:r>
        <w:t>excess amount</w:t>
      </w:r>
      <w:r>
        <w:tab/>
        <w:t>26(1)(a)</w:t>
      </w:r>
    </w:p>
    <w:p>
      <w:pPr>
        <w:pStyle w:val="DefinedTerms"/>
      </w:pPr>
      <w:r>
        <w:t>excess demand</w:t>
      </w:r>
      <w:r>
        <w:tab/>
        <w:t>25(1)(d)</w:t>
      </w:r>
    </w:p>
    <w:p>
      <w:pPr>
        <w:pStyle w:val="DefinedTerms"/>
      </w:pPr>
      <w:r>
        <w:t>excess rate</w:t>
      </w:r>
      <w:r>
        <w:tab/>
        <w:t>26(3)(a)</w:t>
      </w:r>
    </w:p>
    <w:p>
      <w:pPr>
        <w:pStyle w:val="DefinedTerms"/>
      </w:pPr>
      <w:r>
        <w:t>exempt connection</w:t>
      </w:r>
      <w:r>
        <w:tab/>
        <w:t>3(1)</w:t>
      </w:r>
    </w:p>
    <w:p>
      <w:pPr>
        <w:pStyle w:val="DefinedTerms"/>
      </w:pPr>
      <w:r>
        <w:t>existing agreement</w:t>
      </w:r>
      <w:r>
        <w:tab/>
        <w:t>3(1)</w:t>
      </w:r>
    </w:p>
    <w:p>
      <w:pPr>
        <w:pStyle w:val="DefinedTerms"/>
      </w:pPr>
      <w:r>
        <w:t>existing connection</w:t>
      </w:r>
      <w:r>
        <w:tab/>
        <w:t>3(1)</w:t>
      </w:r>
    </w:p>
    <w:p>
      <w:pPr>
        <w:pStyle w:val="DefinedTerms"/>
      </w:pPr>
      <w:r>
        <w:t>exit point</w:t>
      </w:r>
      <w:r>
        <w:tab/>
        <w:t>3(1)</w:t>
      </w:r>
    </w:p>
    <w:p>
      <w:pPr>
        <w:pStyle w:val="DefinedTerms"/>
      </w:pPr>
      <w:r>
        <w:t>first access application</w:t>
      </w:r>
      <w:r>
        <w:tab/>
        <w:t>13(2)</w:t>
      </w:r>
    </w:p>
    <w:p>
      <w:pPr>
        <w:pStyle w:val="DefinedTerms"/>
      </w:pPr>
      <w:r>
        <w:t>first person</w:t>
      </w:r>
      <w:r>
        <w:tab/>
        <w:t>32(5)</w:t>
      </w:r>
    </w:p>
    <w:p>
      <w:pPr>
        <w:pStyle w:val="DefinedTerms"/>
      </w:pPr>
      <w:r>
        <w:t>force majeure event</w:t>
      </w:r>
      <w:r>
        <w:tab/>
        <w:t>3(1)</w:t>
      </w:r>
    </w:p>
    <w:p>
      <w:pPr>
        <w:pStyle w:val="DefinedTerms"/>
      </w:pPr>
      <w:r>
        <w:t>generating unit</w:t>
      </w:r>
      <w:r>
        <w:tab/>
        <w:t>3(1)</w:t>
      </w:r>
    </w:p>
    <w:p>
      <w:pPr>
        <w:pStyle w:val="DefinedTerms"/>
      </w:pPr>
      <w:r>
        <w:t>good electricity industry practice</w:t>
      </w:r>
      <w:r>
        <w:tab/>
        <w:t>3(1)</w:t>
      </w:r>
    </w:p>
    <w:p>
      <w:pPr>
        <w:pStyle w:val="DefinedTerms"/>
      </w:pPr>
      <w:r>
        <w:t>group of connections</w:t>
      </w:r>
      <w:r>
        <w:tab/>
        <w:t>23(a)</w:t>
      </w:r>
    </w:p>
    <w:p>
      <w:pPr>
        <w:pStyle w:val="DefinedTerms"/>
      </w:pPr>
      <w:r>
        <w:t>indirect damage</w:t>
      </w:r>
      <w:r>
        <w:tab/>
        <w:t>42(1)</w:t>
      </w:r>
    </w:p>
    <w:p>
      <w:pPr>
        <w:pStyle w:val="DefinedTerms"/>
      </w:pPr>
      <w:r>
        <w:t>interconnected network</w:t>
      </w:r>
      <w:r>
        <w:tab/>
        <w:t>3(1)</w:t>
      </w:r>
    </w:p>
    <w:p>
      <w:pPr>
        <w:pStyle w:val="DefinedTerms"/>
      </w:pPr>
      <w:r>
        <w:t>linked transmission agreement</w:t>
      </w:r>
      <w:r>
        <w:tab/>
        <w:t>3(1)</w:t>
      </w:r>
    </w:p>
    <w:p>
      <w:pPr>
        <w:pStyle w:val="DefinedTerms"/>
      </w:pPr>
      <w:r>
        <w:t>market rules</w:t>
      </w:r>
      <w:r>
        <w:tab/>
        <w:t>20A(1)</w:t>
      </w:r>
    </w:p>
    <w:p>
      <w:pPr>
        <w:pStyle w:val="DefinedTerms"/>
      </w:pPr>
      <w:r>
        <w:t>metering equipment</w:t>
      </w:r>
      <w:r>
        <w:tab/>
        <w:t>3(1)</w:t>
      </w:r>
    </w:p>
    <w:p>
      <w:pPr>
        <w:pStyle w:val="DefinedTerms"/>
      </w:pPr>
      <w:r>
        <w:t>metering services</w:t>
      </w:r>
      <w:r>
        <w:tab/>
        <w:t>3(1)</w:t>
      </w:r>
    </w:p>
    <w:p>
      <w:pPr>
        <w:pStyle w:val="DefinedTerms"/>
      </w:pPr>
      <w:r>
        <w:t>network planning criteria</w:t>
      </w:r>
      <w:r>
        <w:tab/>
        <w:t>3(1)</w:t>
      </w:r>
    </w:p>
    <w:p>
      <w:pPr>
        <w:pStyle w:val="DefinedTerms"/>
      </w:pPr>
      <w:r>
        <w:t>outage</w:t>
      </w:r>
      <w:r>
        <w:tab/>
        <w:t>3(1)</w:t>
      </w:r>
    </w:p>
    <w:p>
      <w:pPr>
        <w:pStyle w:val="DefinedTerms"/>
      </w:pPr>
      <w:r>
        <w:t>permitted tolerance</w:t>
      </w:r>
      <w:r>
        <w:tab/>
        <w:t>23(e)</w:t>
      </w:r>
    </w:p>
    <w:p>
      <w:pPr>
        <w:pStyle w:val="DefinedTerms"/>
      </w:pPr>
      <w:r>
        <w:t>post</w:t>
      </w:r>
      <w:r>
        <w:noBreakHyphen/>
        <w:t>trip management</w:t>
      </w:r>
      <w:r>
        <w:tab/>
        <w:t>3(1)</w:t>
      </w:r>
    </w:p>
    <w:p>
      <w:pPr>
        <w:pStyle w:val="DefinedTerms"/>
      </w:pPr>
      <w:r>
        <w:t>preliminary assessment</w:t>
      </w:r>
      <w:r>
        <w:tab/>
        <w:t>3(1)</w:t>
      </w:r>
    </w:p>
    <w:p>
      <w:pPr>
        <w:pStyle w:val="DefinedTerms"/>
      </w:pPr>
      <w:r>
        <w:t>premises</w:t>
      </w:r>
      <w:r>
        <w:tab/>
        <w:t>3(1)</w:t>
      </w:r>
    </w:p>
    <w:p>
      <w:pPr>
        <w:pStyle w:val="DefinedTerms"/>
      </w:pPr>
      <w:r>
        <w:t>Prices and Charges Paper</w:t>
      </w:r>
      <w:r>
        <w:tab/>
        <w:t>3(1)</w:t>
      </w:r>
    </w:p>
    <w:p>
      <w:pPr>
        <w:pStyle w:val="DefinedTerms"/>
      </w:pPr>
      <w:r>
        <w:t>Referee</w:t>
      </w:r>
      <w:r>
        <w:tab/>
        <w:t>3(1)</w:t>
      </w:r>
    </w:p>
    <w:p>
      <w:pPr>
        <w:pStyle w:val="DefinedTerms"/>
      </w:pPr>
      <w:r>
        <w:t>Regional Power Corporation</w:t>
      </w:r>
      <w:r>
        <w:tab/>
        <w:t>3(1)</w:t>
      </w:r>
    </w:p>
    <w:p>
      <w:pPr>
        <w:pStyle w:val="DefinedTerms"/>
      </w:pPr>
      <w:r>
        <w:t>regional power system</w:t>
      </w:r>
      <w:r>
        <w:tab/>
        <w:t>3(1)</w:t>
      </w:r>
    </w:p>
    <w:p>
      <w:pPr>
        <w:pStyle w:val="DefinedTerms"/>
      </w:pPr>
      <w:r>
        <w:t>related body corporate</w:t>
      </w:r>
      <w:r>
        <w:tab/>
        <w:t>3(1)</w:t>
      </w:r>
    </w:p>
    <w:p>
      <w:pPr>
        <w:pStyle w:val="DefinedTerms"/>
      </w:pPr>
      <w:r>
        <w:t>relevant amount</w:t>
      </w:r>
      <w:r>
        <w:tab/>
        <w:t>23(f)</w:t>
      </w:r>
    </w:p>
    <w:p>
      <w:pPr>
        <w:pStyle w:val="DefinedTerms"/>
      </w:pPr>
      <w:r>
        <w:t>renewable energy source</w:t>
      </w:r>
      <w:r>
        <w:tab/>
        <w:t>3(1)</w:t>
      </w:r>
    </w:p>
    <w:p>
      <w:pPr>
        <w:pStyle w:val="DefinedTerms"/>
      </w:pPr>
      <w:r>
        <w:t>response</w:t>
      </w:r>
      <w:r>
        <w:tab/>
        <w:t>3(1)</w:t>
      </w:r>
    </w:p>
    <w:p>
      <w:pPr>
        <w:pStyle w:val="DefinedTerms"/>
      </w:pPr>
      <w:r>
        <w:t>revised net amount</w:t>
      </w:r>
      <w:r>
        <w:tab/>
        <w:t>24(2)</w:t>
      </w:r>
    </w:p>
    <w:p>
      <w:pPr>
        <w:pStyle w:val="DefinedTerms"/>
      </w:pPr>
      <w:r>
        <w:t>RPC Retail</w:t>
      </w:r>
      <w:r>
        <w:tab/>
        <w:t>51(1)</w:t>
      </w:r>
    </w:p>
    <w:p>
      <w:pPr>
        <w:pStyle w:val="DefinedTerms"/>
      </w:pPr>
      <w:r>
        <w:t>sensitive information</w:t>
      </w:r>
      <w:r>
        <w:tab/>
        <w:t>3(1)</w:t>
      </w:r>
    </w:p>
    <w:p>
      <w:pPr>
        <w:pStyle w:val="DefinedTerms"/>
      </w:pPr>
      <w:r>
        <w:t>South West interconnected system</w:t>
      </w:r>
      <w:r>
        <w:tab/>
        <w:t>3(1)</w:t>
      </w:r>
    </w:p>
    <w:p>
      <w:pPr>
        <w:pStyle w:val="DefinedTerms"/>
      </w:pPr>
      <w:r>
        <w:t>spinning reserve</w:t>
      </w:r>
      <w:r>
        <w:tab/>
        <w:t>3(1)</w:t>
      </w:r>
    </w:p>
    <w:p>
      <w:pPr>
        <w:pStyle w:val="DefinedTerms"/>
        <w:sectPr>
          <w:headerReference w:type="even" r:id="rId57"/>
          <w:headerReference w:type="default" r:id="rId58"/>
          <w:headerReference w:type="first" r:id="rId59"/>
          <w:pgSz w:w="11906" w:h="16838" w:code="9"/>
          <w:pgMar w:top="2376" w:right="2405" w:bottom="3542" w:left="2405" w:header="706" w:footer="3380" w:gutter="0"/>
          <w:cols w:space="720"/>
          <w:noEndnote/>
          <w:docGrid w:linePitch="326"/>
        </w:sectPr>
      </w:pPr>
    </w:p>
    <w:p>
      <w:pPr>
        <w:pStyle w:val="DefinedTerms"/>
      </w:pPr>
      <w:r>
        <w:t>standby generation reservation</w:t>
      </w:r>
      <w:r>
        <w:tab/>
        <w:t>25(1)(c)</w:t>
      </w:r>
    </w:p>
    <w:p>
      <w:pPr>
        <w:pStyle w:val="DefinedTerms"/>
      </w:pPr>
      <w:r>
        <w:t>sub</w:t>
      </w:r>
      <w:r>
        <w:noBreakHyphen/>
        <w:t>network</w:t>
      </w:r>
      <w:r>
        <w:tab/>
        <w:t>3(1)</w:t>
      </w:r>
    </w:p>
    <w:p>
      <w:pPr>
        <w:pStyle w:val="DefinedTerms"/>
      </w:pPr>
      <w:r>
        <w:t>supervising officers</w:t>
      </w:r>
      <w:r>
        <w:tab/>
        <w:t>3(1)</w:t>
      </w:r>
    </w:p>
    <w:p>
      <w:pPr>
        <w:pStyle w:val="DefinedTerms"/>
      </w:pPr>
      <w:r>
        <w:t>tax</w:t>
      </w:r>
      <w:r>
        <w:tab/>
        <w:t>20(3)</w:t>
      </w:r>
    </w:p>
    <w:p>
      <w:pPr>
        <w:pStyle w:val="DefinedTerms"/>
      </w:pPr>
      <w:r>
        <w:t>technical compliance agreement</w:t>
      </w:r>
      <w:r>
        <w:tab/>
        <w:t>3(1)</w:t>
      </w:r>
    </w:p>
    <w:p>
      <w:pPr>
        <w:pStyle w:val="DefinedTerms"/>
      </w:pPr>
      <w:r>
        <w:t>transfer point</w:t>
      </w:r>
      <w:r>
        <w:tab/>
        <w:t>3(1)</w:t>
      </w:r>
    </w:p>
    <w:p>
      <w:pPr>
        <w:pStyle w:val="DefinedTerms"/>
      </w:pPr>
      <w:r>
        <w:t>transmission access services</w:t>
      </w:r>
      <w:r>
        <w:tab/>
        <w:t>3(1)</w:t>
      </w:r>
    </w:p>
    <w:p>
      <w:pPr>
        <w:pStyle w:val="DefinedTerms"/>
      </w:pPr>
      <w:r>
        <w:t>transmission connection</w:t>
      </w:r>
      <w:r>
        <w:tab/>
        <w:t>3(1)</w:t>
      </w:r>
    </w:p>
    <w:p>
      <w:pPr>
        <w:pStyle w:val="DefinedTerms"/>
      </w:pPr>
      <w:r>
        <w:t>transmission employee</w:t>
      </w:r>
      <w:r>
        <w:tab/>
        <w:t>3(1)</w:t>
      </w:r>
    </w:p>
    <w:p>
      <w:pPr>
        <w:pStyle w:val="DefinedTerms"/>
      </w:pPr>
      <w:r>
        <w:t>transmission fee schedule</w:t>
      </w:r>
      <w:r>
        <w:tab/>
        <w:t>3(1)</w:t>
      </w:r>
    </w:p>
    <w:p>
      <w:pPr>
        <w:pStyle w:val="DefinedTerms"/>
      </w:pPr>
      <w:r>
        <w:t>voltage control</w:t>
      </w:r>
      <w:r>
        <w:tab/>
        <w:t>3(1)</w:t>
      </w:r>
    </w:p>
    <w:p>
      <w:pPr>
        <w:pStyle w:val="DefinedTerms"/>
      </w:pPr>
      <w:r>
        <w:t>wholesale electricity market commencement</w:t>
      </w:r>
      <w:r>
        <w:tab/>
        <w:t>20A(1)</w:t>
      </w:r>
    </w:p>
    <w:p>
      <w:pPr>
        <w:pStyle w:val="DefinedTerms"/>
      </w:pPr>
    </w:p>
    <w:p>
      <w:pPr>
        <w:rPr>
          <w:sz w:val="16"/>
        </w:rPr>
      </w:pPr>
    </w:p>
    <w:p/>
    <w:p/>
    <w:p/>
    <w:p/>
    <w:p/>
    <w:p/>
    <w:p/>
    <w:p/>
    <w:p/>
    <w:p/>
    <w:p/>
    <w:p/>
    <w:p/>
    <w:p/>
    <w:p/>
    <w:p/>
    <w:p/>
    <w:p/>
    <w:p/>
    <w:p/>
    <w:p>
      <w:pPr>
        <w:sectPr>
          <w:headerReference w:type="default" r:id="rId60"/>
          <w:pgSz w:w="11906" w:h="16838" w:code="9"/>
          <w:pgMar w:top="2376" w:right="2405" w:bottom="3542" w:left="2405" w:header="706" w:footer="3380" w:gutter="0"/>
          <w:cols w:space="720"/>
          <w:noEndnote/>
          <w:docGrid w:linePitch="326"/>
        </w:sectPr>
      </w:pPr>
    </w:p>
    <w:p/>
    <w:sectPr>
      <w:headerReference w:type="even" r:id="rId61"/>
      <w:headerReference w:type="default" r:id="rId6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Distribution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Distribution Regulations 1997</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DE9824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CF903CB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9.bin"/><Relationship Id="rId21" Type="http://schemas.openxmlformats.org/officeDocument/2006/relationships/image" Target="media/image2.png"/><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oleObject" Target="embeddings/oleObject10.bin"/><Relationship Id="rId50" Type="http://schemas.openxmlformats.org/officeDocument/2006/relationships/image" Target="media/image14.png"/><Relationship Id="rId55" Type="http://schemas.openxmlformats.org/officeDocument/2006/relationships/header" Target="header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8.xml"/><Relationship Id="rId54" Type="http://schemas.openxmlformats.org/officeDocument/2006/relationships/header" Target="header13.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1.bin"/><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footer" Target="footer8.xml"/><Relationship Id="rId48" Type="http://schemas.openxmlformats.org/officeDocument/2006/relationships/image" Target="media/image13.wmf"/><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image" Target="media/image12.wmf"/><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21680</Words>
  <Characters>115126</Characters>
  <Application>Microsoft Office Word</Application>
  <DocSecurity>0</DocSecurity>
  <Lines>3111</Lines>
  <Paragraphs>1410</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135396</CharactersWithSpaces>
  <SharedDoc>false</SharedDoc>
  <HLinks>
    <vt:vector size="18" baseType="variant">
      <vt:variant>
        <vt:i4>3014716</vt:i4>
      </vt:variant>
      <vt:variant>
        <vt:i4>5972</vt:i4>
      </vt:variant>
      <vt:variant>
        <vt:i4>1025</vt:i4>
      </vt:variant>
      <vt:variant>
        <vt:i4>1</vt:i4>
      </vt:variant>
      <vt:variant>
        <vt:lpwstr>C:\Program Files\PCO DLL\Support\Crest.wpg</vt:lpwstr>
      </vt:variant>
      <vt:variant>
        <vt:lpwstr/>
      </vt:variant>
      <vt:variant>
        <vt:i4>5439608</vt:i4>
      </vt:variant>
      <vt:variant>
        <vt:i4>133028</vt:i4>
      </vt:variant>
      <vt:variant>
        <vt:i4>1037</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1997 - 02-a0-01</dc:title>
  <dc:subject/>
  <dc:creator/>
  <cp:keywords/>
  <dc:description/>
  <cp:lastModifiedBy>svcMRProcess</cp:lastModifiedBy>
  <cp:revision>4</cp:revision>
  <cp:lastPrinted>2010-01-20T05:58:00Z</cp:lastPrinted>
  <dcterms:created xsi:type="dcterms:W3CDTF">2020-02-23T22:01:00Z</dcterms:created>
  <dcterms:modified xsi:type="dcterms:W3CDTF">2020-02-23T22:02:00Z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Suffix">
    <vt:lpwstr>02-a0-01</vt:lpwstr>
  </property>
  <property fmtid="{D5CDD505-2E9C-101B-9397-08002B2CF9AE}" pid="8" name="AsAtDate">
    <vt:lpwstr>08 Jan 2010</vt:lpwstr>
  </property>
</Properties>
</file>