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International Centre for Application of Solar Energy Repeal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International Centre for Application of Solar Energy Repeal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_Toc473627107 \h </w:instrText>
      </w:r>
      <w:r>
        <w:fldChar w:fldCharType="separate"/>
      </w:r>
      <w:r>
        <w:t>1</w:t>
      </w:r>
      <w:r>
        <w:fldChar w:fldCharType="end"/>
      </w:r>
    </w:p>
    <w:p>
      <w:pPr>
        <w:pStyle w:val="TOC8"/>
        <w:rPr>
          <w:rFonts w:asciiTheme="minorHAnsi" w:eastAsiaTheme="minorEastAsia" w:hAnsiTheme="minorHAnsi" w:cstheme="minorBidi"/>
          <w:szCs w:val="22"/>
        </w:rPr>
      </w:pPr>
      <w:r>
        <w:t>2.</w:t>
      </w:r>
      <w:r>
        <w:tab/>
        <w:t>The Act repealed</w:t>
      </w:r>
      <w:r>
        <w:tab/>
      </w:r>
      <w:r>
        <w:fldChar w:fldCharType="begin"/>
      </w:r>
      <w:r>
        <w:instrText xml:space="preserve"> PAGEREF _Toc473627108 \h </w:instrText>
      </w:r>
      <w:r>
        <w:fldChar w:fldCharType="separate"/>
      </w:r>
      <w:r>
        <w:t>1</w:t>
      </w:r>
      <w:r>
        <w:fldChar w:fldCharType="end"/>
      </w:r>
    </w:p>
    <w:p>
      <w:pPr>
        <w:pStyle w:val="TOC8"/>
        <w:rPr>
          <w:rFonts w:asciiTheme="minorHAnsi" w:eastAsiaTheme="minorEastAsia" w:hAnsiTheme="minorHAnsi" w:cstheme="minorBidi"/>
          <w:szCs w:val="22"/>
        </w:rPr>
      </w:pPr>
      <w:r>
        <w:t>3.</w:t>
      </w:r>
      <w:r>
        <w:tab/>
        <w:t>Transitional and savings provisions</w:t>
      </w:r>
      <w:r>
        <w:tab/>
      </w:r>
      <w:r>
        <w:fldChar w:fldCharType="begin"/>
      </w:r>
      <w:r>
        <w:instrText xml:space="preserve"> PAGEREF _Toc473627109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Constitution Acts Amendment Act 1899</w:t>
      </w:r>
      <w:r>
        <w:t xml:space="preserve"> amended</w:t>
      </w:r>
      <w:r>
        <w:tab/>
      </w:r>
      <w:r>
        <w:fldChar w:fldCharType="begin"/>
      </w:r>
      <w:r>
        <w:instrText xml:space="preserve"> PAGEREF _Toc473627110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Financial Administration and Audit Act 1985</w:t>
      </w:r>
      <w:r>
        <w:t xml:space="preserve"> amended</w:t>
      </w:r>
      <w:r>
        <w:tab/>
      </w:r>
      <w:r>
        <w:fldChar w:fldCharType="begin"/>
      </w:r>
      <w:r>
        <w:instrText xml:space="preserve"> PAGEREF _Toc473627111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i/>
        </w:rPr>
        <w:t>Freedom of Information Act 1992</w:t>
      </w:r>
      <w:r>
        <w:t xml:space="preserve"> amended</w:t>
      </w:r>
      <w:r>
        <w:tab/>
      </w:r>
      <w:r>
        <w:fldChar w:fldCharType="begin"/>
      </w:r>
      <w:r>
        <w:instrText xml:space="preserve"> PAGEREF _Toc473627112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i/>
        </w:rPr>
        <w:t xml:space="preserve">State Superannuation Regulations 2001 </w:t>
      </w:r>
      <w:r>
        <w:t>amended</w:t>
      </w:r>
      <w:r>
        <w:tab/>
      </w:r>
      <w:r>
        <w:fldChar w:fldCharType="begin"/>
      </w:r>
      <w:r>
        <w:instrText xml:space="preserve"> PAGEREF _Toc473627113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_Toc473627115 \h </w:instrText>
      </w:r>
      <w:r>
        <w:fldChar w:fldCharType="separate"/>
      </w:r>
      <w:r>
        <w:t>3</w:t>
      </w:r>
      <w:r>
        <w:fldChar w:fldCharType="end"/>
      </w:r>
    </w:p>
    <w:p>
      <w:pPr>
        <w:pStyle w:val="TOC8"/>
        <w:rPr>
          <w:rFonts w:asciiTheme="minorHAnsi" w:eastAsiaTheme="minorEastAsia" w:hAnsiTheme="minorHAnsi" w:cstheme="minorBidi"/>
          <w:szCs w:val="22"/>
        </w:rPr>
      </w:pPr>
      <w:r>
        <w:t>2.</w:t>
      </w:r>
      <w:r>
        <w:tab/>
        <w:t>Interpretation Act to apply</w:t>
      </w:r>
      <w:r>
        <w:tab/>
      </w:r>
      <w:r>
        <w:fldChar w:fldCharType="begin"/>
      </w:r>
      <w:r>
        <w:instrText xml:space="preserve"> PAGEREF _Toc473627116 \h </w:instrText>
      </w:r>
      <w:r>
        <w:fldChar w:fldCharType="separate"/>
      </w:r>
      <w:r>
        <w:t>3</w:t>
      </w:r>
      <w:r>
        <w:fldChar w:fldCharType="end"/>
      </w:r>
    </w:p>
    <w:p>
      <w:pPr>
        <w:pStyle w:val="TOC8"/>
        <w:rPr>
          <w:rFonts w:asciiTheme="minorHAnsi" w:eastAsiaTheme="minorEastAsia" w:hAnsiTheme="minorHAnsi" w:cstheme="minorBidi"/>
          <w:szCs w:val="22"/>
        </w:rPr>
      </w:pPr>
      <w:r>
        <w:t>3.</w:t>
      </w:r>
      <w:r>
        <w:tab/>
        <w:t>The Board</w:t>
      </w:r>
      <w:r>
        <w:tab/>
      </w:r>
      <w:r>
        <w:fldChar w:fldCharType="begin"/>
      </w:r>
      <w:r>
        <w:instrText xml:space="preserve"> PAGEREF _Toc473627117 \h </w:instrText>
      </w:r>
      <w:r>
        <w:fldChar w:fldCharType="separate"/>
      </w:r>
      <w:r>
        <w:t>4</w:t>
      </w:r>
      <w:r>
        <w:fldChar w:fldCharType="end"/>
      </w:r>
    </w:p>
    <w:p>
      <w:pPr>
        <w:pStyle w:val="TOC8"/>
        <w:rPr>
          <w:rFonts w:asciiTheme="minorHAnsi" w:eastAsiaTheme="minorEastAsia" w:hAnsiTheme="minorHAnsi" w:cstheme="minorBidi"/>
          <w:szCs w:val="22"/>
        </w:rPr>
      </w:pPr>
      <w:r>
        <w:t>4.</w:t>
      </w:r>
      <w:r>
        <w:tab/>
        <w:t>Managing Director</w:t>
      </w:r>
      <w:r>
        <w:tab/>
      </w:r>
      <w:r>
        <w:fldChar w:fldCharType="begin"/>
      </w:r>
      <w:r>
        <w:instrText xml:space="preserve"> PAGEREF _Toc473627118 \h </w:instrText>
      </w:r>
      <w:r>
        <w:fldChar w:fldCharType="separate"/>
      </w:r>
      <w:r>
        <w:t>4</w:t>
      </w:r>
      <w:r>
        <w:fldChar w:fldCharType="end"/>
      </w:r>
    </w:p>
    <w:p>
      <w:pPr>
        <w:pStyle w:val="TOC8"/>
        <w:rPr>
          <w:rFonts w:asciiTheme="minorHAnsi" w:eastAsiaTheme="minorEastAsia" w:hAnsiTheme="minorHAnsi" w:cstheme="minorBidi"/>
          <w:szCs w:val="22"/>
        </w:rPr>
      </w:pPr>
      <w:r>
        <w:t>5.</w:t>
      </w:r>
      <w:r>
        <w:tab/>
        <w:t>The International Advisory Council</w:t>
      </w:r>
      <w:r>
        <w:tab/>
      </w:r>
      <w:r>
        <w:fldChar w:fldCharType="begin"/>
      </w:r>
      <w:r>
        <w:instrText xml:space="preserve"> PAGEREF _Toc473627119 \h </w:instrText>
      </w:r>
      <w:r>
        <w:fldChar w:fldCharType="separate"/>
      </w:r>
      <w:r>
        <w:t>4</w:t>
      </w:r>
      <w:r>
        <w:fldChar w:fldCharType="end"/>
      </w:r>
    </w:p>
    <w:p>
      <w:pPr>
        <w:pStyle w:val="TOC8"/>
        <w:rPr>
          <w:rFonts w:asciiTheme="minorHAnsi" w:eastAsiaTheme="minorEastAsia" w:hAnsiTheme="minorHAnsi" w:cstheme="minorBidi"/>
          <w:szCs w:val="22"/>
        </w:rPr>
      </w:pPr>
      <w:r>
        <w:t>6.</w:t>
      </w:r>
      <w:r>
        <w:tab/>
        <w:t>Devolution of Centre’s assets, liabilities etc.</w:t>
      </w:r>
      <w:r>
        <w:tab/>
      </w:r>
      <w:r>
        <w:fldChar w:fldCharType="begin"/>
      </w:r>
      <w:r>
        <w:instrText xml:space="preserve"> PAGEREF _Toc473627120 \h </w:instrText>
      </w:r>
      <w:r>
        <w:fldChar w:fldCharType="separate"/>
      </w:r>
      <w:r>
        <w:t>4</w:t>
      </w:r>
      <w:r>
        <w:fldChar w:fldCharType="end"/>
      </w:r>
    </w:p>
    <w:p>
      <w:pPr>
        <w:pStyle w:val="TOC8"/>
        <w:rPr>
          <w:rFonts w:asciiTheme="minorHAnsi" w:eastAsiaTheme="minorEastAsia" w:hAnsiTheme="minorHAnsi" w:cstheme="minorBidi"/>
          <w:szCs w:val="22"/>
        </w:rPr>
      </w:pPr>
      <w:r>
        <w:t>7.</w:t>
      </w:r>
      <w:r>
        <w:tab/>
        <w:t>Agreements and instruments generally</w:t>
      </w:r>
      <w:r>
        <w:tab/>
      </w:r>
      <w:r>
        <w:fldChar w:fldCharType="begin"/>
      </w:r>
      <w:r>
        <w:instrText xml:space="preserve"> PAGEREF _Toc473627121 \h </w:instrText>
      </w:r>
      <w:r>
        <w:fldChar w:fldCharType="separate"/>
      </w:r>
      <w:r>
        <w:t>4</w:t>
      </w:r>
      <w:r>
        <w:fldChar w:fldCharType="end"/>
      </w:r>
    </w:p>
    <w:p>
      <w:pPr>
        <w:pStyle w:val="TOC8"/>
        <w:rPr>
          <w:rFonts w:asciiTheme="minorHAnsi" w:eastAsiaTheme="minorEastAsia" w:hAnsiTheme="minorHAnsi" w:cstheme="minorBidi"/>
          <w:szCs w:val="22"/>
        </w:rPr>
      </w:pPr>
      <w:r>
        <w:t>8.</w:t>
      </w:r>
      <w:r>
        <w:tab/>
        <w:t>Funds</w:t>
      </w:r>
      <w:r>
        <w:tab/>
      </w:r>
      <w:r>
        <w:fldChar w:fldCharType="begin"/>
      </w:r>
      <w:r>
        <w:instrText xml:space="preserve"> PAGEREF _Toc473627122 \h </w:instrText>
      </w:r>
      <w:r>
        <w:fldChar w:fldCharType="separate"/>
      </w:r>
      <w:r>
        <w:t>5</w:t>
      </w:r>
      <w:r>
        <w:fldChar w:fldCharType="end"/>
      </w:r>
    </w:p>
    <w:p>
      <w:pPr>
        <w:pStyle w:val="TOC8"/>
        <w:rPr>
          <w:rFonts w:asciiTheme="minorHAnsi" w:eastAsiaTheme="minorEastAsia" w:hAnsiTheme="minorHAnsi" w:cstheme="minorBidi"/>
          <w:szCs w:val="22"/>
        </w:rPr>
      </w:pPr>
      <w:r>
        <w:t>9.</w:t>
      </w:r>
      <w:r>
        <w:tab/>
        <w:t>Financial reporting</w:t>
      </w:r>
      <w:r>
        <w:tab/>
      </w:r>
      <w:r>
        <w:fldChar w:fldCharType="begin"/>
      </w:r>
      <w:r>
        <w:instrText xml:space="preserve"> PAGEREF _Toc473627123 \h </w:instrText>
      </w:r>
      <w:r>
        <w:fldChar w:fldCharType="separate"/>
      </w:r>
      <w:r>
        <w:t>5</w:t>
      </w:r>
      <w:r>
        <w:fldChar w:fldCharType="end"/>
      </w:r>
    </w:p>
    <w:p>
      <w:pPr>
        <w:pStyle w:val="TOC8"/>
        <w:rPr>
          <w:rFonts w:asciiTheme="minorHAnsi" w:eastAsiaTheme="minorEastAsia" w:hAnsiTheme="minorHAnsi" w:cstheme="minorBidi"/>
          <w:szCs w:val="22"/>
        </w:rPr>
      </w:pPr>
      <w:r>
        <w:t>10.</w:t>
      </w:r>
      <w:r>
        <w:tab/>
        <w:t>Immunity continues</w:t>
      </w:r>
      <w:r>
        <w:tab/>
      </w:r>
      <w:r>
        <w:fldChar w:fldCharType="begin"/>
      </w:r>
      <w:r>
        <w:instrText xml:space="preserve"> PAGEREF _Toc473627124 \h </w:instrText>
      </w:r>
      <w:r>
        <w:fldChar w:fldCharType="separate"/>
      </w:r>
      <w:r>
        <w:t>6</w:t>
      </w:r>
      <w:r>
        <w:fldChar w:fldCharType="end"/>
      </w:r>
    </w:p>
    <w:p>
      <w:pPr>
        <w:pStyle w:val="TOC8"/>
        <w:rPr>
          <w:rFonts w:asciiTheme="minorHAnsi" w:eastAsiaTheme="minorEastAsia" w:hAnsiTheme="minorHAnsi" w:cstheme="minorBidi"/>
          <w:szCs w:val="22"/>
        </w:rPr>
      </w:pPr>
      <w:r>
        <w:t>11.</w:t>
      </w:r>
      <w:r>
        <w:tab/>
        <w:t>Registration of documents</w:t>
      </w:r>
      <w:r>
        <w:tab/>
      </w:r>
      <w:r>
        <w:fldChar w:fldCharType="begin"/>
      </w:r>
      <w:r>
        <w:instrText xml:space="preserve"> PAGEREF _Toc473627125 \h </w:instrText>
      </w:r>
      <w:r>
        <w:fldChar w:fldCharType="separate"/>
      </w:r>
      <w:r>
        <w:t>6</w:t>
      </w:r>
      <w:r>
        <w:fldChar w:fldCharType="end"/>
      </w:r>
    </w:p>
    <w:p>
      <w:pPr>
        <w:pStyle w:val="TOC8"/>
        <w:rPr>
          <w:rFonts w:asciiTheme="minorHAnsi" w:eastAsiaTheme="minorEastAsia" w:hAnsiTheme="minorHAnsi" w:cstheme="minorBidi"/>
          <w:szCs w:val="22"/>
        </w:rPr>
      </w:pPr>
      <w:r>
        <w:t>12.</w:t>
      </w:r>
      <w:r>
        <w:tab/>
        <w:t>Saving</w:t>
      </w:r>
      <w:r>
        <w:tab/>
      </w:r>
      <w:r>
        <w:fldChar w:fldCharType="begin"/>
      </w:r>
      <w:r>
        <w:instrText xml:space="preserve"> PAGEREF _Toc473627126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_Toc473627128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Perth International Centre for Application of Solar Energy Repeal Act 2006</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rPr>
          <w:snapToGrid w:val="0"/>
        </w:rPr>
      </w:pPr>
      <w:r>
        <w:rPr>
          <w:snapToGrid w:val="0"/>
        </w:rPr>
        <w:t xml:space="preserve">repeal the </w:t>
      </w:r>
      <w:r>
        <w:rPr>
          <w:i/>
          <w:snapToGrid w:val="0"/>
        </w:rPr>
        <w:t>Perth International Centre for Application of Solar Energy Act 1994</w:t>
      </w:r>
      <w:r>
        <w:rPr>
          <w:snapToGrid w:val="0"/>
        </w:rPr>
        <w:t>;</w:t>
      </w:r>
    </w:p>
    <w:p>
      <w:pPr>
        <w:pStyle w:val="LongTitle"/>
        <w:numPr>
          <w:ilvl w:val="0"/>
          <w:numId w:val="2"/>
        </w:numPr>
        <w:suppressLineNumbers/>
      </w:pPr>
      <w:r>
        <w:t>amend certain other Acts as a consequence,</w:t>
      </w:r>
    </w:p>
    <w:p>
      <w:pPr>
        <w:pStyle w:val="LongTitle"/>
        <w:suppressLineNumbers/>
      </w:pPr>
      <w:r>
        <w:t>and for related purposes.</w:t>
      </w:r>
    </w:p>
    <w:p>
      <w:pPr>
        <w:pStyle w:val="Enactment"/>
        <w:suppressLineNumbers/>
        <w:spacing w:before="400"/>
        <w:rPr>
          <w:snapToGrid w:val="0"/>
        </w:rPr>
      </w:pPr>
      <w:r>
        <w:rPr>
          <w:snapToGrid w:val="0"/>
        </w:rPr>
        <w:t>The Parliament of Western Australia enacts as follows:</w:t>
      </w:r>
    </w:p>
    <w:p>
      <w:pPr>
        <w:pStyle w:val="Heading5"/>
        <w:rPr>
          <w:snapToGrid w:val="0"/>
        </w:rPr>
      </w:pPr>
      <w:bookmarkStart w:id="4" w:name="_Toc473627107"/>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Perth International Centre for Application of Solar Energy Repeal Act 2006</w:t>
      </w:r>
      <w:r>
        <w:rPr>
          <w:snapToGrid w:val="0"/>
        </w:rPr>
        <w:t xml:space="preserve">. </w:t>
      </w:r>
    </w:p>
    <w:p>
      <w:pPr>
        <w:pStyle w:val="Heading5"/>
      </w:pPr>
      <w:bookmarkStart w:id="5" w:name="_Toc473627108"/>
      <w:r>
        <w:rPr>
          <w:rStyle w:val="CharSectno"/>
        </w:rPr>
        <w:t>2</w:t>
      </w:r>
      <w:r>
        <w:t>.</w:t>
      </w:r>
      <w:r>
        <w:tab/>
        <w:t>The Act repealed</w:t>
      </w:r>
      <w:bookmarkEnd w:id="5"/>
    </w:p>
    <w:p>
      <w:pPr>
        <w:pStyle w:val="Subsection"/>
      </w:pPr>
      <w:r>
        <w:tab/>
      </w:r>
      <w:r>
        <w:tab/>
        <w:t xml:space="preserve">The </w:t>
      </w:r>
      <w:r>
        <w:rPr>
          <w:i/>
        </w:rPr>
        <w:t>Perth International Centre for Application of Solar Energy Act 1994</w:t>
      </w:r>
      <w:r>
        <w:t xml:space="preserve"> is repealed.</w:t>
      </w:r>
    </w:p>
    <w:p>
      <w:pPr>
        <w:pStyle w:val="Heading5"/>
      </w:pPr>
      <w:bookmarkStart w:id="6" w:name="_Toc473627109"/>
      <w:r>
        <w:rPr>
          <w:rStyle w:val="CharSectno"/>
        </w:rPr>
        <w:t>3</w:t>
      </w:r>
      <w:r>
        <w:t>.</w:t>
      </w:r>
      <w:r>
        <w:tab/>
        <w:t>Transitional and savings provisions</w:t>
      </w:r>
      <w:bookmarkEnd w:id="6"/>
    </w:p>
    <w:p>
      <w:pPr>
        <w:pStyle w:val="Subsection"/>
      </w:pPr>
      <w:r>
        <w:tab/>
      </w:r>
      <w:r>
        <w:tab/>
        <w:t>Schedule 1 sets out transitional and savings provisions.</w:t>
      </w:r>
    </w:p>
    <w:p>
      <w:pPr>
        <w:pStyle w:val="Heading5"/>
      </w:pPr>
      <w:bookmarkStart w:id="7" w:name="_Toc473627110"/>
      <w:r>
        <w:rPr>
          <w:rStyle w:val="CharSectno"/>
        </w:rPr>
        <w:t>4</w:t>
      </w:r>
      <w:r>
        <w:t>.</w:t>
      </w:r>
      <w:r>
        <w:tab/>
      </w:r>
      <w:r>
        <w:rPr>
          <w:i/>
        </w:rPr>
        <w:t>Constitution Acts Amendment Act 1899</w:t>
      </w:r>
      <w:r>
        <w:t xml:space="preserve"> amended</w:t>
      </w:r>
      <w:bookmarkEnd w:id="7"/>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 No. 59 of 2004.</w:t>
      </w:r>
      <w:r>
        <w:t>]</w:t>
      </w:r>
    </w:p>
    <w:p>
      <w:pPr>
        <w:pStyle w:val="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Heading5"/>
      </w:pPr>
      <w:bookmarkStart w:id="8" w:name="_Toc473627111"/>
      <w:r>
        <w:rPr>
          <w:rStyle w:val="CharSectno"/>
        </w:rPr>
        <w:t>5</w:t>
      </w:r>
      <w:r>
        <w:t>.</w:t>
      </w:r>
      <w:r>
        <w:tab/>
      </w:r>
      <w:r>
        <w:rPr>
          <w:i/>
        </w:rPr>
        <w:t>Financial Administration and Audit Act 1985</w:t>
      </w:r>
      <w:r>
        <w:t xml:space="preserve"> amended</w:t>
      </w:r>
      <w:bookmarkEnd w:id="8"/>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rPr>
          <w:i/>
        </w:rPr>
      </w:pPr>
      <w:r>
        <w:tab/>
        <w:t>[*</w:t>
      </w:r>
      <w:r>
        <w:tab/>
      </w:r>
      <w:r>
        <w:rPr>
          <w:i/>
        </w:rPr>
        <w:t>Reprint 8 as at 9 July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165</w:t>
      </w:r>
      <w:r>
        <w:rPr>
          <w:i/>
        </w:rPr>
        <w:t xml:space="preserve"> and </w:t>
      </w:r>
      <w:r>
        <w:rPr>
          <w:i/>
          <w:color w:val="000000"/>
        </w:rPr>
        <w:t>Gazette 4 Feb 2005 p. 623-4</w:t>
      </w:r>
      <w:r>
        <w:rPr>
          <w:i/>
        </w:rPr>
        <w:t>.</w:t>
      </w:r>
      <w:r>
        <w:t>]</w:t>
      </w:r>
    </w:p>
    <w:p>
      <w:pPr>
        <w:pStyle w:val="Subsection"/>
      </w:pPr>
      <w:r>
        <w:tab/>
        <w:t>(2)</w:t>
      </w:r>
      <w:r>
        <w:tab/>
        <w:t>Schedule 1 is amended by deleting “Perth International Centre for Application of Solar Energy”.</w:t>
      </w:r>
    </w:p>
    <w:p>
      <w:pPr>
        <w:pStyle w:val="Heading5"/>
      </w:pPr>
      <w:bookmarkStart w:id="9" w:name="_Toc473627112"/>
      <w:r>
        <w:rPr>
          <w:rStyle w:val="CharSectno"/>
        </w:rPr>
        <w:t>6</w:t>
      </w:r>
      <w:r>
        <w:t>.</w:t>
      </w:r>
      <w:r>
        <w:tab/>
      </w:r>
      <w:r>
        <w:rPr>
          <w:i/>
        </w:rPr>
        <w:t>Freedom of Information Act 1992</w:t>
      </w:r>
      <w:r>
        <w:t xml:space="preserve"> amended</w:t>
      </w:r>
      <w:bookmarkEnd w:id="9"/>
    </w:p>
    <w:p>
      <w:pPr>
        <w:pStyle w:val="Subsection"/>
        <w:keepNext/>
      </w:pPr>
      <w:r>
        <w:tab/>
        <w:t>(1)</w:t>
      </w:r>
      <w:r>
        <w:tab/>
        <w:t xml:space="preserve">The amendment in this section is to the </w:t>
      </w:r>
      <w:r>
        <w:rPr>
          <w:i/>
        </w:rPr>
        <w:t>Freedom of Information Act 1992</w:t>
      </w:r>
      <w:r>
        <w:t>*.</w:t>
      </w:r>
    </w:p>
    <w:p>
      <w:pPr>
        <w:pStyle w:val="Subsection"/>
        <w:keepNext/>
        <w:tabs>
          <w:tab w:val="clear" w:pos="595"/>
          <w:tab w:val="left" w:pos="1134"/>
        </w:tabs>
        <w:ind w:left="1134" w:hanging="1134"/>
        <w:rPr>
          <w:i/>
        </w:rPr>
      </w:pPr>
      <w:r>
        <w:tab/>
        <w:t>[*</w:t>
      </w:r>
      <w:r>
        <w:tab/>
      </w:r>
      <w:r>
        <w:rPr>
          <w:i/>
        </w:rPr>
        <w:t>Reprint 4 as at 10 September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179</w:t>
      </w:r>
      <w:r>
        <w:rPr>
          <w:i/>
        </w:rPr>
        <w:t>.</w:t>
      </w:r>
      <w:r>
        <w:t>]</w:t>
      </w:r>
    </w:p>
    <w:p>
      <w:pPr>
        <w:pStyle w:val="Subsection"/>
      </w:pPr>
      <w:r>
        <w:tab/>
        <w:t>(2)</w:t>
      </w:r>
      <w:r>
        <w:tab/>
        <w:t>Schedule 2 is amended by deleting “The Perth International Centre for Application of Solar Energy.”.</w:t>
      </w:r>
    </w:p>
    <w:p>
      <w:pPr>
        <w:pStyle w:val="Heading5"/>
      </w:pPr>
      <w:bookmarkStart w:id="10" w:name="_Toc473627113"/>
      <w:r>
        <w:rPr>
          <w:rStyle w:val="CharSectno"/>
        </w:rPr>
        <w:t>7</w:t>
      </w:r>
      <w:r>
        <w:t>.</w:t>
      </w:r>
      <w:r>
        <w:tab/>
      </w:r>
      <w:r>
        <w:rPr>
          <w:i/>
        </w:rPr>
        <w:t xml:space="preserve">State Superannuation Regulations 2001 </w:t>
      </w:r>
      <w:r>
        <w:t>amended</w:t>
      </w:r>
      <w:bookmarkEnd w:id="10"/>
    </w:p>
    <w:p>
      <w:pPr>
        <w:pStyle w:val="Subsection"/>
      </w:pPr>
      <w:r>
        <w:tab/>
        <w:t>(1)</w:t>
      </w:r>
      <w:r>
        <w:tab/>
        <w:t xml:space="preserve">The amendment in this section is to </w:t>
      </w:r>
      <w:r>
        <w:rPr>
          <w:i/>
        </w:rPr>
        <w:t>State Superannuation Regulations 2001</w:t>
      </w:r>
      <w:r>
        <w:t>*.</w:t>
      </w:r>
    </w:p>
    <w:p>
      <w:pPr>
        <w:pStyle w:val="Subsection"/>
        <w:tabs>
          <w:tab w:val="clear" w:pos="595"/>
          <w:tab w:val="left" w:pos="1134"/>
        </w:tabs>
        <w:ind w:left="1134" w:hanging="1134"/>
        <w:rPr>
          <w:i/>
        </w:rPr>
      </w:pPr>
      <w:r>
        <w:tab/>
        <w:t>[*</w:t>
      </w:r>
      <w:r>
        <w:tab/>
      </w:r>
      <w:r>
        <w:rPr>
          <w:i/>
          <w:iCs/>
        </w:rPr>
        <w:t>Reprint 1</w:t>
      </w:r>
      <w:r>
        <w:rPr>
          <w:i/>
          <w:spacing w:val="-2"/>
        </w:rPr>
        <w:t xml:space="preserve"> as at 7 November 2003.</w:t>
      </w:r>
    </w:p>
    <w:p>
      <w:pPr>
        <w:pStyle w:val="Subsection"/>
        <w:tabs>
          <w:tab w:val="clear" w:pos="595"/>
          <w:tab w:val="left" w:pos="1134"/>
        </w:tabs>
        <w:spacing w:before="0"/>
        <w:ind w:left="1134" w:hanging="1134"/>
      </w:pPr>
      <w:r>
        <w:rPr>
          <w:i/>
        </w:rPr>
        <w:tab/>
      </w:r>
      <w:r>
        <w:rPr>
          <w:i/>
        </w:rPr>
        <w:tab/>
        <w:t xml:space="preserve">For subsequent amendments see Western Australian Legislation Information Tables for 2004, Table 4, </w:t>
      </w:r>
      <w:r>
        <w:rPr>
          <w:i/>
          <w:spacing w:val="-2"/>
        </w:rPr>
        <w:t>p. 386</w:t>
      </w:r>
      <w:r>
        <w:t>.]</w:t>
      </w:r>
    </w:p>
    <w:p>
      <w:pPr>
        <w:pStyle w:val="Subsection"/>
      </w:pPr>
      <w:r>
        <w:tab/>
        <w:t>(2)</w:t>
      </w:r>
      <w:r>
        <w:tab/>
        <w:t>Schedule 1 Division 2 item 37 is deleted.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 w:name="_Toc473627114"/>
      <w:r>
        <w:rPr>
          <w:rStyle w:val="CharSchNo"/>
        </w:rPr>
        <w:t>Schedule 1</w:t>
      </w:r>
      <w:r>
        <w:rPr>
          <w:rStyle w:val="CharSDivNo"/>
        </w:rPr>
        <w:t> </w:t>
      </w:r>
      <w:r>
        <w:t>—</w:t>
      </w:r>
      <w:r>
        <w:rPr>
          <w:rStyle w:val="CharSDivText"/>
        </w:rPr>
        <w:t> </w:t>
      </w:r>
      <w:r>
        <w:rPr>
          <w:rStyle w:val="CharSchText"/>
        </w:rPr>
        <w:t>Transitional and savings provisions</w:t>
      </w:r>
      <w:bookmarkEnd w:id="11"/>
    </w:p>
    <w:p>
      <w:pPr>
        <w:pStyle w:val="yShoulderClause"/>
      </w:pPr>
      <w:r>
        <w:t>[s. 3]</w:t>
      </w:r>
    </w:p>
    <w:p>
      <w:pPr>
        <w:pStyle w:val="yHeading5"/>
      </w:pPr>
      <w:bookmarkStart w:id="12" w:name="_Toc473627115"/>
      <w:r>
        <w:rPr>
          <w:rStyle w:val="CharSClsNo"/>
        </w:rPr>
        <w:t>1</w:t>
      </w:r>
      <w:r>
        <w:t>.</w:t>
      </w:r>
      <w:r>
        <w:tab/>
        <w:t>Terms used in this Schedule</w:t>
      </w:r>
      <w:bookmarkEnd w:id="12"/>
    </w:p>
    <w:p>
      <w:pPr>
        <w:pStyle w:val="ySubsection"/>
      </w:pPr>
      <w:r>
        <w:tab/>
      </w:r>
      <w:r>
        <w:tab/>
        <w:t xml:space="preserve">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Board of Directors of the Perth International Centre for Application of Solar Energy as constituted under the Act immediately before the commencement day;</w:t>
      </w:r>
    </w:p>
    <w:p>
      <w:pPr>
        <w:pStyle w:val="yDefstart"/>
      </w:pPr>
      <w:r>
        <w:rPr>
          <w:b/>
        </w:rPr>
        <w:tab/>
      </w:r>
      <w:r>
        <w:rPr>
          <w:rStyle w:val="CharDefText"/>
        </w:rPr>
        <w:t>Centre</w:t>
      </w:r>
      <w:r>
        <w:t xml:space="preserve"> means the Perth International Centre for Application of Solar Energy;</w:t>
      </w:r>
    </w:p>
    <w:p>
      <w:pPr>
        <w:pStyle w:val="yDefstart"/>
      </w:pPr>
      <w: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Minister</w:t>
      </w:r>
      <w:r>
        <w:t xml:space="preserve"> means the Minister responsible for the administration of the </w:t>
      </w:r>
      <w:r>
        <w:rPr>
          <w:i/>
        </w:rPr>
        <w:t>Energy Coordination Act 1994</w:t>
      </w:r>
      <w:r>
        <w:t>;</w:t>
      </w:r>
    </w:p>
    <w:p>
      <w:pPr>
        <w:pStyle w:val="yDefstart"/>
      </w:pPr>
      <w:r>
        <w:rPr>
          <w:b/>
        </w:rPr>
        <w:tab/>
      </w:r>
      <w:r>
        <w:rPr>
          <w:rStyle w:val="CharDefText"/>
        </w:rPr>
        <w:t>right</w:t>
      </w:r>
      <w:r>
        <w:t xml:space="preserve"> means any right, power, privilege or immunity whether actual, contingent or prospective;</w:t>
      </w:r>
    </w:p>
    <w:p>
      <w:pPr>
        <w:pStyle w:val="yDefstart"/>
      </w:pPr>
      <w:r>
        <w:tab/>
      </w:r>
      <w:r>
        <w:rPr>
          <w:rStyle w:val="CharDefText"/>
        </w:rPr>
        <w:t>the Act</w:t>
      </w:r>
      <w:r>
        <w:t xml:space="preserve"> means the </w:t>
      </w:r>
      <w:r>
        <w:rPr>
          <w:i/>
        </w:rPr>
        <w:t>Perth International Centre for Application of Solar Energy Act 1994</w:t>
      </w:r>
      <w:r>
        <w:t xml:space="preserve"> as in force immediately before the commencement day.</w:t>
      </w:r>
    </w:p>
    <w:p>
      <w:pPr>
        <w:pStyle w:val="yHeading5"/>
        <w:keepLines w:val="0"/>
      </w:pPr>
      <w:bookmarkStart w:id="13" w:name="_Toc473627116"/>
      <w:r>
        <w:rPr>
          <w:rStyle w:val="CharSClsNo"/>
        </w:rPr>
        <w:t>2</w:t>
      </w:r>
      <w:r>
        <w:t>.</w:t>
      </w:r>
      <w:r>
        <w:tab/>
        <w:t>Interpretation Act to apply</w:t>
      </w:r>
      <w:bookmarkEnd w:id="13"/>
    </w:p>
    <w:p>
      <w:pPr>
        <w:pStyle w:val="ySubsection"/>
      </w:pPr>
      <w:r>
        <w:tab/>
      </w:r>
      <w:r>
        <w:tab/>
        <w:t xml:space="preserve">This Schedule does not limit the operation of the </w:t>
      </w:r>
      <w:r>
        <w:rPr>
          <w:i/>
        </w:rPr>
        <w:t>Interpretation Act 1984</w:t>
      </w:r>
      <w:r>
        <w:t>.</w:t>
      </w:r>
    </w:p>
    <w:p>
      <w:pPr>
        <w:pStyle w:val="yHeading5"/>
      </w:pPr>
      <w:bookmarkStart w:id="14" w:name="_Toc473627117"/>
      <w:r>
        <w:rPr>
          <w:rStyle w:val="CharSClsNo"/>
        </w:rPr>
        <w:t>3</w:t>
      </w:r>
      <w:r>
        <w:t>.</w:t>
      </w:r>
      <w:r>
        <w:tab/>
        <w:t>The Board</w:t>
      </w:r>
      <w:bookmarkEnd w:id="14"/>
    </w:p>
    <w:p>
      <w:pPr>
        <w:pStyle w:val="ySubsection"/>
      </w:pPr>
      <w:r>
        <w:tab/>
      </w:r>
      <w:r>
        <w:tab/>
        <w:t>At the beginning of the commencement day the Board is abolished and its members go out of office.</w:t>
      </w:r>
    </w:p>
    <w:p>
      <w:pPr>
        <w:pStyle w:val="yHeading5"/>
      </w:pPr>
      <w:bookmarkStart w:id="15" w:name="_Toc473627118"/>
      <w:r>
        <w:rPr>
          <w:rStyle w:val="CharSClsNo"/>
        </w:rPr>
        <w:t>4</w:t>
      </w:r>
      <w:r>
        <w:t>.</w:t>
      </w:r>
      <w:r>
        <w:tab/>
        <w:t>Managing Director</w:t>
      </w:r>
      <w:bookmarkEnd w:id="15"/>
    </w:p>
    <w:p>
      <w:pPr>
        <w:pStyle w:val="ySubsection"/>
      </w:pPr>
      <w:r>
        <w:tab/>
      </w:r>
      <w:r>
        <w:tab/>
        <w:t>On the commencement day the person holding the office of Managing Director under the Act section 8(1)(a) ceases to hold that office.</w:t>
      </w:r>
    </w:p>
    <w:p>
      <w:pPr>
        <w:pStyle w:val="yHeading5"/>
      </w:pPr>
      <w:bookmarkStart w:id="16" w:name="_Toc473627119"/>
      <w:r>
        <w:rPr>
          <w:rStyle w:val="CharSClsNo"/>
        </w:rPr>
        <w:t>5</w:t>
      </w:r>
      <w:r>
        <w:t>.</w:t>
      </w:r>
      <w:r>
        <w:tab/>
        <w:t>The International Advisory Council</w:t>
      </w:r>
      <w:bookmarkEnd w:id="16"/>
    </w:p>
    <w:p>
      <w:pPr>
        <w:pStyle w:val="ySubsection"/>
      </w:pPr>
      <w:r>
        <w:tab/>
      </w:r>
      <w:r>
        <w:tab/>
        <w:t>At the beginning of the commencement day the International Advisory Council established under the Act Part 2 Division 3 is abolished and its members go out of office.</w:t>
      </w:r>
    </w:p>
    <w:p>
      <w:pPr>
        <w:pStyle w:val="yHeading5"/>
      </w:pPr>
      <w:bookmarkStart w:id="17" w:name="_Toc473627120"/>
      <w:r>
        <w:rPr>
          <w:rStyle w:val="CharSClsNo"/>
        </w:rPr>
        <w:t>6</w:t>
      </w:r>
      <w:r>
        <w:rPr>
          <w:rStyle w:val="CharSectno"/>
        </w:rPr>
        <w:t>.</w:t>
      </w:r>
      <w:r>
        <w:rPr>
          <w:rStyle w:val="CharSectno"/>
        </w:rPr>
        <w:tab/>
      </w:r>
      <w:r>
        <w:t>Devolution of Centre’s assets, liabilities etc.</w:t>
      </w:r>
      <w:bookmarkEnd w:id="17"/>
    </w:p>
    <w:p>
      <w:pPr>
        <w:pStyle w:val="ySubsection"/>
      </w:pPr>
      <w:r>
        <w:tab/>
      </w:r>
      <w:r>
        <w:tab/>
        <w:t>On and after the commencement day —</w:t>
      </w:r>
    </w:p>
    <w:p>
      <w:pPr>
        <w:pStyle w:val="yIndenta"/>
      </w:pPr>
      <w:r>
        <w:tab/>
        <w:t>(a)</w:t>
      </w:r>
      <w:r>
        <w:tab/>
        <w:t>the assets and rights of the Centre that were immediately before that day vested in that body vest in the State by force of this clause;</w:t>
      </w:r>
    </w:p>
    <w:p>
      <w:pPr>
        <w:pStyle w:val="yIndenta"/>
      </w:pPr>
      <w:r>
        <w:tab/>
        <w:t>(b)</w:t>
      </w:r>
      <w:r>
        <w:tab/>
        <w:t>the liabilities of the Centre immediately before that day become, by force of this clause, the liabilities of the State;</w:t>
      </w:r>
    </w:p>
    <w:p>
      <w:pPr>
        <w:pStyle w:val="yIndenta"/>
      </w:pPr>
      <w:r>
        <w:tab/>
        <w:t>(c)</w:t>
      </w:r>
      <w:r>
        <w:tab/>
        <w:t>any proceedings or remedy that immediately before that day might have been brought or continued by or available against or to the Centre, may be brought or continued and are available, by or against or to the State; and</w:t>
      </w:r>
    </w:p>
    <w:p>
      <w:pPr>
        <w:pStyle w:val="yIndenta"/>
      </w:pPr>
      <w:r>
        <w:tab/>
        <w:t>(d)</w:t>
      </w:r>
      <w:r>
        <w:tab/>
        <w:t>all records and data of the Centre pass to the Minister.</w:t>
      </w:r>
    </w:p>
    <w:p>
      <w:pPr>
        <w:pStyle w:val="yHeading5"/>
      </w:pPr>
      <w:bookmarkStart w:id="18" w:name="_Toc473627121"/>
      <w:r>
        <w:rPr>
          <w:rStyle w:val="CharSClsNo"/>
        </w:rPr>
        <w:t>7</w:t>
      </w:r>
      <w:r>
        <w:t>.</w:t>
      </w:r>
      <w:r>
        <w:tab/>
        <w:t>Agreements and instruments generally</w:t>
      </w:r>
      <w:bookmarkEnd w:id="18"/>
    </w:p>
    <w:p>
      <w:pPr>
        <w:pStyle w:val="ySubsection"/>
      </w:pPr>
      <w:r>
        <w:tab/>
      </w:r>
      <w:r>
        <w:tab/>
        <w:t xml:space="preserve">Any agreement or instrument subsisting immediately before the commencement day — </w:t>
      </w:r>
    </w:p>
    <w:p>
      <w:pPr>
        <w:pStyle w:val="yIndenta"/>
      </w:pPr>
      <w:r>
        <w:tab/>
        <w:t>(a)</w:t>
      </w:r>
      <w:r>
        <w:tab/>
        <w:t>to which the Centre is a party; or</w:t>
      </w:r>
    </w:p>
    <w:p>
      <w:pPr>
        <w:pStyle w:val="yIndenta"/>
      </w:pPr>
      <w:r>
        <w:tab/>
        <w:t>(b)</w:t>
      </w:r>
      <w:r>
        <w:tab/>
        <w:t>which contains a reference to the Centre,</w:t>
      </w:r>
    </w:p>
    <w:p>
      <w:pPr>
        <w:pStyle w:val="ySubsection"/>
      </w:pPr>
      <w:r>
        <w:tab/>
      </w:r>
      <w:r>
        <w:tab/>
        <w:t xml:space="preserve">has effect on and after the commencement day as if — </w:t>
      </w:r>
    </w:p>
    <w:p>
      <w:pPr>
        <w:pStyle w:val="yIndenta"/>
      </w:pPr>
      <w:r>
        <w:tab/>
        <w:t>(c)</w:t>
      </w:r>
      <w:r>
        <w:tab/>
        <w:t>the State were substituted for the Centre as a party to the agreement or instrument; and</w:t>
      </w:r>
    </w:p>
    <w:p>
      <w:pPr>
        <w:pStyle w:val="yIndenta"/>
      </w:pPr>
      <w:r>
        <w:tab/>
        <w:t>(d)</w:t>
      </w:r>
      <w:r>
        <w:tab/>
        <w:t>any reference in the agreement or instrument to the Centre were (unless the context otherwise requires) amended to be or include a reference to the State.</w:t>
      </w:r>
    </w:p>
    <w:p>
      <w:pPr>
        <w:pStyle w:val="yHeading5"/>
      </w:pPr>
      <w:bookmarkStart w:id="19" w:name="_Toc473627122"/>
      <w:r>
        <w:rPr>
          <w:rStyle w:val="CharSClsNo"/>
        </w:rPr>
        <w:t>8</w:t>
      </w:r>
      <w:r>
        <w:t>.</w:t>
      </w:r>
      <w:r>
        <w:tab/>
        <w:t>Funds</w:t>
      </w:r>
      <w:bookmarkEnd w:id="19"/>
    </w:p>
    <w:p>
      <w:pPr>
        <w:pStyle w:val="ySubsection"/>
      </w:pPr>
      <w:r>
        <w:tab/>
      </w:r>
      <w:r>
        <w:tab/>
        <w:t>On the commencement day the account referred to in the Act section 24(2) is to be closed by the Treasurer and the moneys in the account credited to the Consolidated Fund.</w:t>
      </w:r>
    </w:p>
    <w:p>
      <w:pPr>
        <w:pStyle w:val="yHeading5"/>
      </w:pPr>
      <w:bookmarkStart w:id="20" w:name="_Toc473627123"/>
      <w:r>
        <w:rPr>
          <w:rStyle w:val="CharSClsNo"/>
        </w:rPr>
        <w:t>9</w:t>
      </w:r>
      <w:r>
        <w:t>.</w:t>
      </w:r>
      <w:r>
        <w:tab/>
        <w:t>Financial reporting</w:t>
      </w:r>
      <w:bookmarkEnd w:id="20"/>
    </w:p>
    <w:p>
      <w:pPr>
        <w:pStyle w:val="ySubsection"/>
      </w:pPr>
      <w:r>
        <w:tab/>
        <w:t>(1)</w:t>
      </w:r>
      <w:r>
        <w:tab/>
        <w:t xml:space="preserve">In this clause — </w:t>
      </w:r>
    </w:p>
    <w:p>
      <w:pPr>
        <w:pStyle w:val="yDefstart"/>
      </w:pPr>
      <w:r>
        <w:rPr>
          <w:b/>
        </w:rPr>
        <w:tab/>
      </w:r>
      <w:r>
        <w:rPr>
          <w:rStyle w:val="CharDefText"/>
        </w:rPr>
        <w:t>FAA Act</w:t>
      </w:r>
      <w:r>
        <w:t xml:space="preserve"> means the </w:t>
      </w:r>
      <w:r>
        <w:rPr>
          <w:i/>
        </w:rPr>
        <w:t>Financial Administration and Audit Act 1985</w:t>
      </w:r>
      <w:r>
        <w:t>;</w:t>
      </w:r>
    </w:p>
    <w:p>
      <w:pPr>
        <w:pStyle w:val="yDefstart"/>
      </w:pPr>
      <w:r>
        <w:rPr>
          <w:b/>
        </w:rPr>
        <w:tab/>
      </w:r>
      <w:r>
        <w:rPr>
          <w:rStyle w:val="CharDefText"/>
        </w:rPr>
        <w:t>reporting officer</w:t>
      </w:r>
      <w:r>
        <w:t xml:space="preserve"> means the person appointed under the FAA Act section 65A(2) as applied by subclause (2);</w:t>
      </w:r>
    </w:p>
    <w:p>
      <w:pPr>
        <w:pStyle w:val="yDefstart"/>
      </w:pPr>
      <w:r>
        <w:rPr>
          <w:b/>
        </w:rPr>
        <w:tab/>
      </w:r>
      <w:r>
        <w:rPr>
          <w:rStyle w:val="CharDefText"/>
        </w:rPr>
        <w:t>the final period</w:t>
      </w:r>
      <w:r>
        <w:t xml:space="preserve"> means the period that — </w:t>
      </w:r>
    </w:p>
    <w:p>
      <w:pPr>
        <w:pStyle w:val="yDefpara"/>
      </w:pPr>
      <w:r>
        <w:tab/>
        <w:t>(a)</w:t>
      </w:r>
      <w:r>
        <w:tab/>
        <w:t>starts immediately after the end of the last financial year of the Centre to have ended before the commencement day; and</w:t>
      </w:r>
    </w:p>
    <w:p>
      <w:pPr>
        <w:pStyle w:val="yDefpara"/>
      </w:pPr>
      <w:r>
        <w:tab/>
        <w:t>(b)</w:t>
      </w:r>
      <w:r>
        <w:tab/>
        <w:t>ends immediately before the commencement day.</w:t>
      </w:r>
    </w:p>
    <w:p>
      <w:pPr>
        <w:pStyle w:val="ySubsection"/>
      </w:pPr>
      <w:r>
        <w:tab/>
        <w:t>(2)</w:t>
      </w:r>
      <w:r>
        <w:tab/>
        <w:t xml:space="preserve">The FAA Act section 65A applies in relation to the preparation and submission of a final report in respect of the Centre, as if — </w:t>
      </w:r>
    </w:p>
    <w:p>
      <w:pPr>
        <w:pStyle w:val="yIndenta"/>
      </w:pPr>
      <w:r>
        <w:tab/>
        <w:t>(a)</w:t>
      </w:r>
      <w:r>
        <w:tab/>
        <w:t>references in that section to a department were references to the Centre; and</w:t>
      </w:r>
    </w:p>
    <w:p>
      <w:pPr>
        <w:pStyle w:val="yIndenta"/>
      </w:pPr>
      <w:r>
        <w:tab/>
        <w:t>(b)</w:t>
      </w:r>
      <w:r>
        <w:tab/>
        <w:t>references in that section to provisions of the FAA Act sections 62 to 65 were references to the equivalent provisions of the FAA Act sections 66 to 70,</w:t>
      </w:r>
    </w:p>
    <w:p>
      <w:pPr>
        <w:pStyle w:val="y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ySubsection"/>
        <w:keepNext/>
        <w:keepLines/>
      </w:pPr>
      <w:r>
        <w:tab/>
        <w:t>(3)</w:t>
      </w:r>
      <w:r>
        <w:tab/>
        <w:t>If, immediately before the commencement day, any duty imposed by the FAA Act Part II Division 14 on the accountable authority of the Centre remains unfulfilled in relation to the Centre for any financial year that expired before the commencement day, that duty subsists and is to be performed by the reporting officer as if the reporting officer were the accountable authority.</w:t>
      </w:r>
    </w:p>
    <w:p>
      <w:pPr>
        <w:pStyle w:val="ySubsection"/>
      </w:pPr>
      <w:r>
        <w:tab/>
        <w:t>(4)</w:t>
      </w:r>
      <w:r>
        <w:tab/>
        <w:t>The time within which the reporting officer is to perform a duty referred to in subclause (3) is extended until the end of the day that is 2 months after the day on which the reporting officer is appointed, but this subclause does not prevent the time from being extended again under the FAA Act section 70.</w:t>
      </w:r>
    </w:p>
    <w:p>
      <w:pPr>
        <w:pStyle w:val="yHeading5"/>
      </w:pPr>
      <w:bookmarkStart w:id="21" w:name="_Toc473627124"/>
      <w:r>
        <w:rPr>
          <w:rStyle w:val="CharSClsNo"/>
        </w:rPr>
        <w:t>10</w:t>
      </w:r>
      <w:r>
        <w:t>.</w:t>
      </w:r>
      <w:r>
        <w:tab/>
        <w:t>Immunity continues</w:t>
      </w:r>
      <w:bookmarkEnd w:id="21"/>
    </w:p>
    <w:p>
      <w:pPr>
        <w:pStyle w:val="ySubsection"/>
      </w:pPr>
      <w:r>
        <w:tab/>
      </w:r>
      <w:r>
        <w:tab/>
        <w:t xml:space="preserve">Despite the repeal of the </w:t>
      </w:r>
      <w:r>
        <w:rPr>
          <w:i/>
        </w:rPr>
        <w:t>Perth International Centre for Application of Solar Energy Act 1994</w:t>
      </w:r>
      <w:r>
        <w:t>, where the Centre had the benefit of any immunity in respect of an act, matter or thing done or omitted before the commencement day, that immunity continues in that respect for the benefit of the State.</w:t>
      </w:r>
    </w:p>
    <w:p>
      <w:pPr>
        <w:pStyle w:val="yHeading5"/>
      </w:pPr>
      <w:bookmarkStart w:id="22" w:name="_Toc473627125"/>
      <w:r>
        <w:rPr>
          <w:rStyle w:val="CharSClsNo"/>
        </w:rPr>
        <w:t>11</w:t>
      </w:r>
      <w:r>
        <w:t>.</w:t>
      </w:r>
      <w:r>
        <w:tab/>
        <w:t>Registration of documents</w:t>
      </w:r>
      <w:bookmarkEnd w:id="22"/>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pPr>
      <w:bookmarkStart w:id="23" w:name="_Toc473627126"/>
      <w:r>
        <w:rPr>
          <w:rStyle w:val="CharSClsNo"/>
        </w:rPr>
        <w:t>12</w:t>
      </w:r>
      <w:r>
        <w:t>.</w:t>
      </w:r>
      <w:r>
        <w:tab/>
        <w:t>Saving</w:t>
      </w:r>
      <w:bookmarkEnd w:id="23"/>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5" w:name="_Toc473627127"/>
      <w:r>
        <w:t>Notes</w:t>
      </w:r>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Perth International Centre for Application of Solar Energy Repeal Act 2006</w:t>
      </w:r>
      <w:r>
        <w:rPr>
          <w:snapToGrid w:val="0"/>
        </w:rPr>
        <w:t xml:space="preserve">.  The following table contains information about that Act. </w:t>
      </w:r>
    </w:p>
    <w:p>
      <w:pPr>
        <w:pStyle w:val="nHeading3"/>
        <w:rPr>
          <w:snapToGrid w:val="0"/>
        </w:rPr>
      </w:pPr>
      <w:bookmarkStart w:id="26" w:name="_Toc473627128"/>
      <w:r>
        <w:rPr>
          <w:snapToGrid w:val="0"/>
        </w:rP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Perth International Centre for Application of Solar Energy Repeal Act 2006</w:t>
            </w:r>
          </w:p>
        </w:tc>
        <w:tc>
          <w:tcPr>
            <w:tcW w:w="1134" w:type="dxa"/>
            <w:tcBorders>
              <w:top w:val="single" w:sz="4" w:space="0" w:color="auto"/>
              <w:bottom w:val="single" w:sz="4" w:space="0" w:color="auto"/>
            </w:tcBorders>
          </w:tcPr>
          <w:p>
            <w:pPr>
              <w:pStyle w:val="nTable"/>
              <w:spacing w:before="100"/>
            </w:pPr>
            <w:r>
              <w:t>43 of 2006</w:t>
            </w:r>
          </w:p>
        </w:tc>
        <w:tc>
          <w:tcPr>
            <w:tcW w:w="1134" w:type="dxa"/>
            <w:tcBorders>
              <w:top w:val="single" w:sz="4" w:space="0" w:color="auto"/>
              <w:bottom w:val="single" w:sz="4" w:space="0" w:color="auto"/>
            </w:tcBorders>
          </w:tcPr>
          <w:p>
            <w:pPr>
              <w:pStyle w:val="nTable"/>
              <w:spacing w:before="100"/>
            </w:pPr>
            <w:r>
              <w:t>3 Oct 2006</w:t>
            </w:r>
          </w:p>
        </w:tc>
        <w:tc>
          <w:tcPr>
            <w:tcW w:w="2552" w:type="dxa"/>
            <w:tcBorders>
              <w:top w:val="single" w:sz="4" w:space="0" w:color="auto"/>
              <w:bottom w:val="single" w:sz="4" w:space="0" w:color="auto"/>
            </w:tcBorders>
          </w:tcPr>
          <w:p>
            <w:pPr>
              <w:pStyle w:val="nTable"/>
              <w:spacing w:before="100"/>
            </w:pPr>
            <w:r>
              <w:t>31 Oct 2006</w:t>
            </w:r>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8" w:name="_Toc473627129"/>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1 cl. 1</w:t>
      </w:r>
    </w:p>
    <w:p>
      <w:pPr>
        <w:pStyle w:val="DefinedTerms"/>
      </w:pPr>
      <w:r>
        <w:t>Board</w:t>
      </w:r>
      <w:r>
        <w:tab/>
        <w:t>Sch. 1 cl. 1</w:t>
      </w:r>
    </w:p>
    <w:p>
      <w:pPr>
        <w:pStyle w:val="DefinedTerms"/>
      </w:pPr>
      <w:r>
        <w:t>Centre</w:t>
      </w:r>
      <w:r>
        <w:tab/>
        <w:t>Sch. 1 cl. 1</w:t>
      </w:r>
    </w:p>
    <w:p>
      <w:pPr>
        <w:pStyle w:val="DefinedTerms"/>
      </w:pPr>
      <w:r>
        <w:t>commencement day</w:t>
      </w:r>
      <w:r>
        <w:tab/>
        <w:t>Sch. 1 cl. 1</w:t>
      </w:r>
    </w:p>
    <w:p>
      <w:pPr>
        <w:pStyle w:val="DefinedTerms"/>
      </w:pPr>
      <w:r>
        <w:t>FAA Act</w:t>
      </w:r>
      <w:r>
        <w:tab/>
        <w:t>Sch. 1 cl. 9(1)</w:t>
      </w:r>
    </w:p>
    <w:p>
      <w:pPr>
        <w:pStyle w:val="DefinedTerms"/>
      </w:pPr>
      <w:r>
        <w:t>liability</w:t>
      </w:r>
      <w:r>
        <w:tab/>
        <w:t>Sch. 1 cl. 1</w:t>
      </w:r>
    </w:p>
    <w:p>
      <w:pPr>
        <w:pStyle w:val="DefinedTerms"/>
      </w:pPr>
      <w:r>
        <w:t>Minister</w:t>
      </w:r>
      <w:r>
        <w:tab/>
        <w:t>Sch. 1 cl. 1</w:t>
      </w:r>
    </w:p>
    <w:p>
      <w:pPr>
        <w:pStyle w:val="DefinedTerms"/>
      </w:pPr>
      <w:r>
        <w:t>reporting officer</w:t>
      </w:r>
      <w:r>
        <w:tab/>
        <w:t>Sch. 1 cl. 9(1)</w:t>
      </w:r>
    </w:p>
    <w:p>
      <w:pPr>
        <w:pStyle w:val="DefinedTerms"/>
      </w:pPr>
      <w:r>
        <w:t>right</w:t>
      </w:r>
      <w:r>
        <w:tab/>
        <w:t>Sch. 1 cl. 1</w:t>
      </w:r>
    </w:p>
    <w:p>
      <w:pPr>
        <w:pStyle w:val="DefinedTerms"/>
      </w:pPr>
      <w:r>
        <w:t>the Act</w:t>
      </w:r>
      <w:r>
        <w:tab/>
        <w:t>Sch. 1 cl. 1</w:t>
      </w:r>
    </w:p>
    <w:p>
      <w:pPr>
        <w:pStyle w:val="DefinedTerms"/>
      </w:pPr>
      <w:r>
        <w:t>the final period</w:t>
      </w:r>
      <w:r>
        <w:tab/>
        <w:t>Sch. 1 cl. 9(1)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International Centre for Application of Solar Energy Repeal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International Centre for Application of Solar Energy Repeal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International Centre for Application of Solar Energy Repeal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International Centre for Application of Solar Energy Repeal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International Centre for Application of Solar Energy Repeal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62C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ECECD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EE3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C1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25B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8632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2697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429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CC13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CC818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0E8A9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580D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521"/>
    <w:docVar w:name="WAFER_20140122163939" w:val="RemoveTocBookmarks,RemoveUnusedBookmarks,RemoveLanguageTags,UsedStyles,ResetPageSize,UpdateArrangement"/>
    <w:docVar w:name="WAFER_20140122163939_GUID" w:val="a15c0c15-3584-4f70-9f8c-79bf7aea4eea"/>
    <w:docVar w:name="WAFER_20140122172554" w:val="RemoveTocBookmarks,RunningHeaders"/>
    <w:docVar w:name="WAFER_20140122172554_GUID" w:val="1bedaddf-1fc2-4298-b872-9e1a266b2b77"/>
    <w:docVar w:name="WAFER_20140122172646" w:val="RemoveTocBookmarks,RunningHeaders"/>
    <w:docVar w:name="WAFER_20140122172646_GUID" w:val="659b771b-8763-483b-b84c-c8ca26609278"/>
    <w:docVar w:name="WAFER_20150709160946" w:val="ResetPageSize,UpdateArrangement,UpdateNTable"/>
    <w:docVar w:name="WAFER_20150709160946_GUID" w:val="6ae59b5b-e46d-40bc-a3bd-af6dfe16c96d"/>
    <w:docVar w:name="WAFER_20151109112233" w:val="UpdateStyles,UsedStyles"/>
    <w:docVar w:name="WAFER_20151109112233_GUID" w:val="b90ebb0d-8e72-4d4f-aa06-6c2d6a1c17a9"/>
    <w:docVar w:name="WAFER_20170131115521" w:val="RemoveTocBookmarks,RemoveUnusedBookmarks,RemoveLanguageTags,UsedStyles,ResetPageSize"/>
    <w:docVar w:name="WAFER_20170131115521_GUID" w:val="f46d8fc0-92d2-4416-94be-9cb53d6a8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1882</Words>
  <Characters>9377</Characters>
  <Application>Microsoft Office Word</Application>
  <DocSecurity>0</DocSecurity>
  <Lines>284</Lines>
  <Paragraphs>197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Schedule 1 — Transitional and savings provisions</vt:lpstr>
      <vt:lpstr>    Notes</vt:lpstr>
    </vt:vector>
  </TitlesOfParts>
  <Manager/>
  <Company/>
  <LinksUpToDate>false</LinksUpToDate>
  <CharactersWithSpaces>11062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Repeal Act 2006 - 00-a0-09</dc:title>
  <dc:subject/>
  <dc:creator/>
  <cp:keywords/>
  <dc:description/>
  <cp:lastModifiedBy>svcMRProcess</cp:lastModifiedBy>
  <cp:revision>4</cp:revision>
  <cp:lastPrinted>2006-10-04T01:55:00Z</cp:lastPrinted>
  <dcterms:created xsi:type="dcterms:W3CDTF">2019-01-22T07:54:00Z</dcterms:created>
  <dcterms:modified xsi:type="dcterms:W3CDTF">2019-01-22T07:54:00Z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2006</vt:lpwstr>
  </property>
  <property fmtid="{D5CDD505-2E9C-101B-9397-08002B2CF9AE}" pid="3" name="CommencementDate">
    <vt:lpwstr>20061031</vt:lpwstr>
  </property>
  <property fmtid="{D5CDD505-2E9C-101B-9397-08002B2CF9AE}" pid="4" name="DocumentType">
    <vt:lpwstr>Act</vt:lpwstr>
  </property>
  <property fmtid="{D5CDD505-2E9C-101B-9397-08002B2CF9AE}" pid="5" name="OwlsUID">
    <vt:i4>146573</vt:i4>
  </property>
  <property fmtid="{D5CDD505-2E9C-101B-9397-08002B2CF9AE}" pid="6" name="AsAtDate">
    <vt:lpwstr>31 Oct 2006</vt:lpwstr>
  </property>
  <property fmtid="{D5CDD505-2E9C-101B-9397-08002B2CF9AE}" pid="7" name="Suffix">
    <vt:lpwstr>00-a0-09</vt:lpwstr>
  </property>
</Properties>
</file>