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Animal Welfare Act 2002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Animal Welfare (General) Regulations 2003</w:t>
      </w:r>
      <w:r>
        <w:rPr>
          <w:sz w:val="48"/>
        </w:rPr>
        <w:fldChar w:fldCharType="end"/>
      </w:r>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_Toc254079306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_Toc254079307 \h </w:instrText>
      </w:r>
      <w:r>
        <w:fldChar w:fldCharType="separate"/>
      </w:r>
      <w:r>
        <w:t>1</w:t>
      </w:r>
      <w:r>
        <w:fldChar w:fldCharType="end"/>
      </w:r>
    </w:p>
    <w:p>
      <w:pPr>
        <w:pStyle w:val="TOC2"/>
        <w:tabs>
          <w:tab w:val="right" w:leader="dot" w:pos="7086"/>
        </w:tabs>
        <w:rPr>
          <w:b w:val="0"/>
          <w:sz w:val="24"/>
          <w:szCs w:val="24"/>
        </w:rPr>
      </w:pPr>
      <w:r>
        <w:rPr>
          <w:szCs w:val="30"/>
        </w:rPr>
        <w:t>Part 2 — Offences against animals</w:t>
      </w:r>
    </w:p>
    <w:p>
      <w:pPr>
        <w:pStyle w:val="TOC8"/>
        <w:rPr>
          <w:sz w:val="24"/>
          <w:szCs w:val="24"/>
        </w:rPr>
      </w:pPr>
      <w:r>
        <w:rPr>
          <w:szCs w:val="24"/>
        </w:rPr>
        <w:t>3.</w:t>
      </w:r>
      <w:r>
        <w:rPr>
          <w:szCs w:val="24"/>
        </w:rPr>
        <w:tab/>
        <w:t>Inhumane devices (s. 19(2)(b))</w:t>
      </w:r>
      <w:r>
        <w:tab/>
      </w:r>
      <w:r>
        <w:fldChar w:fldCharType="begin"/>
      </w:r>
      <w:r>
        <w:instrText xml:space="preserve"> PAGEREF _Toc254079309 \h </w:instrText>
      </w:r>
      <w:r>
        <w:fldChar w:fldCharType="separate"/>
      </w:r>
      <w:r>
        <w:t>2</w:t>
      </w:r>
      <w:r>
        <w:fldChar w:fldCharType="end"/>
      </w:r>
    </w:p>
    <w:p>
      <w:pPr>
        <w:pStyle w:val="TOC8"/>
        <w:rPr>
          <w:sz w:val="24"/>
          <w:szCs w:val="24"/>
        </w:rPr>
      </w:pPr>
      <w:r>
        <w:rPr>
          <w:szCs w:val="24"/>
        </w:rPr>
        <w:t>4.</w:t>
      </w:r>
      <w:r>
        <w:rPr>
          <w:szCs w:val="24"/>
        </w:rPr>
        <w:tab/>
        <w:t>Prescribed acts (s. 19(2)(d) and (3)(b)(i))</w:t>
      </w:r>
      <w:r>
        <w:tab/>
      </w:r>
      <w:r>
        <w:fldChar w:fldCharType="begin"/>
      </w:r>
      <w:r>
        <w:instrText xml:space="preserve"> PAGEREF _Toc254079310 \h </w:instrText>
      </w:r>
      <w:r>
        <w:fldChar w:fldCharType="separate"/>
      </w:r>
      <w:r>
        <w:t>2</w:t>
      </w:r>
      <w:r>
        <w:fldChar w:fldCharType="end"/>
      </w:r>
    </w:p>
    <w:p>
      <w:pPr>
        <w:pStyle w:val="TOC8"/>
        <w:rPr>
          <w:sz w:val="24"/>
          <w:szCs w:val="24"/>
        </w:rPr>
      </w:pPr>
      <w:r>
        <w:rPr>
          <w:szCs w:val="24"/>
        </w:rPr>
        <w:t>5.</w:t>
      </w:r>
      <w:r>
        <w:rPr>
          <w:szCs w:val="24"/>
        </w:rPr>
        <w:tab/>
        <w:t>Pests (s. 24(2))</w:t>
      </w:r>
      <w:r>
        <w:tab/>
      </w:r>
      <w:r>
        <w:fldChar w:fldCharType="begin"/>
      </w:r>
      <w:r>
        <w:instrText xml:space="preserve"> PAGEREF _Toc254079311 \h </w:instrText>
      </w:r>
      <w:r>
        <w:fldChar w:fldCharType="separate"/>
      </w:r>
      <w:r>
        <w:t>2</w:t>
      </w:r>
      <w:r>
        <w:fldChar w:fldCharType="end"/>
      </w:r>
    </w:p>
    <w:p>
      <w:pPr>
        <w:pStyle w:val="TOC8"/>
        <w:rPr>
          <w:sz w:val="24"/>
          <w:szCs w:val="24"/>
        </w:rPr>
      </w:pPr>
      <w:r>
        <w:rPr>
          <w:szCs w:val="24"/>
        </w:rPr>
        <w:t>6.</w:t>
      </w:r>
      <w:r>
        <w:rPr>
          <w:szCs w:val="24"/>
        </w:rPr>
        <w:tab/>
        <w:t>Codes of practice adopted as defences (s. 25 and 94(2)(d))</w:t>
      </w:r>
      <w:r>
        <w:tab/>
      </w:r>
      <w:r>
        <w:fldChar w:fldCharType="begin"/>
      </w:r>
      <w:r>
        <w:instrText xml:space="preserve"> PAGEREF _Toc254079312 \h </w:instrText>
      </w:r>
      <w:r>
        <w:fldChar w:fldCharType="separate"/>
      </w:r>
      <w:r>
        <w:t>3</w:t>
      </w:r>
      <w:r>
        <w:fldChar w:fldCharType="end"/>
      </w:r>
    </w:p>
    <w:p>
      <w:pPr>
        <w:pStyle w:val="TOC8"/>
        <w:rPr>
          <w:sz w:val="24"/>
          <w:szCs w:val="24"/>
        </w:rPr>
      </w:pPr>
      <w:r>
        <w:rPr>
          <w:szCs w:val="24"/>
        </w:rPr>
        <w:t>7.</w:t>
      </w:r>
      <w:r>
        <w:rPr>
          <w:szCs w:val="24"/>
        </w:rPr>
        <w:tab/>
        <w:t>Use of devices — electric shock (s. 29)</w:t>
      </w:r>
      <w:r>
        <w:tab/>
      </w:r>
      <w:r>
        <w:fldChar w:fldCharType="begin"/>
      </w:r>
      <w:r>
        <w:instrText xml:space="preserve"> PAGEREF _Toc254079313 \h </w:instrText>
      </w:r>
      <w:r>
        <w:fldChar w:fldCharType="separate"/>
      </w:r>
      <w:r>
        <w:t>3</w:t>
      </w:r>
      <w:r>
        <w:fldChar w:fldCharType="end"/>
      </w:r>
    </w:p>
    <w:p>
      <w:pPr>
        <w:pStyle w:val="TOC8"/>
        <w:rPr>
          <w:sz w:val="24"/>
          <w:szCs w:val="24"/>
        </w:rPr>
      </w:pPr>
      <w:r>
        <w:rPr>
          <w:szCs w:val="24"/>
        </w:rPr>
        <w:t>8.</w:t>
      </w:r>
      <w:r>
        <w:rPr>
          <w:szCs w:val="24"/>
        </w:rPr>
        <w:tab/>
        <w:t>Use of devices — metal</w:t>
      </w:r>
      <w:r>
        <w:rPr>
          <w:szCs w:val="24"/>
        </w:rPr>
        <w:noBreakHyphen/>
        <w:t>jawed traps (s. 29)</w:t>
      </w:r>
      <w:r>
        <w:tab/>
      </w:r>
      <w:r>
        <w:fldChar w:fldCharType="begin"/>
      </w:r>
      <w:r>
        <w:instrText xml:space="preserve"> PAGEREF _Toc254079314 \h </w:instrText>
      </w:r>
      <w:r>
        <w:fldChar w:fldCharType="separate"/>
      </w:r>
      <w:r>
        <w:t>4</w:t>
      </w:r>
      <w:r>
        <w:fldChar w:fldCharType="end"/>
      </w:r>
    </w:p>
    <w:p>
      <w:pPr>
        <w:pStyle w:val="TOC2"/>
        <w:tabs>
          <w:tab w:val="right" w:leader="dot" w:pos="7086"/>
        </w:tabs>
        <w:rPr>
          <w:b w:val="0"/>
          <w:sz w:val="24"/>
          <w:szCs w:val="24"/>
        </w:rPr>
      </w:pPr>
      <w:r>
        <w:rPr>
          <w:szCs w:val="30"/>
        </w:rPr>
        <w:t>Part 3 — Enforcement</w:t>
      </w:r>
    </w:p>
    <w:p>
      <w:pPr>
        <w:pStyle w:val="TOC8"/>
        <w:rPr>
          <w:sz w:val="24"/>
          <w:szCs w:val="24"/>
        </w:rPr>
      </w:pPr>
      <w:r>
        <w:rPr>
          <w:szCs w:val="24"/>
        </w:rPr>
        <w:t>9.</w:t>
      </w:r>
      <w:r>
        <w:rPr>
          <w:szCs w:val="24"/>
        </w:rPr>
        <w:tab/>
        <w:t>Warrant (s. 61)</w:t>
      </w:r>
      <w:r>
        <w:tab/>
      </w:r>
      <w:r>
        <w:fldChar w:fldCharType="begin"/>
      </w:r>
      <w:r>
        <w:instrText xml:space="preserve"> PAGEREF _Toc254079316 \h </w:instrText>
      </w:r>
      <w:r>
        <w:fldChar w:fldCharType="separate"/>
      </w:r>
      <w:r>
        <w:t>7</w:t>
      </w:r>
      <w:r>
        <w:fldChar w:fldCharType="end"/>
      </w:r>
    </w:p>
    <w:p>
      <w:pPr>
        <w:pStyle w:val="TOC8"/>
        <w:rPr>
          <w:sz w:val="24"/>
          <w:szCs w:val="24"/>
        </w:rPr>
      </w:pPr>
      <w:r>
        <w:rPr>
          <w:szCs w:val="24"/>
        </w:rPr>
        <w:t>10.</w:t>
      </w:r>
      <w:r>
        <w:rPr>
          <w:szCs w:val="24"/>
        </w:rPr>
        <w:tab/>
        <w:t>Objections (s. 72)</w:t>
      </w:r>
      <w:r>
        <w:tab/>
      </w:r>
      <w:r>
        <w:fldChar w:fldCharType="begin"/>
      </w:r>
      <w:r>
        <w:instrText xml:space="preserve"> PAGEREF _Toc254079317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Disposal of forfeited property (s. 87)</w:t>
      </w:r>
      <w:r>
        <w:tab/>
      </w:r>
      <w:r>
        <w:fldChar w:fldCharType="begin"/>
      </w:r>
      <w:r>
        <w:instrText xml:space="preserve"> PAGEREF _Toc254079319 \h </w:instrText>
      </w:r>
      <w:r>
        <w:fldChar w:fldCharType="separate"/>
      </w:r>
      <w:r>
        <w:t>8</w:t>
      </w:r>
      <w:r>
        <w:fldChar w:fldCharType="end"/>
      </w:r>
    </w:p>
    <w:p>
      <w:pPr>
        <w:pStyle w:val="TOC8"/>
        <w:rPr>
          <w:sz w:val="24"/>
          <w:szCs w:val="24"/>
        </w:rPr>
      </w:pPr>
      <w:r>
        <w:rPr>
          <w:szCs w:val="24"/>
        </w:rPr>
        <w:t>13.</w:t>
      </w:r>
      <w:r>
        <w:rPr>
          <w:szCs w:val="24"/>
        </w:rPr>
        <w:tab/>
        <w:t>Claim for compensation (s. 93)</w:t>
      </w:r>
      <w:r>
        <w:tab/>
      </w:r>
      <w:r>
        <w:fldChar w:fldCharType="begin"/>
      </w:r>
      <w:r>
        <w:instrText xml:space="preserve"> PAGEREF _Toc254079320 \h </w:instrText>
      </w:r>
      <w:r>
        <w:fldChar w:fldCharType="separate"/>
      </w:r>
      <w:r>
        <w:t>8</w:t>
      </w:r>
      <w:r>
        <w:fldChar w:fldCharType="end"/>
      </w:r>
    </w:p>
    <w:p>
      <w:pPr>
        <w:pStyle w:val="TOC8"/>
        <w:rPr>
          <w:sz w:val="24"/>
          <w:szCs w:val="24"/>
        </w:rPr>
      </w:pPr>
      <w:r>
        <w:rPr>
          <w:szCs w:val="24"/>
        </w:rPr>
        <w:t>14.</w:t>
      </w:r>
      <w:r>
        <w:rPr>
          <w:szCs w:val="24"/>
        </w:rPr>
        <w:tab/>
        <w:t>Further offences (s. 94) — tail docking</w:t>
      </w:r>
      <w:r>
        <w:tab/>
      </w:r>
      <w:r>
        <w:fldChar w:fldCharType="begin"/>
      </w:r>
      <w:r>
        <w:instrText xml:space="preserve"> PAGEREF _Toc254079321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Codes of practice</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_Toc254079325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2" w:name="_Toc92776380"/>
      <w:bookmarkStart w:id="3" w:name="_Toc92954501"/>
      <w:bookmarkStart w:id="4" w:name="_Toc138749189"/>
      <w:bookmarkStart w:id="5" w:name="_Toc138749254"/>
      <w:bookmarkStart w:id="6" w:name="_Toc138820187"/>
      <w:bookmarkStart w:id="7" w:name="_Toc169334561"/>
      <w:bookmarkStart w:id="8" w:name="_Toc169334645"/>
      <w:bookmarkStart w:id="9" w:name="_Toc169412172"/>
      <w:bookmarkStart w:id="10" w:name="_Toc201651535"/>
      <w:bookmarkStart w:id="11" w:name="_Toc202243926"/>
      <w:bookmarkStart w:id="12" w:name="_Toc202244204"/>
      <w:bookmarkStart w:id="13" w:name="_Toc205861798"/>
      <w:bookmarkStart w:id="14" w:name="_Toc206390851"/>
      <w:bookmarkStart w:id="15" w:name="_Toc254014634"/>
      <w:bookmarkStart w:id="16" w:name="_Toc2540793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515958686"/>
      <w:bookmarkStart w:id="24" w:name="_Toc138749190"/>
      <w:bookmarkStart w:id="25" w:name="_Toc254079306"/>
      <w:r>
        <w:rPr>
          <w:rStyle w:val="CharSectno"/>
        </w:rPr>
        <w:t>1</w:t>
      </w:r>
      <w:r>
        <w:t>.</w:t>
      </w:r>
      <w:r>
        <w:tab/>
        <w:t>Citation</w:t>
      </w:r>
      <w:bookmarkEnd w:id="17"/>
      <w:bookmarkEnd w:id="18"/>
      <w:bookmarkEnd w:id="19"/>
      <w:bookmarkEnd w:id="20"/>
      <w:bookmarkEnd w:id="21"/>
      <w:bookmarkEnd w:id="22"/>
      <w:bookmarkEnd w:id="23"/>
      <w:bookmarkEnd w:id="24"/>
      <w:bookmarkEnd w:id="25"/>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rPr>
          <w:iCs/>
          <w:vertAlign w:val="superscript"/>
        </w:rPr>
        <w:t> 1</w:t>
      </w:r>
      <w:r>
        <w:t>.</w:t>
      </w:r>
    </w:p>
    <w:p>
      <w:pPr>
        <w:pStyle w:val="Heading5"/>
      </w:pPr>
      <w:bookmarkStart w:id="26" w:name="_Toc138749191"/>
      <w:bookmarkStart w:id="27" w:name="_Toc254079307"/>
      <w:bookmarkStart w:id="28" w:name="_Toc32989668"/>
      <w:bookmarkStart w:id="29" w:name="_Toc33930205"/>
      <w:r>
        <w:rPr>
          <w:rStyle w:val="CharSectno"/>
        </w:rPr>
        <w:t>2</w:t>
      </w:r>
      <w:r>
        <w:t>.</w:t>
      </w:r>
      <w:r>
        <w:tab/>
        <w:t>Commencement</w:t>
      </w:r>
      <w:bookmarkEnd w:id="26"/>
      <w:bookmarkEnd w:id="27"/>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
          <w:vertAlign w:val="superscript"/>
        </w:rPr>
        <w:t> </w:t>
      </w:r>
      <w:r>
        <w:rPr>
          <w:iCs/>
          <w:vertAlign w:val="superscript"/>
        </w:rPr>
        <w:t>1</w:t>
      </w:r>
      <w:r>
        <w:rPr>
          <w:iCs/>
        </w:rPr>
        <w:t>.</w:t>
      </w:r>
    </w:p>
    <w:p>
      <w:pPr>
        <w:pStyle w:val="Heading2"/>
      </w:pPr>
      <w:bookmarkStart w:id="30" w:name="_Toc92776383"/>
      <w:bookmarkStart w:id="31" w:name="_Toc92954504"/>
      <w:bookmarkStart w:id="32" w:name="_Toc138749192"/>
      <w:bookmarkStart w:id="33" w:name="_Toc138749257"/>
      <w:bookmarkStart w:id="34" w:name="_Toc138820190"/>
      <w:bookmarkStart w:id="35" w:name="_Toc169334564"/>
      <w:bookmarkStart w:id="36" w:name="_Toc169334648"/>
      <w:bookmarkStart w:id="37" w:name="_Toc169412175"/>
      <w:bookmarkStart w:id="38" w:name="_Toc201651538"/>
      <w:bookmarkStart w:id="39" w:name="_Toc202243929"/>
      <w:bookmarkStart w:id="40" w:name="_Toc202244207"/>
      <w:bookmarkStart w:id="41" w:name="_Toc205861801"/>
      <w:bookmarkStart w:id="42" w:name="_Toc206390854"/>
      <w:bookmarkStart w:id="43" w:name="_Toc254014637"/>
      <w:bookmarkStart w:id="44" w:name="_Toc254079308"/>
      <w:bookmarkEnd w:id="28"/>
      <w:bookmarkEnd w:id="29"/>
      <w:r>
        <w:rPr>
          <w:rStyle w:val="CharPartNo"/>
        </w:rPr>
        <w:t>Part 2</w:t>
      </w:r>
      <w:r>
        <w:rPr>
          <w:rStyle w:val="CharDivNo"/>
        </w:rPr>
        <w:t xml:space="preserve"> </w:t>
      </w:r>
      <w:r>
        <w:t>—</w:t>
      </w:r>
      <w:r>
        <w:rPr>
          <w:rStyle w:val="CharDivText"/>
        </w:rPr>
        <w:t xml:space="preserve"> </w:t>
      </w:r>
      <w:r>
        <w:rPr>
          <w:rStyle w:val="CharPartText"/>
        </w:rPr>
        <w:t>Offences against animals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25638009"/>
      <w:bookmarkStart w:id="46" w:name="_Toc138749193"/>
      <w:bookmarkStart w:id="47" w:name="_Toc254079309"/>
      <w:r>
        <w:rPr>
          <w:rStyle w:val="CharSectno"/>
        </w:rPr>
        <w:t>3</w:t>
      </w:r>
      <w:r>
        <w:t>.</w:t>
      </w:r>
      <w:r>
        <w:tab/>
        <w:t>Inhumane devices (s. 19(2)(b))</w:t>
      </w:r>
      <w:bookmarkEnd w:id="45"/>
      <w:bookmarkEnd w:id="46"/>
      <w:bookmarkEnd w:id="47"/>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48" w:name="_Hlt35656647"/>
      <w:bookmarkStart w:id="49" w:name="_Toc138749194"/>
      <w:bookmarkStart w:id="50" w:name="_Toc254079310"/>
      <w:bookmarkEnd w:id="48"/>
      <w:r>
        <w:rPr>
          <w:rStyle w:val="CharSectno"/>
        </w:rPr>
        <w:t>4</w:t>
      </w:r>
      <w:r>
        <w:t>.</w:t>
      </w:r>
      <w:r>
        <w:tab/>
        <w:t>Prescribed acts (s. 19(2)(d) and (3)(b)(i))</w:t>
      </w:r>
      <w:bookmarkEnd w:id="49"/>
      <w:bookmarkEnd w:id="50"/>
    </w:p>
    <w:p>
      <w:pPr>
        <w:pStyle w:val="Subsection"/>
      </w:pPr>
      <w:r>
        <w:tab/>
      </w:r>
      <w:r>
        <w:tab/>
        <w:t>The administration of an electric shock to an animal in a manner that is not set out in regulation </w:t>
      </w:r>
      <w:bookmarkStart w:id="51" w:name="_Hlt35657286"/>
      <w:r>
        <w:t>7</w:t>
      </w:r>
      <w:bookmarkEnd w:id="51"/>
      <w:r>
        <w:t xml:space="preserve"> is a prescribed act for the purposes of section 19(2)(d) and (3)(b)(i) of the Act.</w:t>
      </w:r>
    </w:p>
    <w:p>
      <w:pPr>
        <w:pStyle w:val="Heading5"/>
      </w:pPr>
      <w:bookmarkStart w:id="52" w:name="_Toc138749195"/>
      <w:bookmarkStart w:id="53" w:name="_Toc254079311"/>
      <w:r>
        <w:rPr>
          <w:rStyle w:val="CharSectno"/>
        </w:rPr>
        <w:t>5</w:t>
      </w:r>
      <w:r>
        <w:t>.</w:t>
      </w:r>
      <w:r>
        <w:tab/>
        <w:t>Pests (s. 24(2))</w:t>
      </w:r>
      <w:bookmarkEnd w:id="52"/>
      <w:bookmarkEnd w:id="53"/>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spacing w:before="180"/>
      </w:pPr>
      <w:bookmarkStart w:id="54" w:name="_Toc138749196"/>
      <w:bookmarkStart w:id="55" w:name="_Toc254079312"/>
      <w:r>
        <w:rPr>
          <w:rStyle w:val="CharSectno"/>
        </w:rPr>
        <w:t>6</w:t>
      </w:r>
      <w:r>
        <w:t>.</w:t>
      </w:r>
      <w:r>
        <w:tab/>
        <w:t>Codes of practice adopted as defences (s. 25 and 94(2)(d))</w:t>
      </w:r>
      <w:bookmarkEnd w:id="54"/>
      <w:bookmarkEnd w:id="55"/>
    </w:p>
    <w:p>
      <w:pPr>
        <w:pStyle w:val="Subsection"/>
        <w:spacing w:before="120"/>
      </w:pPr>
      <w:r>
        <w:tab/>
      </w:r>
      <w:r>
        <w:tab/>
        <w:t>The codes of practice relating to the use, care, welfare, safety or health of animals set out in Schedule </w:t>
      </w:r>
      <w:bookmarkStart w:id="56" w:name="_Hlt35657019"/>
      <w:r>
        <w:t>1</w:t>
      </w:r>
      <w:bookmarkEnd w:id="56"/>
      <w:r>
        <w:t xml:space="preserve"> are adopted, as they are amended from time to time, under section 94(2)(d) of the Act, and each is a “relevant code of practice” that can be used as a defence under section 25 of the Act.</w:t>
      </w:r>
    </w:p>
    <w:p>
      <w:pPr>
        <w:pStyle w:val="Heading5"/>
        <w:spacing w:before="180"/>
      </w:pPr>
      <w:bookmarkStart w:id="57" w:name="_Toc138749197"/>
      <w:bookmarkStart w:id="58" w:name="_Toc254079313"/>
      <w:r>
        <w:rPr>
          <w:rStyle w:val="CharSectno"/>
        </w:rPr>
        <w:t>7</w:t>
      </w:r>
      <w:r>
        <w:t>.</w:t>
      </w:r>
      <w:r>
        <w:tab/>
        <w:t>Use of devices — electric shock (s. 29)</w:t>
      </w:r>
      <w:bookmarkEnd w:id="57"/>
      <w:bookmarkEnd w:id="58"/>
    </w:p>
    <w:p>
      <w:pPr>
        <w:pStyle w:val="Subsection"/>
        <w:spacing w:before="120"/>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THeadingNAm"/>
      </w:pPr>
      <w: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NAm"/>
              <w:rPr>
                <w:b/>
                <w:bCs/>
                <w:sz w:val="22"/>
              </w:rPr>
            </w:pPr>
            <w:r>
              <w:rPr>
                <w:b/>
                <w:bCs/>
                <w:sz w:val="22"/>
              </w:rPr>
              <w:t>Device</w:t>
            </w:r>
          </w:p>
        </w:tc>
        <w:tc>
          <w:tcPr>
            <w:tcW w:w="1843"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Purpose</w:t>
            </w:r>
          </w:p>
        </w:tc>
        <w:tc>
          <w:tcPr>
            <w:tcW w:w="992" w:type="dxa"/>
            <w:tcBorders>
              <w:top w:val="single" w:sz="4" w:space="0" w:color="auto"/>
              <w:left w:val="single" w:sz="4" w:space="0" w:color="auto"/>
              <w:bottom w:val="single" w:sz="4" w:space="0" w:color="auto"/>
              <w:right w:val="single" w:sz="4" w:space="0" w:color="auto"/>
            </w:tcBorders>
          </w:tcPr>
          <w:p>
            <w:pPr>
              <w:pStyle w:val="TableNAm"/>
              <w:rPr>
                <w:b/>
                <w:bCs/>
                <w:sz w:val="22"/>
              </w:rPr>
            </w:pPr>
            <w:r>
              <w:rPr>
                <w:b/>
                <w:bCs/>
                <w:sz w:val="22"/>
              </w:rPr>
              <w:t>Type of animal</w:t>
            </w:r>
          </w:p>
        </w:tc>
        <w:tc>
          <w:tcPr>
            <w:tcW w:w="2410" w:type="dxa"/>
            <w:tcBorders>
              <w:top w:val="single" w:sz="4" w:space="0" w:color="auto"/>
              <w:left w:val="single" w:sz="4" w:space="0" w:color="auto"/>
              <w:bottom w:val="single" w:sz="4" w:space="0" w:color="auto"/>
            </w:tcBorders>
          </w:tcPr>
          <w:p>
            <w:pPr>
              <w:pStyle w:val="TableNAm"/>
              <w:rPr>
                <w:b/>
                <w:bCs/>
                <w:sz w:val="22"/>
              </w:rPr>
            </w:pPr>
            <w:r>
              <w:rPr>
                <w:b/>
                <w:bCs/>
                <w:sz w:val="22"/>
              </w:rPr>
              <w:t>Manner of use</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NAm"/>
              <w:rPr>
                <w:sz w:val="20"/>
              </w:rPr>
            </w:pPr>
            <w:r>
              <w:rPr>
                <w:sz w:val="20"/>
              </w:rPr>
              <w:t>Cattle, sheep, pigs, goats, buffalo or camels</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stock prod</w:t>
            </w:r>
          </w:p>
        </w:tc>
        <w:tc>
          <w:tcPr>
            <w:tcW w:w="1843" w:type="dxa"/>
            <w:tcBorders>
              <w:left w:val="single" w:sz="4" w:space="0" w:color="auto"/>
              <w:right w:val="single" w:sz="4" w:space="0" w:color="auto"/>
            </w:tcBorders>
          </w:tcPr>
          <w:p>
            <w:pPr>
              <w:pStyle w:val="TableNAm"/>
              <w:rPr>
                <w:sz w:val="20"/>
              </w:rPr>
            </w:pPr>
            <w:r>
              <w:rPr>
                <w:sz w:val="20"/>
              </w:rPr>
              <w:t>Controlling animals at a rodeo</w:t>
            </w:r>
          </w:p>
        </w:tc>
        <w:tc>
          <w:tcPr>
            <w:tcW w:w="992" w:type="dxa"/>
            <w:tcBorders>
              <w:left w:val="single" w:sz="4" w:space="0" w:color="auto"/>
              <w:right w:val="single" w:sz="4" w:space="0" w:color="auto"/>
            </w:tcBorders>
          </w:tcPr>
          <w:p>
            <w:pPr>
              <w:pStyle w:val="TableNAm"/>
              <w:rPr>
                <w:sz w:val="20"/>
              </w:rPr>
            </w:pPr>
            <w:r>
              <w:rPr>
                <w:sz w:val="20"/>
              </w:rPr>
              <w:t>Horses or cattle</w:t>
            </w:r>
          </w:p>
        </w:tc>
        <w:tc>
          <w:tcPr>
            <w:tcW w:w="2410" w:type="dxa"/>
            <w:tcBorders>
              <w:left w:val="single" w:sz="4" w:space="0" w:color="auto"/>
            </w:tcBorders>
          </w:tcPr>
          <w:p>
            <w:pPr>
              <w:pStyle w:val="TableNAm"/>
              <w:rPr>
                <w:sz w:val="20"/>
              </w:rPr>
            </w:pPr>
            <w:r>
              <w:rPr>
                <w:sz w:val="20"/>
              </w:rPr>
              <w:t>Must not be applied to the face, udder or genital organs of an animal.</w:t>
            </w:r>
          </w:p>
        </w:tc>
      </w:tr>
      <w:tr>
        <w:tc>
          <w:tcPr>
            <w:tcW w:w="1276" w:type="dxa"/>
            <w:tcBorders>
              <w:right w:val="single" w:sz="4" w:space="0" w:color="auto"/>
            </w:tcBorders>
          </w:tcPr>
          <w:p>
            <w:pPr>
              <w:pStyle w:val="TableNAm"/>
              <w:rPr>
                <w:sz w:val="20"/>
              </w:rPr>
            </w:pPr>
            <w:r>
              <w:rPr>
                <w:sz w:val="20"/>
              </w:rPr>
              <w:t>Electric stunning device</w:t>
            </w:r>
          </w:p>
        </w:tc>
        <w:tc>
          <w:tcPr>
            <w:tcW w:w="1843" w:type="dxa"/>
            <w:tcBorders>
              <w:left w:val="single" w:sz="4" w:space="0" w:color="auto"/>
              <w:right w:val="single" w:sz="4" w:space="0" w:color="auto"/>
            </w:tcBorders>
          </w:tcPr>
          <w:p>
            <w:pPr>
              <w:pStyle w:val="TableNAm"/>
              <w:rPr>
                <w:sz w:val="20"/>
              </w:rPr>
            </w:pPr>
            <w:r>
              <w:rPr>
                <w:sz w:val="20"/>
              </w:rPr>
              <w:t>Electrical stunning of animals in an abattoir</w:t>
            </w:r>
          </w:p>
        </w:tc>
        <w:tc>
          <w:tcPr>
            <w:tcW w:w="992" w:type="dxa"/>
            <w:tcBorders>
              <w:left w:val="single" w:sz="4" w:space="0" w:color="auto"/>
              <w:right w:val="single" w:sz="4" w:space="0" w:color="auto"/>
            </w:tcBorders>
          </w:tcPr>
          <w:p>
            <w:pPr>
              <w:pStyle w:val="TableNAm"/>
              <w:rPr>
                <w:sz w:val="20"/>
              </w:rPr>
            </w:pPr>
            <w:r>
              <w:rPr>
                <w:sz w:val="20"/>
              </w:rPr>
              <w:t>Cattle, sheep, goats or pigs</w:t>
            </w:r>
          </w:p>
        </w:tc>
        <w:tc>
          <w:tcPr>
            <w:tcW w:w="2410" w:type="dxa"/>
            <w:tcBorders>
              <w:left w:val="single" w:sz="4" w:space="0" w:color="auto"/>
            </w:tcBorders>
          </w:tcPr>
          <w:p>
            <w:pPr>
              <w:pStyle w:val="TableNAm"/>
              <w:rPr>
                <w:sz w:val="20"/>
              </w:rPr>
            </w:pPr>
            <w:r>
              <w:rPr>
                <w:sz w:val="20"/>
              </w:rPr>
              <w:t>Must be used in accordance with the relevant code of practice for the particular animal (set out under regulation 6).</w:t>
            </w:r>
          </w:p>
        </w:tc>
      </w:tr>
      <w:tr>
        <w:trPr>
          <w:cantSplit/>
        </w:trP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Collecting semen from conscious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 or sheep</w:t>
            </w:r>
          </w:p>
        </w:tc>
        <w:tc>
          <w:tcPr>
            <w:tcW w:w="2410" w:type="dxa"/>
            <w:tcBorders>
              <w:left w:val="single" w:sz="4" w:space="0" w:color="auto"/>
              <w:bottom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top w:val="single" w:sz="4" w:space="0" w:color="auto"/>
              <w:right w:val="single" w:sz="4" w:space="0" w:color="auto"/>
            </w:tcBorders>
          </w:tcPr>
          <w:p>
            <w:pPr>
              <w:pStyle w:val="TableNAm"/>
              <w:rPr>
                <w:sz w:val="20"/>
              </w:rPr>
            </w:pPr>
            <w:r>
              <w:rPr>
                <w:sz w:val="20"/>
              </w:rPr>
              <w:t>Electro</w:t>
            </w:r>
            <w:r>
              <w:rPr>
                <w:sz w:val="20"/>
              </w:rPr>
              <w:noBreakHyphen/>
            </w:r>
            <w:r>
              <w:rPr>
                <w:sz w:val="20"/>
              </w:rPr>
              <w:br/>
              <w:t>ejaculator</w:t>
            </w:r>
          </w:p>
        </w:tc>
        <w:tc>
          <w:tcPr>
            <w:tcW w:w="1843" w:type="dxa"/>
            <w:tcBorders>
              <w:top w:val="single" w:sz="4" w:space="0" w:color="auto"/>
              <w:left w:val="single" w:sz="4" w:space="0" w:color="auto"/>
              <w:right w:val="single" w:sz="4" w:space="0" w:color="auto"/>
            </w:tcBorders>
          </w:tcPr>
          <w:p>
            <w:pPr>
              <w:pStyle w:val="TableNAm"/>
              <w:rPr>
                <w:sz w:val="20"/>
              </w:rPr>
            </w:pPr>
            <w:r>
              <w:rPr>
                <w:sz w:val="20"/>
              </w:rPr>
              <w:t>Collecting semen from tranquillised or anaesthetised animals</w:t>
            </w:r>
          </w:p>
        </w:tc>
        <w:tc>
          <w:tcPr>
            <w:tcW w:w="992" w:type="dxa"/>
            <w:tcBorders>
              <w:top w:val="single" w:sz="4" w:space="0" w:color="auto"/>
              <w:left w:val="single" w:sz="4" w:space="0" w:color="auto"/>
              <w:right w:val="single" w:sz="4" w:space="0" w:color="auto"/>
            </w:tcBorders>
          </w:tcPr>
          <w:p>
            <w:pPr>
              <w:pStyle w:val="TableNAm"/>
              <w:rPr>
                <w:sz w:val="20"/>
              </w:rPr>
            </w:pPr>
            <w:r>
              <w:rPr>
                <w:sz w:val="20"/>
              </w:rPr>
              <w:t>All species of animal, including cattle and sheep</w:t>
            </w:r>
          </w:p>
        </w:tc>
        <w:tc>
          <w:tcPr>
            <w:tcW w:w="2410" w:type="dxa"/>
            <w:tcBorders>
              <w:top w:val="single" w:sz="4" w:space="0" w:color="auto"/>
              <w:left w:val="single" w:sz="4" w:space="0" w:color="auto"/>
            </w:tcBorders>
          </w:tcPr>
          <w:p>
            <w:pPr>
              <w:pStyle w:val="TableNAm"/>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NAm"/>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NAm"/>
              <w:rPr>
                <w:sz w:val="20"/>
              </w:rPr>
            </w:pPr>
            <w:r>
              <w:rPr>
                <w:sz w:val="20"/>
              </w:rPr>
              <w:t>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NAm"/>
              <w:rPr>
                <w:sz w:val="20"/>
              </w:rPr>
            </w:pPr>
            <w:r>
              <w:rPr>
                <w:sz w:val="20"/>
              </w:rPr>
              <w:t>Electrical device known as the “invisible fence”</w:t>
            </w:r>
          </w:p>
        </w:tc>
        <w:tc>
          <w:tcPr>
            <w:tcW w:w="1843" w:type="dxa"/>
            <w:tcBorders>
              <w:left w:val="single" w:sz="4" w:space="0" w:color="auto"/>
              <w:right w:val="single" w:sz="4" w:space="0" w:color="auto"/>
            </w:tcBorders>
          </w:tcPr>
          <w:p>
            <w:pPr>
              <w:pStyle w:val="TableNAm"/>
              <w:rPr>
                <w:sz w:val="20"/>
              </w:rPr>
            </w:pPr>
            <w:r>
              <w:rPr>
                <w:sz w:val="20"/>
              </w:rPr>
              <w:t>Containment and training of animals</w:t>
            </w:r>
          </w:p>
        </w:tc>
        <w:tc>
          <w:tcPr>
            <w:tcW w:w="992" w:type="dxa"/>
            <w:tcBorders>
              <w:left w:val="single" w:sz="4" w:space="0" w:color="auto"/>
              <w:right w:val="single" w:sz="4" w:space="0" w:color="auto"/>
            </w:tcBorders>
          </w:tcPr>
          <w:p>
            <w:pPr>
              <w:pStyle w:val="TableNAm"/>
              <w:rPr>
                <w:sz w:val="20"/>
              </w:rPr>
            </w:pPr>
            <w:r>
              <w:rPr>
                <w:sz w:val="20"/>
              </w:rPr>
              <w:t>Dogs</w:t>
            </w:r>
          </w:p>
        </w:tc>
        <w:tc>
          <w:tcPr>
            <w:tcW w:w="2410" w:type="dxa"/>
            <w:tcBorders>
              <w:left w:val="single" w:sz="4" w:space="0" w:color="auto"/>
            </w:tcBorders>
          </w:tcPr>
          <w:p>
            <w:pPr>
              <w:pStyle w:val="TableNAm"/>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NAm"/>
              <w:rPr>
                <w:sz w:val="20"/>
              </w:rPr>
            </w:pPr>
            <w:r>
              <w:rPr>
                <w:sz w:val="20"/>
              </w:rPr>
              <w:t>Electro</w:t>
            </w:r>
            <w:r>
              <w:rPr>
                <w:sz w:val="20"/>
              </w:rPr>
              <w:noBreakHyphen/>
            </w:r>
            <w:r>
              <w:rPr>
                <w:sz w:val="20"/>
              </w:rPr>
              <w:br/>
              <w:t>immobiliser</w:t>
            </w:r>
          </w:p>
        </w:tc>
        <w:tc>
          <w:tcPr>
            <w:tcW w:w="1843" w:type="dxa"/>
            <w:tcBorders>
              <w:left w:val="single" w:sz="4" w:space="0" w:color="auto"/>
              <w:bottom w:val="single" w:sz="4" w:space="0" w:color="auto"/>
              <w:right w:val="single" w:sz="4" w:space="0" w:color="auto"/>
            </w:tcBorders>
          </w:tcPr>
          <w:p>
            <w:pPr>
              <w:pStyle w:val="TableNAm"/>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NAm"/>
              <w:rPr>
                <w:sz w:val="20"/>
              </w:rPr>
            </w:pPr>
            <w:r>
              <w:rPr>
                <w:sz w:val="20"/>
              </w:rPr>
              <w:t>Cattle</w:t>
            </w:r>
          </w:p>
        </w:tc>
        <w:tc>
          <w:tcPr>
            <w:tcW w:w="2410" w:type="dxa"/>
            <w:tcBorders>
              <w:left w:val="single" w:sz="4" w:space="0" w:color="auto"/>
              <w:bottom w:val="single" w:sz="4" w:space="0" w:color="auto"/>
            </w:tcBorders>
          </w:tcPr>
          <w:p>
            <w:pPr>
              <w:pStyle w:val="TableNAm"/>
              <w:rPr>
                <w:sz w:val="20"/>
              </w:rPr>
            </w:pPr>
            <w:r>
              <w:rPr>
                <w:sz w:val="20"/>
              </w:rPr>
              <w:t>Must be used in accordance with the generally accepted method of usage for the type of device.</w:t>
            </w:r>
          </w:p>
        </w:tc>
      </w:tr>
    </w:tbl>
    <w:p>
      <w:pPr>
        <w:pStyle w:val="Heading5"/>
        <w:spacing w:before="240"/>
      </w:pPr>
      <w:bookmarkStart w:id="59" w:name="_Toc138749198"/>
      <w:bookmarkStart w:id="60" w:name="_Toc254079314"/>
      <w:r>
        <w:rPr>
          <w:rStyle w:val="CharSectno"/>
        </w:rPr>
        <w:t>8</w:t>
      </w:r>
      <w:r>
        <w:t>.</w:t>
      </w:r>
      <w:r>
        <w:tab/>
        <w:t>Use of devices — metal</w:t>
      </w:r>
      <w:r>
        <w:noBreakHyphen/>
        <w:t>jawed traps (s. 29)</w:t>
      </w:r>
      <w:bookmarkEnd w:id="59"/>
      <w:bookmarkEnd w:id="60"/>
    </w:p>
    <w:p>
      <w:pPr>
        <w:pStyle w:val="Subsection"/>
      </w:pPr>
      <w:r>
        <w:tab/>
      </w:r>
      <w:bookmarkStart w:id="61" w:name="_Hlt35656714"/>
      <w:bookmarkEnd w:id="61"/>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spacing w:before="120"/>
      </w:pPr>
      <w:r>
        <w:tab/>
      </w:r>
      <w:bookmarkStart w:id="62" w:name="_Hlt35656765"/>
      <w:bookmarkEnd w:id="62"/>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r>
      <w:bookmarkStart w:id="63" w:name="_Hlt35656840"/>
      <w:bookmarkEnd w:id="63"/>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64" w:name="_Toc92776390"/>
      <w:bookmarkStart w:id="65" w:name="_Toc92954511"/>
      <w:bookmarkStart w:id="66" w:name="_Toc138749199"/>
      <w:bookmarkStart w:id="67" w:name="_Toc138749264"/>
      <w:bookmarkStart w:id="68" w:name="_Toc138820197"/>
      <w:bookmarkStart w:id="69" w:name="_Toc169334571"/>
      <w:bookmarkStart w:id="70" w:name="_Toc169334655"/>
      <w:bookmarkStart w:id="71" w:name="_Toc169412182"/>
      <w:bookmarkStart w:id="72" w:name="_Toc201651545"/>
      <w:bookmarkStart w:id="73" w:name="_Toc202243936"/>
      <w:bookmarkStart w:id="74" w:name="_Toc202244214"/>
      <w:bookmarkStart w:id="75" w:name="_Toc205861808"/>
      <w:bookmarkStart w:id="76" w:name="_Toc206390861"/>
      <w:bookmarkStart w:id="77" w:name="_Toc254014644"/>
      <w:bookmarkStart w:id="78" w:name="_Toc254079315"/>
      <w:r>
        <w:rPr>
          <w:rStyle w:val="CharPartNo"/>
        </w:rPr>
        <w:t>Part 3</w:t>
      </w:r>
      <w:r>
        <w:rPr>
          <w:rStyle w:val="CharDivNo"/>
        </w:rPr>
        <w:t> </w:t>
      </w:r>
      <w:r>
        <w:t>—</w:t>
      </w:r>
      <w:r>
        <w:rPr>
          <w:rStyle w:val="CharDivText"/>
        </w:rPr>
        <w:t> </w:t>
      </w:r>
      <w:r>
        <w:rPr>
          <w:rStyle w:val="CharPartText"/>
        </w:rPr>
        <w:t>Enforcement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Hlt35420748"/>
      <w:bookmarkStart w:id="80" w:name="_Hlt35420875"/>
      <w:bookmarkStart w:id="81" w:name="_Toc138749200"/>
      <w:bookmarkStart w:id="82" w:name="_Toc254079316"/>
      <w:bookmarkEnd w:id="79"/>
      <w:bookmarkEnd w:id="80"/>
      <w:r>
        <w:rPr>
          <w:rStyle w:val="CharSectno"/>
        </w:rPr>
        <w:t>9</w:t>
      </w:r>
      <w:r>
        <w:t>.</w:t>
      </w:r>
      <w:r>
        <w:tab/>
        <w:t>Warrant (s. 61)</w:t>
      </w:r>
      <w:bookmarkEnd w:id="81"/>
      <w:bookmarkEnd w:id="82"/>
    </w:p>
    <w:p>
      <w:pPr>
        <w:pStyle w:val="Subsection"/>
      </w:pPr>
      <w:r>
        <w:tab/>
      </w:r>
      <w:r>
        <w:tab/>
        <w:t>The form of a warrant is Form 1 in Schedule 2.</w:t>
      </w:r>
    </w:p>
    <w:p>
      <w:pPr>
        <w:pStyle w:val="Heading5"/>
      </w:pPr>
      <w:bookmarkStart w:id="83" w:name="_Toc138749201"/>
      <w:bookmarkStart w:id="84" w:name="_Toc254079317"/>
      <w:r>
        <w:rPr>
          <w:rStyle w:val="CharSectno"/>
        </w:rPr>
        <w:t>10</w:t>
      </w:r>
      <w:r>
        <w:t>.</w:t>
      </w:r>
      <w:r>
        <w:tab/>
        <w:t>Objections (s. 72)</w:t>
      </w:r>
      <w:bookmarkEnd w:id="83"/>
      <w:bookmarkEnd w:id="84"/>
    </w:p>
    <w:p>
      <w:pPr>
        <w:pStyle w:val="Subsection"/>
      </w:pPr>
      <w:r>
        <w:tab/>
      </w:r>
      <w:r>
        <w:tab/>
        <w:t>An objection under section 72 of the Act is to be made by completing Form 2 in Schedule </w:t>
      </w:r>
      <w:bookmarkStart w:id="85" w:name="_Hlt35657081"/>
      <w:r>
        <w:t>2</w:t>
      </w:r>
      <w:bookmarkEnd w:id="85"/>
      <w:r>
        <w:t xml:space="preserve"> and lodging that completed form with the Minister within the time period set out in the Act.</w:t>
      </w:r>
    </w:p>
    <w:p>
      <w:pPr>
        <w:pStyle w:val="Ednotesection"/>
      </w:pPr>
      <w:bookmarkStart w:id="86" w:name="_Hlt35421163"/>
      <w:bookmarkEnd w:id="86"/>
      <w:r>
        <w:t>[</w:t>
      </w:r>
      <w:r>
        <w:rPr>
          <w:b/>
          <w:bCs/>
        </w:rPr>
        <w:t>11.</w:t>
      </w:r>
      <w:r>
        <w:tab/>
        <w:t>Deleted in Gazette 30 Dec 2004 p. 7010.]</w:t>
      </w:r>
    </w:p>
    <w:p>
      <w:pPr>
        <w:pStyle w:val="Heading2"/>
      </w:pPr>
      <w:bookmarkStart w:id="87" w:name="_Toc92776394"/>
      <w:bookmarkStart w:id="88" w:name="_Toc92954514"/>
      <w:bookmarkStart w:id="89" w:name="_Toc138749202"/>
      <w:bookmarkStart w:id="90" w:name="_Toc138749267"/>
      <w:bookmarkStart w:id="91" w:name="_Toc138820200"/>
      <w:bookmarkStart w:id="92" w:name="_Toc169334574"/>
      <w:bookmarkStart w:id="93" w:name="_Toc169334658"/>
      <w:bookmarkStart w:id="94" w:name="_Toc169412185"/>
      <w:bookmarkStart w:id="95" w:name="_Toc201651548"/>
      <w:bookmarkStart w:id="96" w:name="_Toc202243939"/>
      <w:bookmarkStart w:id="97" w:name="_Toc202244217"/>
      <w:bookmarkStart w:id="98" w:name="_Toc205861811"/>
      <w:bookmarkStart w:id="99" w:name="_Toc206390864"/>
      <w:bookmarkStart w:id="100" w:name="_Toc254014647"/>
      <w:bookmarkStart w:id="101" w:name="_Toc254079318"/>
      <w:r>
        <w:rPr>
          <w:rStyle w:val="CharPartNo"/>
        </w:rPr>
        <w:t>Part 4</w:t>
      </w:r>
      <w:r>
        <w:rPr>
          <w:rStyle w:val="CharDivNo"/>
        </w:rPr>
        <w:t> </w:t>
      </w:r>
      <w:r>
        <w:t>—</w:t>
      </w:r>
      <w:r>
        <w:rPr>
          <w:rStyle w:val="CharDivText"/>
        </w:rPr>
        <w:t> </w:t>
      </w:r>
      <w:r>
        <w:rPr>
          <w:rStyle w:val="CharPartText"/>
        </w:rPr>
        <w:t>Miscellaneous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Hlt33237919"/>
      <w:bookmarkStart w:id="103" w:name="_Toc138749203"/>
      <w:bookmarkStart w:id="104" w:name="_Toc254079319"/>
      <w:bookmarkStart w:id="105" w:name="_Toc32989671"/>
      <w:bookmarkStart w:id="106" w:name="_Toc33930210"/>
      <w:bookmarkEnd w:id="102"/>
      <w:r>
        <w:rPr>
          <w:rStyle w:val="CharSectno"/>
        </w:rPr>
        <w:t>12</w:t>
      </w:r>
      <w:r>
        <w:t>.</w:t>
      </w:r>
      <w:r>
        <w:tab/>
        <w:t>Disposal of forfeited property (s. 87)</w:t>
      </w:r>
      <w:bookmarkEnd w:id="103"/>
      <w:bookmarkEnd w:id="104"/>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107" w:name="_Toc138749204"/>
      <w:bookmarkStart w:id="108" w:name="_Toc254079320"/>
      <w:r>
        <w:rPr>
          <w:rStyle w:val="CharSectno"/>
        </w:rPr>
        <w:t>13</w:t>
      </w:r>
      <w:r>
        <w:t>.</w:t>
      </w:r>
      <w:r>
        <w:tab/>
        <w:t>Claim for compensation (s. 93)</w:t>
      </w:r>
      <w:bookmarkEnd w:id="107"/>
      <w:bookmarkEnd w:id="108"/>
    </w:p>
    <w:p>
      <w:pPr>
        <w:pStyle w:val="Subsection"/>
      </w:pPr>
      <w:r>
        <w:tab/>
      </w:r>
      <w:r>
        <w:tab/>
        <w:t>A claim for compensation under section 93 of the Act is to be made by completing Form 4 in Schedule </w:t>
      </w:r>
      <w:bookmarkStart w:id="109" w:name="_Hlt35657112"/>
      <w:r>
        <w:t>2</w:t>
      </w:r>
      <w:bookmarkEnd w:id="109"/>
      <w:r>
        <w:t xml:space="preserve"> and lodging that completed form with the Minister within the time period set out in the Act.</w:t>
      </w:r>
    </w:p>
    <w:p>
      <w:pPr>
        <w:pStyle w:val="Heading5"/>
      </w:pPr>
      <w:bookmarkStart w:id="110" w:name="_Toc138749205"/>
      <w:bookmarkStart w:id="111" w:name="_Toc254079321"/>
      <w:r>
        <w:rPr>
          <w:rStyle w:val="CharSectno"/>
        </w:rPr>
        <w:t>14</w:t>
      </w:r>
      <w:r>
        <w:t>.</w:t>
      </w:r>
      <w:r>
        <w:tab/>
        <w:t>Further offences (s. 94) — tail docking</w:t>
      </w:r>
      <w:bookmarkEnd w:id="110"/>
      <w:bookmarkEnd w:id="111"/>
    </w:p>
    <w:p>
      <w:pPr>
        <w:pStyle w:val="Subsection"/>
        <w:rPr>
          <w:spacing w:val="-2"/>
        </w:rPr>
      </w:pPr>
      <w:r>
        <w:rPr>
          <w:spacing w:val="-2"/>
        </w:rPr>
        <w:tab/>
        <w:t>(1)</w:t>
      </w:r>
      <w:r>
        <w:rPr>
          <w:spacing w:val="-2"/>
        </w:rPr>
        <w:tab/>
        <w:t xml:space="preserve">In this regulation, a reference to </w:t>
      </w:r>
      <w:r>
        <w:rPr>
          <w:rStyle w:val="CharDefText"/>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keepLines/>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2" w:name="_Toc33953094"/>
      <w:bookmarkEnd w:id="105"/>
      <w:bookmarkEnd w:id="106"/>
    </w:p>
    <w:p>
      <w:pPr>
        <w:pStyle w:val="yScheduleHeading"/>
      </w:pPr>
      <w:bookmarkStart w:id="113" w:name="_Toc138749206"/>
      <w:bookmarkStart w:id="114" w:name="_Toc138749271"/>
      <w:bookmarkStart w:id="115" w:name="_Toc138820204"/>
      <w:bookmarkStart w:id="116" w:name="_Toc169334578"/>
      <w:bookmarkStart w:id="117" w:name="_Toc169334662"/>
      <w:bookmarkStart w:id="118" w:name="_Toc169412189"/>
      <w:bookmarkStart w:id="119" w:name="_Toc201651552"/>
      <w:bookmarkStart w:id="120" w:name="_Toc202243943"/>
      <w:bookmarkStart w:id="121" w:name="_Toc202244221"/>
      <w:bookmarkStart w:id="122" w:name="_Toc205861815"/>
      <w:bookmarkStart w:id="123" w:name="_Toc206390868"/>
      <w:bookmarkStart w:id="124" w:name="_Toc254014651"/>
      <w:bookmarkStart w:id="125" w:name="_Toc254079322"/>
      <w:r>
        <w:rPr>
          <w:rStyle w:val="CharSchNo"/>
        </w:rPr>
        <w:t>Schedule 1</w:t>
      </w:r>
      <w:r>
        <w:t> — </w:t>
      </w:r>
      <w:r>
        <w:rPr>
          <w:rStyle w:val="CharSchText"/>
        </w:rPr>
        <w:t>Codes of practice</w:t>
      </w:r>
      <w:bookmarkEnd w:id="113"/>
      <w:bookmarkEnd w:id="114"/>
      <w:bookmarkEnd w:id="115"/>
      <w:bookmarkEnd w:id="116"/>
      <w:bookmarkEnd w:id="117"/>
      <w:bookmarkEnd w:id="118"/>
      <w:bookmarkEnd w:id="119"/>
      <w:bookmarkEnd w:id="120"/>
      <w:bookmarkEnd w:id="121"/>
      <w:bookmarkEnd w:id="122"/>
      <w:bookmarkEnd w:id="123"/>
      <w:bookmarkEnd w:id="124"/>
      <w:bookmarkEnd w:id="125"/>
    </w:p>
    <w:bookmarkEnd w:id="112"/>
    <w:p>
      <w:pPr>
        <w:pStyle w:val="yShoulderClause"/>
        <w:spacing w:after="120"/>
      </w:pPr>
      <w:r>
        <w:t>[r. 6]</w:t>
      </w:r>
    </w:p>
    <w:tbl>
      <w:tblPr>
        <w:tblW w:w="6663" w:type="dxa"/>
        <w:tblInd w:w="675" w:type="dxa"/>
        <w:tblLayout w:type="fixed"/>
        <w:tblLook w:val="0000" w:firstRow="0" w:lastRow="0" w:firstColumn="0" w:lastColumn="0" w:noHBand="0" w:noVBand="0"/>
      </w:tblPr>
      <w:tblGrid>
        <w:gridCol w:w="873"/>
        <w:gridCol w:w="240"/>
        <w:gridCol w:w="5550"/>
      </w:tblGrid>
      <w:tr>
        <w:trPr>
          <w:cantSplit/>
          <w:tblHeader/>
        </w:trPr>
        <w:tc>
          <w:tcPr>
            <w:tcW w:w="6663" w:type="dxa"/>
            <w:gridSpan w:val="3"/>
            <w:tcBorders>
              <w:top w:val="single" w:sz="4" w:space="0" w:color="auto"/>
              <w:bottom w:val="single" w:sz="4" w:space="0" w:color="auto"/>
            </w:tcBorders>
          </w:tcPr>
          <w:p>
            <w:pPr>
              <w:pStyle w:val="yTableNAm"/>
              <w:jc w:val="center"/>
              <w:rPr>
                <w:b/>
                <w:bCs/>
              </w:rPr>
            </w:pPr>
            <w:r>
              <w:rPr>
                <w:b/>
                <w:bCs/>
              </w:rPr>
              <w:t>Codes of practice</w:t>
            </w:r>
          </w:p>
        </w:tc>
      </w:tr>
      <w:tr>
        <w:tc>
          <w:tcPr>
            <w:tcW w:w="873" w:type="dxa"/>
          </w:tcPr>
          <w:p>
            <w:pPr>
              <w:pStyle w:val="yTableNAm"/>
            </w:pPr>
            <w:r>
              <w:t>1.</w:t>
            </w:r>
          </w:p>
        </w:tc>
        <w:tc>
          <w:tcPr>
            <w:tcW w:w="5790" w:type="dxa"/>
            <w:gridSpan w:val="2"/>
          </w:tcPr>
          <w:p>
            <w:pPr>
              <w:pStyle w:val="yTableNAm"/>
            </w:pPr>
            <w:r>
              <w:t xml:space="preserve">Australian Rules of Racing </w:t>
            </w:r>
          </w:p>
        </w:tc>
      </w:tr>
      <w:tr>
        <w:tc>
          <w:tcPr>
            <w:tcW w:w="1113" w:type="dxa"/>
            <w:gridSpan w:val="2"/>
          </w:tcPr>
          <w:p>
            <w:pPr>
              <w:pStyle w:val="yTableNAm"/>
            </w:pPr>
          </w:p>
        </w:tc>
        <w:tc>
          <w:tcPr>
            <w:tcW w:w="5550" w:type="dxa"/>
          </w:tcPr>
          <w:p>
            <w:pPr>
              <w:pStyle w:val="yTableNAm"/>
              <w:rPr>
                <w:i/>
              </w:rPr>
            </w:pPr>
            <w:r>
              <w:rPr>
                <w:i/>
              </w:rPr>
              <w:t xml:space="preserve">Last consolidated and published 3 February 2003 by the Australian Racing Board </w:t>
            </w:r>
          </w:p>
        </w:tc>
      </w:tr>
      <w:tr>
        <w:tc>
          <w:tcPr>
            <w:tcW w:w="873" w:type="dxa"/>
          </w:tcPr>
          <w:p>
            <w:pPr>
              <w:pStyle w:val="yTableNAm"/>
            </w:pPr>
            <w:r>
              <w:t>2.</w:t>
            </w:r>
          </w:p>
        </w:tc>
        <w:tc>
          <w:tcPr>
            <w:tcW w:w="5790" w:type="dxa"/>
            <w:gridSpan w:val="2"/>
          </w:tcPr>
          <w:p>
            <w:pPr>
              <w:pStyle w:val="yTableNAm"/>
            </w:pPr>
            <w:r>
              <w:t>Buffalo — Code of practice for farmed buffalo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[3, 4.</w:t>
            </w:r>
            <w:r>
              <w:rPr>
                <w:i/>
              </w:rPr>
              <w:tab/>
              <w:t>deleted]</w:t>
            </w:r>
          </w:p>
        </w:tc>
      </w:tr>
      <w:tr>
        <w:tc>
          <w:tcPr>
            <w:tcW w:w="873" w:type="dxa"/>
          </w:tcPr>
          <w:p>
            <w:pPr>
              <w:pStyle w:val="yTableNAm"/>
            </w:pPr>
            <w:r>
              <w:t>5.</w:t>
            </w:r>
          </w:p>
        </w:tc>
        <w:tc>
          <w:tcPr>
            <w:tcW w:w="5790" w:type="dxa"/>
            <w:gridSpan w:val="2"/>
          </w:tcPr>
          <w:p>
            <w:pPr>
              <w:pStyle w:val="yTableNAm"/>
            </w:pPr>
            <w:r>
              <w:t>Cattle Transportation — Code of practice for the transportation of cattle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6.</w:t>
            </w:r>
          </w:p>
        </w:tc>
        <w:tc>
          <w:tcPr>
            <w:tcW w:w="5790" w:type="dxa"/>
            <w:gridSpan w:val="2"/>
          </w:tcPr>
          <w:p>
            <w:pPr>
              <w:pStyle w:val="yTableNAm"/>
            </w:pPr>
            <w:r>
              <w:t>Circuses — Code of practice for the conduct of circuses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7.</w:t>
            </w:r>
          </w:p>
        </w:tc>
        <w:tc>
          <w:tcPr>
            <w:tcW w:w="5790" w:type="dxa"/>
            <w:gridSpan w:val="2"/>
          </w:tcPr>
          <w:p>
            <w:pPr>
              <w:pStyle w:val="yTableNAm"/>
            </w:pPr>
            <w:r>
              <w:t>Deer — Code of practice for farming deer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[8.</w:t>
            </w:r>
            <w:r>
              <w:rPr>
                <w:i/>
              </w:rPr>
              <w:tab/>
              <w:t>deleted]</w:t>
            </w:r>
          </w:p>
        </w:tc>
      </w:tr>
      <w:tr>
        <w:tc>
          <w:tcPr>
            <w:tcW w:w="873" w:type="dxa"/>
          </w:tcPr>
          <w:p>
            <w:pPr>
              <w:pStyle w:val="yTableNAm"/>
            </w:pPr>
            <w:r>
              <w:t>9.</w:t>
            </w:r>
          </w:p>
        </w:tc>
        <w:tc>
          <w:tcPr>
            <w:tcW w:w="5790" w:type="dxa"/>
            <w:gridSpan w:val="2"/>
          </w:tcPr>
          <w:p>
            <w:pPr>
              <w:pStyle w:val="yTableNAm"/>
            </w:pPr>
            <w:r>
              <w:t>Exhibited Animals — Code of practice for exhibited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10.</w:t>
            </w:r>
          </w:p>
        </w:tc>
        <w:tc>
          <w:tcPr>
            <w:tcW w:w="5790" w:type="dxa"/>
            <w:gridSpan w:val="2"/>
          </w:tcPr>
          <w:p>
            <w:pPr>
              <w:pStyle w:val="yTableNAm"/>
            </w:pPr>
            <w:r>
              <w:t>Feral Animals — Code of practice for the capture and marketing of feral animals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11.</w:t>
            </w:r>
          </w:p>
        </w:tc>
        <w:tc>
          <w:tcPr>
            <w:tcW w:w="5790" w:type="dxa"/>
            <w:gridSpan w:val="2"/>
          </w:tcPr>
          <w:p>
            <w:pPr>
              <w:pStyle w:val="yTableNAm"/>
            </w:pPr>
            <w:r>
              <w:t>Goats — Code of practice for goats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w:t>
            </w:r>
          </w:p>
        </w:tc>
        <w:tc>
          <w:tcPr>
            <w:tcW w:w="5790" w:type="dxa"/>
            <w:gridSpan w:val="2"/>
          </w:tcPr>
          <w:p>
            <w:pPr>
              <w:pStyle w:val="yTableNAm"/>
            </w:pPr>
            <w:r>
              <w:t>Horse Transportation — Code of practice for the transportation of horses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12A.</w:t>
            </w:r>
          </w:p>
        </w:tc>
        <w:tc>
          <w:tcPr>
            <w:tcW w:w="5790" w:type="dxa"/>
            <w:gridSpan w:val="2"/>
          </w:tcPr>
          <w:p>
            <w:pPr>
              <w:pStyle w:val="yTableNAm"/>
              <w:rPr>
                <w:i/>
              </w:rPr>
            </w:pPr>
            <w:r>
              <w:t>Model Code of Practice for the Welfare of Animals: Cattle (2</w:t>
            </w:r>
            <w:r>
              <w:rPr>
                <w:vertAlign w:val="superscript"/>
              </w:rPr>
              <w:t>nd</w:t>
            </w:r>
            <w:r>
              <w:t> Edition)</w:t>
            </w:r>
          </w:p>
        </w:tc>
      </w:tr>
      <w:tr>
        <w:tc>
          <w:tcPr>
            <w:tcW w:w="1113" w:type="dxa"/>
            <w:gridSpan w:val="2"/>
          </w:tcPr>
          <w:p>
            <w:pPr>
              <w:pStyle w:val="yTableNAm"/>
            </w:pPr>
          </w:p>
        </w:tc>
        <w:tc>
          <w:tcPr>
            <w:tcW w:w="5550" w:type="dxa"/>
          </w:tcPr>
          <w:p>
            <w:pPr>
              <w:pStyle w:val="yTableNAm"/>
              <w:rPr>
                <w:i/>
              </w:rPr>
            </w:pPr>
            <w:r>
              <w:rPr>
                <w:i/>
              </w:rPr>
              <w:t>First published by the Primary Industries Ministerial Council in 2004</w:t>
            </w:r>
          </w:p>
        </w:tc>
      </w:tr>
      <w:tr>
        <w:tc>
          <w:tcPr>
            <w:tcW w:w="873" w:type="dxa"/>
          </w:tcPr>
          <w:p>
            <w:pPr>
              <w:pStyle w:val="yTableNAm"/>
            </w:pPr>
            <w:r>
              <w:t>12B.</w:t>
            </w:r>
          </w:p>
        </w:tc>
        <w:tc>
          <w:tcPr>
            <w:tcW w:w="5790" w:type="dxa"/>
            <w:gridSpan w:val="2"/>
          </w:tcPr>
          <w:p>
            <w:pPr>
              <w:pStyle w:val="yTableNAm"/>
              <w:rPr>
                <w:i/>
              </w:rPr>
            </w:pPr>
            <w:r>
              <w:t>Model Code of Practice for the Welfare of Animals: Husbandry of Captive</w:t>
            </w:r>
            <w:r>
              <w:noBreakHyphen/>
              <w:t>Bred Emus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12C.</w:t>
            </w:r>
          </w:p>
        </w:tc>
        <w:tc>
          <w:tcPr>
            <w:tcW w:w="5790" w:type="dxa"/>
            <w:gridSpan w:val="2"/>
          </w:tcPr>
          <w:p>
            <w:pPr>
              <w:pStyle w:val="yTableNAm"/>
              <w:rPr>
                <w:i/>
              </w:rPr>
            </w:pPr>
            <w:r>
              <w:t>Model Code of Practice for the Welfare of Animals: Land Transport of Poultry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rPr>
            </w:pPr>
            <w:r>
              <w:rPr>
                <w:i/>
                <w:iCs/>
              </w:rPr>
              <w:t>First published by the Primary Industries Ministerial Council in 2006</w:t>
            </w:r>
          </w:p>
        </w:tc>
      </w:tr>
      <w:tr>
        <w:tc>
          <w:tcPr>
            <w:tcW w:w="873" w:type="dxa"/>
          </w:tcPr>
          <w:p>
            <w:pPr>
              <w:pStyle w:val="yTableNAm"/>
            </w:pPr>
            <w:r>
              <w:t>12DA.</w:t>
            </w:r>
          </w:p>
        </w:tc>
        <w:tc>
          <w:tcPr>
            <w:tcW w:w="5790" w:type="dxa"/>
            <w:gridSpan w:val="2"/>
          </w:tcPr>
          <w:p>
            <w:pPr>
              <w:pStyle w:val="yTableNAm"/>
            </w:pPr>
            <w:r>
              <w:t>Model Code of Practice for the Welfare of Animals: Livestock at Slaughtering Establishments</w:t>
            </w:r>
          </w:p>
        </w:tc>
      </w:tr>
      <w:tr>
        <w:tc>
          <w:tcPr>
            <w:tcW w:w="1113" w:type="dxa"/>
            <w:gridSpan w:val="2"/>
          </w:tcPr>
          <w:p>
            <w:pPr>
              <w:pStyle w:val="yTableNAm"/>
            </w:pPr>
          </w:p>
        </w:tc>
        <w:tc>
          <w:tcPr>
            <w:tcW w:w="5550" w:type="dxa"/>
          </w:tcPr>
          <w:p>
            <w:pPr>
              <w:pStyle w:val="yTableNAm"/>
              <w:rPr>
                <w:i/>
              </w:rPr>
            </w:pPr>
            <w:r>
              <w:rPr>
                <w:i/>
                <w:iCs/>
              </w:rPr>
              <w:t>First published in 2001 (paperback) and 2002 (on</w:t>
            </w:r>
            <w:r>
              <w:rPr>
                <w:i/>
                <w:iCs/>
              </w:rPr>
              <w:noBreakHyphen/>
              <w:t>line) by CSIRO publishing, acting on behalf of the Agriculture and Resource Management Council of Australia and New Zealand.</w:t>
            </w:r>
          </w:p>
        </w:tc>
      </w:tr>
      <w:tr>
        <w:tc>
          <w:tcPr>
            <w:tcW w:w="873" w:type="dxa"/>
          </w:tcPr>
          <w:p>
            <w:pPr>
              <w:pStyle w:val="yTableNAm"/>
            </w:pPr>
            <w:r>
              <w:t>12D.</w:t>
            </w:r>
          </w:p>
        </w:tc>
        <w:tc>
          <w:tcPr>
            <w:tcW w:w="5790" w:type="dxa"/>
            <w:gridSpan w:val="2"/>
          </w:tcPr>
          <w:p>
            <w:pPr>
              <w:pStyle w:val="yTableNAm"/>
              <w:rPr>
                <w:i/>
                <w:iCs/>
              </w:rPr>
            </w:pPr>
            <w:r>
              <w:t>Model Code of Practice for the Welfare of Animals: The Camel (2</w:t>
            </w:r>
            <w:r>
              <w:rPr>
                <w:vertAlign w:val="superscript"/>
              </w:rPr>
              <w:t>nd</w:t>
            </w:r>
            <w:r>
              <w:t xml:space="preserve"> Edition)</w:t>
            </w:r>
          </w:p>
        </w:tc>
      </w:tr>
      <w:tr>
        <w:tc>
          <w:tcPr>
            <w:tcW w:w="1113" w:type="dxa"/>
            <w:gridSpan w:val="2"/>
          </w:tcPr>
          <w:p>
            <w:pPr>
              <w:pStyle w:val="yTableNAm"/>
            </w:pPr>
          </w:p>
        </w:tc>
        <w:tc>
          <w:tcPr>
            <w:tcW w:w="5550" w:type="dxa"/>
          </w:tcPr>
          <w:p>
            <w:pPr>
              <w:pStyle w:val="yTableNAm"/>
              <w:rPr>
                <w:i/>
                <w:iCs/>
              </w:rPr>
            </w:pPr>
            <w:r>
              <w:rPr>
                <w:i/>
                <w:iCs/>
              </w:rPr>
              <w:t>First published by the Primary Industries Ministerial Council in 2006</w:t>
            </w:r>
          </w:p>
        </w:tc>
      </w:tr>
      <w:tr>
        <w:tc>
          <w:tcPr>
            <w:tcW w:w="873" w:type="dxa"/>
          </w:tcPr>
          <w:p>
            <w:pPr>
              <w:pStyle w:val="yTableNAm"/>
            </w:pPr>
            <w:r>
              <w:t>13.</w:t>
            </w:r>
          </w:p>
        </w:tc>
        <w:tc>
          <w:tcPr>
            <w:tcW w:w="5790" w:type="dxa"/>
            <w:gridSpan w:val="2"/>
          </w:tcPr>
          <w:p>
            <w:pPr>
              <w:pStyle w:val="yTableNAm"/>
              <w:rPr>
                <w:iCs/>
              </w:rPr>
            </w:pPr>
            <w:r>
              <w:rPr>
                <w:iCs/>
              </w:rPr>
              <w:t>Model Code of Practice for the Welfare of Animals: Pigs (3</w:t>
            </w:r>
            <w:r>
              <w:rPr>
                <w:iCs/>
                <w:vertAlign w:val="superscript"/>
              </w:rPr>
              <w:t>rd</w:t>
            </w:r>
            <w:r>
              <w:rPr>
                <w:iCs/>
              </w:rPr>
              <w:t> Edition)</w:t>
            </w:r>
          </w:p>
          <w:p>
            <w:pPr>
              <w:pStyle w:val="yTableNAm"/>
              <w:rPr>
                <w:iCs/>
              </w:rPr>
            </w:pPr>
            <w:r>
              <w:rPr>
                <w:iCs/>
              </w:rPr>
              <w:tab/>
            </w:r>
            <w:r>
              <w:rPr>
                <w:i/>
                <w:iCs/>
              </w:rPr>
              <w:t>First published by the Primary Industries Ministerial Council in 2008</w:t>
            </w:r>
          </w:p>
        </w:tc>
      </w:tr>
      <w:tr>
        <w:tc>
          <w:tcPr>
            <w:tcW w:w="873" w:type="dxa"/>
          </w:tcPr>
          <w:p>
            <w:pPr>
              <w:pStyle w:val="yTableNAm"/>
            </w:pPr>
            <w:r>
              <w:t>14.</w:t>
            </w:r>
          </w:p>
        </w:tc>
        <w:tc>
          <w:tcPr>
            <w:tcW w:w="5790" w:type="dxa"/>
            <w:gridSpan w:val="2"/>
          </w:tcPr>
          <w:p>
            <w:pPr>
              <w:pStyle w:val="yTableNAm"/>
            </w:pPr>
            <w:r>
              <w:t>Pig Transportation — Code of practice for the transportation of pigs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15.</w:t>
            </w:r>
          </w:p>
        </w:tc>
        <w:tc>
          <w:tcPr>
            <w:tcW w:w="5790" w:type="dxa"/>
            <w:gridSpan w:val="2"/>
          </w:tcPr>
          <w:p>
            <w:pPr>
              <w:pStyle w:val="yTableNAm"/>
            </w:pPr>
            <w:r>
              <w:t>Pigeons — Code of practice for pigeon keeping and racing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16.</w:t>
            </w:r>
          </w:p>
        </w:tc>
        <w:tc>
          <w:tcPr>
            <w:tcW w:w="5790" w:type="dxa"/>
            <w:gridSpan w:val="2"/>
          </w:tcPr>
          <w:p>
            <w:pPr>
              <w:pStyle w:val="yTableNAm"/>
            </w:pPr>
            <w:r>
              <w:t>Poultry — Code of practice for poultry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rPr>
          <w:cantSplit/>
        </w:trPr>
        <w:tc>
          <w:tcPr>
            <w:tcW w:w="6663" w:type="dxa"/>
            <w:gridSpan w:val="3"/>
          </w:tcPr>
          <w:p>
            <w:pPr>
              <w:pStyle w:val="yTableNAm"/>
              <w:tabs>
                <w:tab w:val="clear" w:pos="567"/>
                <w:tab w:val="left" w:pos="885"/>
              </w:tabs>
            </w:pPr>
            <w:r>
              <w:rPr>
                <w:i/>
              </w:rPr>
              <w:t>[17.</w:t>
            </w:r>
            <w:r>
              <w:rPr>
                <w:i/>
              </w:rPr>
              <w:tab/>
              <w:t>deleted</w:t>
            </w:r>
            <w:r>
              <w:rPr>
                <w:i/>
                <w:iCs/>
              </w:rPr>
              <w:t>]</w:t>
            </w:r>
          </w:p>
        </w:tc>
      </w:tr>
      <w:tr>
        <w:tc>
          <w:tcPr>
            <w:tcW w:w="873" w:type="dxa"/>
          </w:tcPr>
          <w:p>
            <w:pPr>
              <w:pStyle w:val="yTableNAm"/>
            </w:pPr>
            <w:r>
              <w:t>18.</w:t>
            </w:r>
          </w:p>
        </w:tc>
        <w:tc>
          <w:tcPr>
            <w:tcW w:w="5790" w:type="dxa"/>
            <w:gridSpan w:val="2"/>
          </w:tcPr>
          <w:p>
            <w:pPr>
              <w:pStyle w:val="yTableNAm"/>
            </w:pPr>
            <w:r>
              <w:t>Rabbits — Code of practice for keeping rabbits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19.</w:t>
            </w:r>
          </w:p>
        </w:tc>
        <w:tc>
          <w:tcPr>
            <w:tcW w:w="5790" w:type="dxa"/>
            <w:gridSpan w:val="2"/>
          </w:tcPr>
          <w:p>
            <w:pPr>
              <w:pStyle w:val="yTableNAm"/>
            </w:pPr>
            <w:r>
              <w:t>Rodeos — Code of practice for the conduct of rodeos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20.</w:t>
            </w:r>
          </w:p>
        </w:tc>
        <w:tc>
          <w:tcPr>
            <w:tcW w:w="5790" w:type="dxa"/>
            <w:gridSpan w:val="2"/>
          </w:tcPr>
          <w:p>
            <w:pPr>
              <w:pStyle w:val="yTableNAm"/>
              <w:rPr>
                <w:i/>
              </w:rPr>
            </w:pPr>
            <w:r>
              <w:rPr>
                <w:i/>
              </w:rPr>
              <w:t xml:space="preserve">Rules of Harness Racing 1999 </w:t>
            </w:r>
          </w:p>
        </w:tc>
      </w:tr>
      <w:tr>
        <w:tc>
          <w:tcPr>
            <w:tcW w:w="1113" w:type="dxa"/>
            <w:gridSpan w:val="2"/>
          </w:tcPr>
          <w:p>
            <w:pPr>
              <w:pStyle w:val="yTableNAm"/>
            </w:pPr>
          </w:p>
        </w:tc>
        <w:tc>
          <w:tcPr>
            <w:tcW w:w="5550" w:type="dxa"/>
          </w:tcPr>
          <w:p>
            <w:pPr>
              <w:pStyle w:val="yTableNAm"/>
              <w:rPr>
                <w:i/>
              </w:rPr>
            </w:pPr>
            <w:r>
              <w:rPr>
                <w:i/>
              </w:rPr>
              <w:t xml:space="preserve">Made under the </w:t>
            </w:r>
            <w:r>
              <w:rPr>
                <w:i/>
                <w:u w:val="single"/>
              </w:rPr>
              <w:t>Western Australian Trotting Association Act 1946</w:t>
            </w:r>
            <w:r>
              <w:rPr>
                <w:i/>
              </w:rPr>
              <w:t xml:space="preserve"> and published in the Gazette</w:t>
            </w:r>
          </w:p>
        </w:tc>
      </w:tr>
      <w:tr>
        <w:trPr>
          <w:cantSplit/>
        </w:trPr>
        <w:tc>
          <w:tcPr>
            <w:tcW w:w="873" w:type="dxa"/>
          </w:tcPr>
          <w:p>
            <w:pPr>
              <w:pStyle w:val="yTableNAm"/>
            </w:pPr>
            <w:r>
              <w:t>21.</w:t>
            </w:r>
          </w:p>
        </w:tc>
        <w:tc>
          <w:tcPr>
            <w:tcW w:w="5790" w:type="dxa"/>
            <w:gridSpan w:val="2"/>
          </w:tcPr>
          <w:p>
            <w:pPr>
              <w:pStyle w:val="yTableNAm"/>
            </w:pPr>
            <w:r>
              <w:t>Saleyards — Code of practice for animals at saleyards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22.</w:t>
            </w:r>
          </w:p>
        </w:tc>
        <w:tc>
          <w:tcPr>
            <w:tcW w:w="5790" w:type="dxa"/>
            <w:gridSpan w:val="2"/>
          </w:tcPr>
          <w:p>
            <w:pPr>
              <w:pStyle w:val="yTableNAm"/>
            </w:pPr>
            <w:r>
              <w:t>Sheep — Code of practice for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Pr>
          <w:p>
            <w:pPr>
              <w:pStyle w:val="yTableNAm"/>
            </w:pPr>
            <w:r>
              <w:t>23.</w:t>
            </w:r>
          </w:p>
        </w:tc>
        <w:tc>
          <w:tcPr>
            <w:tcW w:w="5790" w:type="dxa"/>
            <w:gridSpan w:val="2"/>
          </w:tcPr>
          <w:p>
            <w:pPr>
              <w:pStyle w:val="yTableNAm"/>
            </w:pPr>
            <w:r>
              <w:t>Sheep Transportation — Code of practice for the transportation of sheep in Western Australia</w:t>
            </w:r>
          </w:p>
        </w:tc>
      </w:tr>
      <w:tr>
        <w:tc>
          <w:tcPr>
            <w:tcW w:w="1113" w:type="dxa"/>
            <w:gridSpan w:val="2"/>
          </w:tcPr>
          <w:p>
            <w:pPr>
              <w:pStyle w:val="yTableNAm"/>
            </w:pPr>
          </w:p>
        </w:tc>
        <w:tc>
          <w:tcPr>
            <w:tcW w:w="5550" w:type="dxa"/>
          </w:tcPr>
          <w:p>
            <w:pPr>
              <w:pStyle w:val="yTableNAm"/>
              <w:rPr>
                <w:i/>
              </w:rPr>
            </w:pPr>
            <w:r>
              <w:rPr>
                <w:i/>
              </w:rPr>
              <w:t>First published by the Department in March 2003</w:t>
            </w:r>
          </w:p>
        </w:tc>
      </w:tr>
      <w:tr>
        <w:tc>
          <w:tcPr>
            <w:tcW w:w="873" w:type="dxa"/>
            <w:tcBorders>
              <w:bottom w:val="single" w:sz="4" w:space="0" w:color="auto"/>
            </w:tcBorders>
          </w:tcPr>
          <w:p>
            <w:pPr>
              <w:pStyle w:val="yTableNAm"/>
            </w:pPr>
          </w:p>
        </w:tc>
        <w:tc>
          <w:tcPr>
            <w:tcW w:w="5790" w:type="dxa"/>
            <w:gridSpan w:val="2"/>
            <w:tcBorders>
              <w:bottom w:val="single" w:sz="4" w:space="0" w:color="auto"/>
            </w:tcBorders>
          </w:tcPr>
          <w:p>
            <w:pPr>
              <w:pStyle w:val="yTableNAm"/>
            </w:pPr>
          </w:p>
        </w:tc>
      </w:tr>
    </w:tbl>
    <w:p>
      <w:pPr>
        <w:pStyle w:val="yFootnotesection"/>
      </w:pPr>
      <w:r>
        <w:tab/>
        <w:t>[Schedule 1 amended in Gazette 23 Jun 2006 p. 2193; 12 Jun 2007 p. 2720</w:t>
      </w:r>
      <w:r>
        <w:noBreakHyphen/>
        <w:t>1; 20 Jun 2008 p. 2719; 16 Feb 2010 p. 645.]</w:t>
      </w:r>
    </w:p>
    <w:p>
      <w:pPr>
        <w:pStyle w:val="yScheduleHeading"/>
      </w:pPr>
      <w:bookmarkStart w:id="126" w:name="_Toc138749207"/>
      <w:bookmarkStart w:id="127" w:name="_Toc138749272"/>
      <w:bookmarkStart w:id="128" w:name="_Toc138820205"/>
      <w:bookmarkStart w:id="129" w:name="_Toc169334579"/>
      <w:bookmarkStart w:id="130" w:name="_Toc169334663"/>
      <w:bookmarkStart w:id="131" w:name="_Toc169412190"/>
      <w:bookmarkStart w:id="132" w:name="_Toc201651553"/>
      <w:bookmarkStart w:id="133" w:name="_Toc202243944"/>
      <w:bookmarkStart w:id="134" w:name="_Toc202244222"/>
      <w:bookmarkStart w:id="135" w:name="_Toc205861816"/>
      <w:bookmarkStart w:id="136" w:name="_Toc206390869"/>
      <w:bookmarkStart w:id="137" w:name="_Toc254014652"/>
      <w:bookmarkStart w:id="138" w:name="_Toc254079323"/>
      <w:r>
        <w:rPr>
          <w:rStyle w:val="CharSchNo"/>
        </w:rPr>
        <w:t>Schedule 2</w:t>
      </w:r>
      <w:r>
        <w:t> — </w:t>
      </w:r>
      <w:r>
        <w:rPr>
          <w:rStyle w:val="CharSchText"/>
        </w:rPr>
        <w:t>Forms</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MiscellaneousHeading"/>
        <w:spacing w:before="120"/>
      </w:pPr>
      <w:r>
        <w:t>Form 1</w:t>
      </w:r>
    </w:p>
    <w:p>
      <w:pPr>
        <w:pStyle w:val="yShoulderClause"/>
        <w:spacing w:after="120"/>
      </w:pPr>
      <w:r>
        <w:t>[r. </w:t>
      </w:r>
      <w:bookmarkStart w:id="139" w:name="_Hlt35420744"/>
      <w:r>
        <w:t>9</w:t>
      </w:r>
      <w:bookmarkEnd w:id="139"/>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before="0" w:after="120"/>
      </w:pPr>
      <w:r>
        <w:t>[r.</w:t>
      </w:r>
      <w:bookmarkStart w:id="140" w:name="_Hlt35060681"/>
      <w:r>
        <w:t> 10</w:t>
      </w:r>
      <w:bookmarkEnd w:id="140"/>
      <w:r>
        <w:t>]</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p>
    <w:p>
      <w:pPr>
        <w:pStyle w:val="yEdnoteschedule"/>
      </w:pPr>
      <w:r>
        <w:t>[Schedule 3 deleted in Gazette 30 Dec 2004 p. 7010.]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41" w:name="_Toc92776401"/>
      <w:bookmarkStart w:id="142" w:name="_Toc92954520"/>
      <w:bookmarkStart w:id="143" w:name="_Toc138749208"/>
      <w:bookmarkStart w:id="144" w:name="_Toc138749273"/>
      <w:bookmarkStart w:id="145" w:name="_Toc138820206"/>
      <w:bookmarkStart w:id="146" w:name="_Toc169334580"/>
      <w:bookmarkStart w:id="147" w:name="_Toc169334664"/>
      <w:bookmarkStart w:id="148" w:name="_Toc169412191"/>
      <w:bookmarkStart w:id="149" w:name="_Toc201651554"/>
      <w:bookmarkStart w:id="150" w:name="_Toc202243945"/>
      <w:bookmarkStart w:id="151" w:name="_Toc202244223"/>
      <w:bookmarkStart w:id="152" w:name="_Toc205861817"/>
      <w:bookmarkStart w:id="153" w:name="_Toc206390870"/>
      <w:bookmarkStart w:id="154" w:name="_Toc254014653"/>
      <w:bookmarkStart w:id="155" w:name="_Toc254079324"/>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(General)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56" w:name="_Toc254079325"/>
      <w: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Animal Welfare (General) Regulations 2003</w:t>
            </w:r>
          </w:p>
        </w:tc>
        <w:tc>
          <w:tcPr>
            <w:tcW w:w="1276" w:type="dxa"/>
            <w:tcBorders>
              <w:top w:val="single" w:sz="8" w:space="0" w:color="auto"/>
            </w:tcBorders>
          </w:tcPr>
          <w:p>
            <w:pPr>
              <w:pStyle w:val="nTable"/>
              <w:spacing w:after="40"/>
              <w:rPr>
                <w:sz w:val="19"/>
              </w:rPr>
            </w:pPr>
            <w:r>
              <w:rPr>
                <w:sz w:val="19"/>
              </w:rPr>
              <w:t>4 Apr 2003 p. 1077</w:t>
            </w:r>
            <w:r>
              <w:rPr>
                <w:sz w:val="19"/>
              </w:rPr>
              <w:noBreakHyphen/>
              <w:t>96</w:t>
            </w:r>
          </w:p>
        </w:tc>
        <w:tc>
          <w:tcPr>
            <w:tcW w:w="2693" w:type="dxa"/>
            <w:tcBorders>
              <w:top w:val="single" w:sz="8" w:space="0" w:color="auto"/>
            </w:tcBorders>
          </w:tcPr>
          <w:p>
            <w:pPr>
              <w:pStyle w:val="nTable"/>
              <w:spacing w:after="40"/>
              <w:rPr>
                <w:sz w:val="19"/>
              </w:rPr>
            </w:pPr>
            <w:r>
              <w:rPr>
                <w:sz w:val="19"/>
              </w:rPr>
              <w:t xml:space="preserve">4 Apr 2003 (see r. 2 and </w:t>
            </w:r>
            <w:r>
              <w:rPr>
                <w:i/>
                <w:iCs/>
                <w:sz w:val="19"/>
              </w:rPr>
              <w:t>Gazette</w:t>
            </w:r>
            <w:r>
              <w:rPr>
                <w:sz w:val="19"/>
              </w:rPr>
              <w:t xml:space="preserve"> 4 Apr 2003 p. 1023)</w:t>
            </w:r>
          </w:p>
        </w:tc>
      </w:tr>
      <w:tr>
        <w:tc>
          <w:tcPr>
            <w:tcW w:w="3119" w:type="dxa"/>
          </w:tcPr>
          <w:p>
            <w:pPr>
              <w:pStyle w:val="nTable"/>
              <w:spacing w:after="40"/>
              <w:rPr>
                <w:i/>
                <w:sz w:val="19"/>
              </w:rPr>
            </w:pPr>
            <w:r>
              <w:rPr>
                <w:i/>
                <w:sz w:val="19"/>
              </w:rPr>
              <w:t>Animal Welfare (General) Amendment Regulations 2004</w:t>
            </w:r>
          </w:p>
        </w:tc>
        <w:tc>
          <w:tcPr>
            <w:tcW w:w="1276" w:type="dxa"/>
          </w:tcPr>
          <w:p>
            <w:pPr>
              <w:pStyle w:val="nTable"/>
              <w:spacing w:after="40"/>
              <w:rPr>
                <w:sz w:val="19"/>
              </w:rPr>
            </w:pPr>
            <w:r>
              <w:rPr>
                <w:sz w:val="19"/>
              </w:rPr>
              <w:t>30 Dec 2004 p. 7010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i/>
                <w:sz w:val="19"/>
              </w:rPr>
            </w:pPr>
            <w:r>
              <w:rPr>
                <w:i/>
                <w:sz w:val="19"/>
              </w:rPr>
              <w:t>Animal Welfare (General) Amendment Regulations 2006</w:t>
            </w:r>
          </w:p>
        </w:tc>
        <w:tc>
          <w:tcPr>
            <w:tcW w:w="1276" w:type="dxa"/>
          </w:tcPr>
          <w:p>
            <w:pPr>
              <w:pStyle w:val="nTable"/>
              <w:spacing w:after="40"/>
              <w:rPr>
                <w:sz w:val="19"/>
              </w:rPr>
            </w:pPr>
            <w:r>
              <w:rPr>
                <w:sz w:val="19"/>
              </w:rPr>
              <w:t>23 Jun 2006 p. 2192</w:t>
            </w:r>
            <w:r>
              <w:rPr>
                <w:sz w:val="19"/>
              </w:rPr>
              <w:noBreakHyphen/>
              <w:t>3</w:t>
            </w:r>
          </w:p>
        </w:tc>
        <w:tc>
          <w:tcPr>
            <w:tcW w:w="2693" w:type="dxa"/>
          </w:tcPr>
          <w:p>
            <w:pPr>
              <w:pStyle w:val="nTable"/>
              <w:spacing w:after="40"/>
              <w:rPr>
                <w:sz w:val="19"/>
              </w:rPr>
            </w:pPr>
            <w:r>
              <w:rPr>
                <w:sz w:val="19"/>
              </w:rPr>
              <w:t>23 Jun 2006</w:t>
            </w:r>
          </w:p>
        </w:tc>
      </w:tr>
      <w:tr>
        <w:tc>
          <w:tcPr>
            <w:tcW w:w="3119" w:type="dxa"/>
          </w:tcPr>
          <w:p>
            <w:pPr>
              <w:pStyle w:val="nTable"/>
              <w:spacing w:after="40"/>
              <w:rPr>
                <w:i/>
                <w:sz w:val="19"/>
              </w:rPr>
            </w:pPr>
            <w:r>
              <w:rPr>
                <w:i/>
                <w:sz w:val="19"/>
              </w:rPr>
              <w:t>Animal Welfare (General) Amendment Regulations 2007</w:t>
            </w:r>
          </w:p>
        </w:tc>
        <w:tc>
          <w:tcPr>
            <w:tcW w:w="1276" w:type="dxa"/>
          </w:tcPr>
          <w:p>
            <w:pPr>
              <w:pStyle w:val="nTable"/>
              <w:spacing w:after="40"/>
              <w:rPr>
                <w:sz w:val="19"/>
              </w:rPr>
            </w:pPr>
            <w:r>
              <w:rPr>
                <w:sz w:val="19"/>
              </w:rPr>
              <w:t>12 Jun 2007 p. 2720</w:t>
            </w:r>
            <w:r>
              <w:rPr>
                <w:sz w:val="19"/>
              </w:rPr>
              <w:noBreakHyphen/>
              <w:t>1</w:t>
            </w:r>
          </w:p>
        </w:tc>
        <w:tc>
          <w:tcPr>
            <w:tcW w:w="2693" w:type="dxa"/>
          </w:tcPr>
          <w:p>
            <w:pPr>
              <w:pStyle w:val="nTable"/>
              <w:spacing w:after="40"/>
              <w:rPr>
                <w:sz w:val="19"/>
              </w:rPr>
            </w:pPr>
            <w:r>
              <w:rPr>
                <w:sz w:val="19"/>
              </w:rPr>
              <w:t>r. 1 and 2: 12 Jun 2007 (see r. 2(a));</w:t>
            </w:r>
            <w:r>
              <w:rPr>
                <w:sz w:val="19"/>
              </w:rPr>
              <w:br/>
              <w:t>Regulations other than 1 and 2: 13 Jun 2007 (see r. 2(b))</w:t>
            </w:r>
          </w:p>
        </w:tc>
      </w:tr>
      <w:tr>
        <w:tc>
          <w:tcPr>
            <w:tcW w:w="3119" w:type="dxa"/>
          </w:tcPr>
          <w:p>
            <w:pPr>
              <w:pStyle w:val="nTable"/>
              <w:spacing w:after="40"/>
              <w:rPr>
                <w:i/>
                <w:sz w:val="19"/>
              </w:rPr>
            </w:pPr>
            <w:r>
              <w:rPr>
                <w:i/>
                <w:sz w:val="19"/>
              </w:rPr>
              <w:t>Animal Welfare (General) Amendment Regulations (No. 2) 2008</w:t>
            </w:r>
          </w:p>
        </w:tc>
        <w:tc>
          <w:tcPr>
            <w:tcW w:w="1276" w:type="dxa"/>
          </w:tcPr>
          <w:p>
            <w:pPr>
              <w:pStyle w:val="nTable"/>
              <w:spacing w:after="40"/>
              <w:rPr>
                <w:sz w:val="19"/>
              </w:rPr>
            </w:pPr>
            <w:r>
              <w:rPr>
                <w:sz w:val="19"/>
              </w:rPr>
              <w:t>20 Jun 2008 p. 2719</w:t>
            </w:r>
          </w:p>
        </w:tc>
        <w:tc>
          <w:tcPr>
            <w:tcW w:w="2693" w:type="dxa"/>
          </w:tcPr>
          <w:p>
            <w:pPr>
              <w:pStyle w:val="nTable"/>
              <w:spacing w:after="40"/>
              <w:rPr>
                <w:sz w:val="19"/>
              </w:rPr>
            </w:pPr>
            <w:r>
              <w:rPr>
                <w:sz w:val="19"/>
              </w:rPr>
              <w:t>r. 1 and 2: 20 Jun 2008 (see r. 2(a));</w:t>
            </w:r>
            <w:r>
              <w:rPr>
                <w:sz w:val="19"/>
              </w:rPr>
              <w:br/>
              <w:t>Regulations other than r. 1 and 2: 21 Jun 2008 (see r. 2(b))</w:t>
            </w:r>
          </w:p>
        </w:tc>
      </w:tr>
      <w:tr>
        <w:tc>
          <w:tcPr>
            <w:tcW w:w="3119" w:type="dxa"/>
          </w:tcPr>
          <w:p>
            <w:pPr>
              <w:pStyle w:val="nTable"/>
              <w:spacing w:after="40"/>
              <w:rPr>
                <w:i/>
                <w:sz w:val="19"/>
              </w:rPr>
            </w:pPr>
            <w:r>
              <w:rPr>
                <w:i/>
                <w:sz w:val="19"/>
              </w:rPr>
              <w:t>Animal Welfare (General) Amendment Regulations (No. 3) 2008</w:t>
            </w:r>
          </w:p>
        </w:tc>
        <w:tc>
          <w:tcPr>
            <w:tcW w:w="1276" w:type="dxa"/>
          </w:tcPr>
          <w:p>
            <w:pPr>
              <w:pStyle w:val="nTable"/>
              <w:spacing w:after="40"/>
              <w:rPr>
                <w:sz w:val="19"/>
              </w:rPr>
            </w:pPr>
            <w:r>
              <w:rPr>
                <w:sz w:val="19"/>
              </w:rPr>
              <w:t>18 Jul 2008 p. 3330</w:t>
            </w:r>
          </w:p>
        </w:tc>
        <w:tc>
          <w:tcPr>
            <w:tcW w:w="2693" w:type="dxa"/>
          </w:tcPr>
          <w:p>
            <w:pPr>
              <w:pStyle w:val="nTable"/>
              <w:spacing w:after="40"/>
              <w:rPr>
                <w:sz w:val="19"/>
              </w:rPr>
            </w:pPr>
            <w:r>
              <w:rPr>
                <w:sz w:val="19"/>
              </w:rPr>
              <w:t>r. 1 and 2: 18 Jul 2008 (see r. 2(a));</w:t>
            </w:r>
            <w:r>
              <w:rPr>
                <w:sz w:val="19"/>
              </w:rPr>
              <w:br/>
              <w:t>Regulations other than r. 1 and 2: 19 Jul 2008 (see r. 2(b))</w:t>
            </w:r>
          </w:p>
        </w:tc>
      </w:tr>
      <w:tr>
        <w:trPr>
          <w:cantSplit/>
        </w:trPr>
        <w:tc>
          <w:tcPr>
            <w:tcW w:w="7088" w:type="dxa"/>
            <w:gridSpan w:val="3"/>
          </w:tcPr>
          <w:p>
            <w:pPr>
              <w:pStyle w:val="nTable"/>
              <w:spacing w:after="40"/>
              <w:rPr>
                <w:sz w:val="19"/>
              </w:rPr>
            </w:pPr>
            <w:r>
              <w:rPr>
                <w:b/>
                <w:bCs/>
                <w:sz w:val="19"/>
              </w:rPr>
              <w:t xml:space="preserve">Reprint 1:  The </w:t>
            </w:r>
            <w:r>
              <w:rPr>
                <w:b/>
                <w:bCs/>
                <w:i/>
                <w:iCs/>
                <w:sz w:val="19"/>
              </w:rPr>
              <w:t xml:space="preserve">Animal Welfare (General) Regulations 2003 </w:t>
            </w:r>
            <w:r>
              <w:rPr>
                <w:b/>
                <w:bCs/>
                <w:sz w:val="19"/>
              </w:rPr>
              <w:t xml:space="preserve">as at 21 Jul 2008 </w:t>
            </w:r>
            <w:r>
              <w:rPr>
                <w:sz w:val="19"/>
              </w:rPr>
              <w:t>(includes amendments listed above)</w:t>
            </w:r>
          </w:p>
        </w:tc>
      </w:tr>
      <w:tr>
        <w:tc>
          <w:tcPr>
            <w:tcW w:w="3119" w:type="dxa"/>
            <w:tcBorders>
              <w:bottom w:val="single" w:sz="4" w:space="0" w:color="auto"/>
            </w:tcBorders>
          </w:tcPr>
          <w:p>
            <w:pPr>
              <w:pStyle w:val="nTable"/>
              <w:spacing w:after="40"/>
              <w:rPr>
                <w:i/>
                <w:sz w:val="19"/>
              </w:rPr>
            </w:pPr>
            <w:r>
              <w:rPr>
                <w:i/>
                <w:sz w:val="19"/>
              </w:rPr>
              <w:t>Animal Welfare (General) Amendment Regulations (No. 2) 2010</w:t>
            </w:r>
          </w:p>
        </w:tc>
        <w:tc>
          <w:tcPr>
            <w:tcW w:w="1276" w:type="dxa"/>
            <w:tcBorders>
              <w:bottom w:val="single" w:sz="4" w:space="0" w:color="auto"/>
            </w:tcBorders>
          </w:tcPr>
          <w:p>
            <w:pPr>
              <w:pStyle w:val="nTable"/>
              <w:spacing w:after="40"/>
              <w:rPr>
                <w:sz w:val="19"/>
              </w:rPr>
            </w:pPr>
            <w:r>
              <w:rPr>
                <w:sz w:val="19"/>
              </w:rPr>
              <w:t>16 Feb 2010 p. 644</w:t>
            </w:r>
            <w:r>
              <w:rPr>
                <w:sz w:val="19"/>
              </w:rPr>
              <w:noBreakHyphen/>
              <w:t>5</w:t>
            </w:r>
          </w:p>
        </w:tc>
        <w:tc>
          <w:tcPr>
            <w:tcW w:w="2693" w:type="dxa"/>
            <w:tcBorders>
              <w:bottom w:val="single" w:sz="4" w:space="0" w:color="auto"/>
            </w:tcBorders>
          </w:tcPr>
          <w:p>
            <w:pPr>
              <w:pStyle w:val="nTable"/>
              <w:spacing w:after="40"/>
              <w:rPr>
                <w:sz w:val="19"/>
              </w:rPr>
            </w:pPr>
            <w:r>
              <w:rPr>
                <w:sz w:val="19"/>
              </w:rPr>
              <w:t>r. 1 and 2: 16 Feb 2010 (see r. 2(a));</w:t>
            </w:r>
            <w:r>
              <w:rPr>
                <w:sz w:val="19"/>
              </w:rPr>
              <w:br/>
              <w:t>Regulations other than r. 1 and 2: 17 Feb 2010 (see r. 2(b))</w:t>
            </w:r>
          </w:p>
        </w:tc>
      </w:tr>
    </w:tbl>
    <w:p>
      <w:pPr>
        <w:rPr>
          <w:iCs/>
        </w:rPr>
      </w:pP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7" w:name="_Toc202244225"/>
      <w:bookmarkStart w:id="158" w:name="_Toc205861819"/>
      <w:bookmarkStart w:id="159" w:name="_Toc206390872"/>
      <w:bookmarkStart w:id="160" w:name="_Toc254014655"/>
      <w:bookmarkStart w:id="161" w:name="_Toc254079326"/>
      <w:r>
        <w:rPr>
          <w:sz w:val="28"/>
        </w:rPr>
        <w:t>Defined Terms</w:t>
      </w:r>
      <w:bookmarkEnd w:id="157"/>
      <w:bookmarkEnd w:id="158"/>
      <w:bookmarkEnd w:id="159"/>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tail docking</w:t>
      </w:r>
      <w:r>
        <w:tab/>
        <w:t>14(1)</w:t>
      </w:r>
    </w:p>
    <w:p>
      <w:pPr>
        <w:pStyle w:val="DefinedTerms"/>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A18C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B8A880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17"/>
    <w:docVar w:name="WAFER_20151204144417" w:val="RemoveTrackChanges"/>
    <w:docVar w:name="WAFER_20151204144417_GUID" w:val="0430e04f-4675-4db6-9394-21e7a93e46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3172</Words>
  <Characters>19003</Characters>
  <Application>Microsoft Office Word</Application>
  <DocSecurity>0</DocSecurity>
  <Lines>633</Lines>
  <Paragraphs>395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Animal Welfare (General) Regulations 2003</vt:lpstr>
      <vt:lpstr>Western Australia</vt:lpstr>
      <vt:lpstr>Animal Welfare (General) Regulations 2003</vt:lpstr>
      <vt:lpstr>    Part 1 — Preliminary</vt:lpstr>
      <vt:lpstr>    Part 2 — Offences against animals</vt:lpstr>
      <vt:lpstr>    Part 3 — Enforcement</vt:lpstr>
      <vt:lpstr>    Part 4 — Miscellaneous</vt:lpstr>
      <vt:lpstr>    Schedule 1 — Codes of practice</vt:lpstr>
      <vt:lpstr>    Schedule 2 — Forms</vt:lpstr>
      <vt:lpstr>    Notes</vt:lpstr>
      <vt:lpstr>    Defined Terms</vt:lpstr>
    </vt:vector>
  </TitlesOfParts>
  <Manager/>
  <Company/>
  <LinksUpToDate>false</LinksUpToDate>
  <CharactersWithSpaces>21780</CharactersWithSpaces>
  <SharedDoc>false</SharedDoc>
  <HLinks>
    <vt:vector size="6" baseType="variant">
      <vt:variant>
        <vt:i4>131085</vt:i4>
      </vt:variant>
      <vt:variant>
        <vt:i4>21580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2003 - 01-b0-02</dc:title>
  <dc:subject/>
  <dc:creator/>
  <cp:keywords/>
  <dc:description/>
  <cp:lastModifiedBy>svcMRProcess</cp:lastModifiedBy>
  <cp:revision>4</cp:revision>
  <cp:lastPrinted>2010-02-15T07:53:00Z</cp:lastPrinted>
  <dcterms:created xsi:type="dcterms:W3CDTF">2015-12-04T16:37:00Z</dcterms:created>
  <dcterms:modified xsi:type="dcterms:W3CDTF">2015-12-04T16:37:00Z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20100217</vt:lpwstr>
  </property>
  <property fmtid="{D5CDD505-2E9C-101B-9397-08002B2CF9AE}" pid="4" name="DocumentType">
    <vt:lpwstr>Reg</vt:lpwstr>
  </property>
  <property fmtid="{D5CDD505-2E9C-101B-9397-08002B2CF9AE}" pid="5" name="OwlsUID">
    <vt:i4>9058</vt:i4>
  </property>
  <property fmtid="{D5CDD505-2E9C-101B-9397-08002B2CF9AE}" pid="6" name="AsAtDate">
    <vt:lpwstr>17 Feb 2010</vt:lpwstr>
  </property>
  <property fmtid="{D5CDD505-2E9C-101B-9397-08002B2CF9AE}" pid="7" name="Suffix">
    <vt:lpwstr>01-b0-02</vt:lpwstr>
  </property>
  <property fmtid="{D5CDD505-2E9C-101B-9397-08002B2CF9AE}" pid="8" name="ReprintNo">
    <vt:lpwstr>1</vt:lpwstr>
  </property>
</Properties>
</file>