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Animal Welfare Act 2002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Animal Welfare (General) Regulations 2003</w:t>
      </w:r>
      <w:r>
        <w:rPr>
          <w:sz w:val="48"/>
        </w:rPr>
        <w:fldChar w:fldCharType="end"/>
      </w:r>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_Toc256501460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_Toc256501461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(s. 19(2)(b))</w:t>
      </w:r>
      <w:r>
        <w:tab/>
      </w:r>
      <w:r>
        <w:fldChar w:fldCharType="begin"/>
      </w:r>
      <w:r>
        <w:instrText xml:space="preserve"> PAGEREF _Toc256501463 \h </w:instrText>
      </w:r>
      <w:r>
        <w:fldChar w:fldCharType="separate"/>
      </w:r>
      <w:r>
        <w:t>2</w:t>
      </w:r>
      <w:r>
        <w:fldChar w:fldCharType="end"/>
      </w:r>
    </w:p>
    <w:p>
      <w:pPr>
        <w:pStyle w:val="TOC8"/>
        <w:rPr>
          <w:sz w:val="24"/>
          <w:szCs w:val="24"/>
        </w:rPr>
      </w:pPr>
      <w:r>
        <w:rPr>
          <w:szCs w:val="24"/>
        </w:rPr>
        <w:t>4.</w:t>
      </w:r>
      <w:r>
        <w:rPr>
          <w:szCs w:val="24"/>
        </w:rPr>
        <w:tab/>
        <w:t>Prescribed acts (s. 19(2)(d) and (3)(b)(i))</w:t>
      </w:r>
      <w:r>
        <w:tab/>
      </w:r>
      <w:r>
        <w:fldChar w:fldCharType="begin"/>
      </w:r>
      <w:r>
        <w:instrText xml:space="preserve"> PAGEREF _Toc256501464 \h </w:instrText>
      </w:r>
      <w:r>
        <w:fldChar w:fldCharType="separate"/>
      </w:r>
      <w:r>
        <w:t>2</w:t>
      </w:r>
      <w:r>
        <w:fldChar w:fldCharType="end"/>
      </w:r>
    </w:p>
    <w:p>
      <w:pPr>
        <w:pStyle w:val="TOC8"/>
        <w:rPr>
          <w:sz w:val="24"/>
          <w:szCs w:val="24"/>
        </w:rPr>
      </w:pPr>
      <w:r>
        <w:rPr>
          <w:szCs w:val="24"/>
        </w:rPr>
        <w:t>5.</w:t>
      </w:r>
      <w:r>
        <w:rPr>
          <w:szCs w:val="24"/>
        </w:rPr>
        <w:tab/>
        <w:t>Pests (s. 24(2))</w:t>
      </w:r>
      <w:r>
        <w:tab/>
      </w:r>
      <w:r>
        <w:fldChar w:fldCharType="begin"/>
      </w:r>
      <w:r>
        <w:instrText xml:space="preserve"> PAGEREF _Toc256501465 \h </w:instrText>
      </w:r>
      <w:r>
        <w:fldChar w:fldCharType="separate"/>
      </w:r>
      <w:r>
        <w:t>2</w:t>
      </w:r>
      <w:r>
        <w:fldChar w:fldCharType="end"/>
      </w:r>
    </w:p>
    <w:p>
      <w:pPr>
        <w:pStyle w:val="TOC8"/>
        <w:rPr>
          <w:sz w:val="24"/>
          <w:szCs w:val="24"/>
        </w:rPr>
      </w:pPr>
      <w:r>
        <w:rPr>
          <w:szCs w:val="24"/>
        </w:rPr>
        <w:t>6.</w:t>
      </w:r>
      <w:r>
        <w:rPr>
          <w:szCs w:val="24"/>
        </w:rPr>
        <w:tab/>
        <w:t>Codes of practice adopted as defences (s. 25 and 94(2)(d))</w:t>
      </w:r>
      <w:r>
        <w:tab/>
      </w:r>
      <w:r>
        <w:fldChar w:fldCharType="begin"/>
      </w:r>
      <w:r>
        <w:instrText xml:space="preserve"> PAGEREF _Toc256501466 \h </w:instrText>
      </w:r>
      <w:r>
        <w:fldChar w:fldCharType="separate"/>
      </w:r>
      <w:r>
        <w:t>3</w:t>
      </w:r>
      <w:r>
        <w:fldChar w:fldCharType="end"/>
      </w:r>
    </w:p>
    <w:p>
      <w:pPr>
        <w:pStyle w:val="TOC8"/>
        <w:rPr>
          <w:sz w:val="24"/>
          <w:szCs w:val="24"/>
        </w:rPr>
      </w:pPr>
      <w:r>
        <w:rPr>
          <w:szCs w:val="24"/>
        </w:rPr>
        <w:t>7.</w:t>
      </w:r>
      <w:r>
        <w:rPr>
          <w:szCs w:val="24"/>
        </w:rPr>
        <w:tab/>
        <w:t>Use of devices — electric shock (s. 29)</w:t>
      </w:r>
      <w:r>
        <w:tab/>
      </w:r>
      <w:r>
        <w:fldChar w:fldCharType="begin"/>
      </w:r>
      <w:r>
        <w:instrText xml:space="preserve"> PAGEREF _Toc256501467 \h </w:instrText>
      </w:r>
      <w:r>
        <w:fldChar w:fldCharType="separate"/>
      </w:r>
      <w:r>
        <w:t>3</w:t>
      </w:r>
      <w:r>
        <w:fldChar w:fldCharType="end"/>
      </w:r>
    </w:p>
    <w:p>
      <w:pPr>
        <w:pStyle w:val="TOC8"/>
        <w:rPr>
          <w:sz w:val="24"/>
          <w:szCs w:val="24"/>
        </w:rPr>
      </w:pPr>
      <w:r>
        <w:rPr>
          <w:szCs w:val="24"/>
        </w:rPr>
        <w:t>8.</w:t>
      </w:r>
      <w:r>
        <w:rPr>
          <w:szCs w:val="24"/>
        </w:rPr>
        <w:tab/>
        <w:t>Use of devices — metal</w:t>
      </w:r>
      <w:r>
        <w:rPr>
          <w:szCs w:val="24"/>
        </w:rPr>
        <w:noBreakHyphen/>
        <w:t>jawed traps (s. 29)</w:t>
      </w:r>
      <w:r>
        <w:tab/>
      </w:r>
      <w:r>
        <w:fldChar w:fldCharType="begin"/>
      </w:r>
      <w:r>
        <w:instrText xml:space="preserve"> PAGEREF _Toc256501468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_Toc256501470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_Toc256501471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_Toc256501473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_Toc256501474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_Toc256501475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_Toc256501479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2" w:name="_Toc92776380"/>
      <w:bookmarkStart w:id="3" w:name="_Toc92954501"/>
      <w:bookmarkStart w:id="4" w:name="_Toc138749189"/>
      <w:bookmarkStart w:id="5" w:name="_Toc138749254"/>
      <w:bookmarkStart w:id="6" w:name="_Toc138820187"/>
      <w:bookmarkStart w:id="7" w:name="_Toc169334561"/>
      <w:bookmarkStart w:id="8" w:name="_Toc169334645"/>
      <w:bookmarkStart w:id="9" w:name="_Toc169412172"/>
      <w:bookmarkStart w:id="10" w:name="_Toc201651535"/>
      <w:bookmarkStart w:id="11" w:name="_Toc202243926"/>
      <w:bookmarkStart w:id="12" w:name="_Toc202244204"/>
      <w:bookmarkStart w:id="13" w:name="_Toc205861798"/>
      <w:bookmarkStart w:id="14" w:name="_Toc206390851"/>
      <w:bookmarkStart w:id="15" w:name="_Toc254014634"/>
      <w:bookmarkStart w:id="16" w:name="_Toc254079305"/>
      <w:bookmarkStart w:id="17" w:name="_Toc256501353"/>
      <w:bookmarkStart w:id="18" w:name="_Toc2565014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138749190"/>
      <w:bookmarkStart w:id="27" w:name="_Toc256501460"/>
      <w:r>
        <w:rPr>
          <w:rStyle w:val="CharSectno"/>
        </w:rPr>
        <w:t>1</w:t>
      </w:r>
      <w:r>
        <w:t>.</w:t>
      </w:r>
      <w:r>
        <w:tab/>
        <w:t>Citation</w:t>
      </w:r>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8" w:name="_Toc138749191"/>
      <w:bookmarkStart w:id="29" w:name="_Toc256501461"/>
      <w:bookmarkStart w:id="30" w:name="_Toc32989668"/>
      <w:bookmarkStart w:id="31" w:name="_Toc33930205"/>
      <w:r>
        <w:rPr>
          <w:rStyle w:val="CharSectno"/>
        </w:rPr>
        <w:t>2</w:t>
      </w:r>
      <w:r>
        <w:t>.</w:t>
      </w:r>
      <w:r>
        <w:tab/>
        <w:t>Commencement</w:t>
      </w:r>
      <w:bookmarkEnd w:id="28"/>
      <w:bookmarkEnd w:id="2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32" w:name="_Toc92776383"/>
      <w:bookmarkStart w:id="33" w:name="_Toc92954504"/>
      <w:bookmarkStart w:id="34" w:name="_Toc138749192"/>
      <w:bookmarkStart w:id="35" w:name="_Toc138749257"/>
      <w:bookmarkStart w:id="36" w:name="_Toc138820190"/>
      <w:bookmarkStart w:id="37" w:name="_Toc169334564"/>
      <w:bookmarkStart w:id="38" w:name="_Toc169334648"/>
      <w:bookmarkStart w:id="39" w:name="_Toc169412175"/>
      <w:bookmarkStart w:id="40" w:name="_Toc201651538"/>
      <w:bookmarkStart w:id="41" w:name="_Toc202243929"/>
      <w:bookmarkStart w:id="42" w:name="_Toc202244207"/>
      <w:bookmarkStart w:id="43" w:name="_Toc205861801"/>
      <w:bookmarkStart w:id="44" w:name="_Toc206390854"/>
      <w:bookmarkStart w:id="45" w:name="_Toc254014637"/>
      <w:bookmarkStart w:id="46" w:name="_Toc254079308"/>
      <w:bookmarkStart w:id="47" w:name="_Toc256501356"/>
      <w:bookmarkStart w:id="48" w:name="_Toc256501462"/>
      <w:bookmarkEnd w:id="30"/>
      <w:bookmarkEnd w:id="31"/>
      <w:r>
        <w:rPr>
          <w:rStyle w:val="CharPartNo"/>
        </w:rPr>
        <w:t>Part 2</w:t>
      </w:r>
      <w:r>
        <w:rPr>
          <w:rStyle w:val="CharDivNo"/>
        </w:rPr>
        <w:t xml:space="preserve"> </w:t>
      </w:r>
      <w:r>
        <w:t>—</w:t>
      </w:r>
      <w:r>
        <w:rPr>
          <w:rStyle w:val="CharDivText"/>
        </w:rPr>
        <w:t xml:space="preserve"> </w:t>
      </w:r>
      <w:r>
        <w:rPr>
          <w:rStyle w:val="CharPartText"/>
        </w:rPr>
        <w:t>Offences against animals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25638009"/>
      <w:bookmarkStart w:id="50" w:name="_Toc138749193"/>
      <w:bookmarkStart w:id="51" w:name="_Toc256501463"/>
      <w:r>
        <w:rPr>
          <w:rStyle w:val="CharSectno"/>
        </w:rPr>
        <w:t>3</w:t>
      </w:r>
      <w:r>
        <w:t>.</w:t>
      </w:r>
      <w:r>
        <w:tab/>
        <w:t>Inhumane devices (s. 19(2)(b))</w:t>
      </w:r>
      <w:bookmarkEnd w:id="49"/>
      <w:bookmarkEnd w:id="50"/>
      <w:bookmarkEnd w:id="51"/>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52" w:name="_Hlt35656647"/>
      <w:bookmarkStart w:id="53" w:name="_Toc138749194"/>
      <w:bookmarkStart w:id="54" w:name="_Toc256501464"/>
      <w:bookmarkEnd w:id="52"/>
      <w:r>
        <w:rPr>
          <w:rStyle w:val="CharSectno"/>
        </w:rPr>
        <w:t>4</w:t>
      </w:r>
      <w:r>
        <w:t>.</w:t>
      </w:r>
      <w:r>
        <w:tab/>
        <w:t>Prescribed acts (s. 19(2)(d) and (3)(b)(i))</w:t>
      </w:r>
      <w:bookmarkEnd w:id="53"/>
      <w:bookmarkEnd w:id="54"/>
    </w:p>
    <w:p>
      <w:pPr>
        <w:pStyle w:val="Subsection"/>
      </w:pPr>
      <w:r>
        <w:tab/>
      </w:r>
      <w:r>
        <w:tab/>
        <w:t>The administration of an electric shock to an animal in a manner that is not set out in regulation </w:t>
      </w:r>
      <w:bookmarkStart w:id="55" w:name="_Hlt35657286"/>
      <w:r>
        <w:t>7</w:t>
      </w:r>
      <w:bookmarkEnd w:id="55"/>
      <w:r>
        <w:t xml:space="preserve"> is a prescribed act for the purposes of section 19(2)(d) and (3)(b)(i) of the Act.</w:t>
      </w:r>
    </w:p>
    <w:p>
      <w:pPr>
        <w:pStyle w:val="Heading5"/>
      </w:pPr>
      <w:bookmarkStart w:id="56" w:name="_Toc138749195"/>
      <w:bookmarkStart w:id="57" w:name="_Toc256501465"/>
      <w:r>
        <w:rPr>
          <w:rStyle w:val="CharSectno"/>
        </w:rPr>
        <w:t>5</w:t>
      </w:r>
      <w:r>
        <w:t>.</w:t>
      </w:r>
      <w:r>
        <w:tab/>
        <w:t>Pests (s. 24(2))</w:t>
      </w:r>
      <w:bookmarkEnd w:id="56"/>
      <w:bookmarkEnd w:id="57"/>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58" w:name="_Toc138749196"/>
      <w:bookmarkStart w:id="59" w:name="_Toc256501466"/>
      <w:r>
        <w:rPr>
          <w:rStyle w:val="CharSectno"/>
        </w:rPr>
        <w:t>6</w:t>
      </w:r>
      <w:r>
        <w:t>.</w:t>
      </w:r>
      <w:r>
        <w:tab/>
        <w:t>Codes of practice adopted as defences (s. 25 and 94(2)(d))</w:t>
      </w:r>
      <w:bookmarkEnd w:id="58"/>
      <w:bookmarkEnd w:id="59"/>
    </w:p>
    <w:p>
      <w:pPr>
        <w:pStyle w:val="Subsection"/>
        <w:spacing w:before="120"/>
      </w:pPr>
      <w:r>
        <w:tab/>
      </w:r>
      <w:r>
        <w:tab/>
        <w:t>The codes of practice relating to the use, care, welfare, safety or health of animals set out in Schedule </w:t>
      </w:r>
      <w:bookmarkStart w:id="60" w:name="_Hlt35657019"/>
      <w:r>
        <w:t>1</w:t>
      </w:r>
      <w:bookmarkEnd w:id="60"/>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61" w:name="_Toc138749197"/>
      <w:bookmarkStart w:id="62" w:name="_Toc256501467"/>
      <w:r>
        <w:rPr>
          <w:rStyle w:val="CharSectno"/>
        </w:rPr>
        <w:t>7</w:t>
      </w:r>
      <w:r>
        <w:t>.</w:t>
      </w:r>
      <w:r>
        <w:tab/>
        <w:t>Use of devices — electric shock (s. 29)</w:t>
      </w:r>
      <w:bookmarkEnd w:id="61"/>
      <w:bookmarkEnd w:id="62"/>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63" w:name="_Toc138749198"/>
      <w:bookmarkStart w:id="64" w:name="_Toc256501468"/>
      <w:r>
        <w:rPr>
          <w:rStyle w:val="CharSectno"/>
        </w:rPr>
        <w:t>8</w:t>
      </w:r>
      <w:r>
        <w:t>.</w:t>
      </w:r>
      <w:r>
        <w:tab/>
        <w:t>Use of devices — metal</w:t>
      </w:r>
      <w:r>
        <w:noBreakHyphen/>
        <w:t>jawed traps (s. 29)</w:t>
      </w:r>
      <w:bookmarkEnd w:id="63"/>
      <w:bookmarkEnd w:id="64"/>
    </w:p>
    <w:p>
      <w:pPr>
        <w:pStyle w:val="Subsection"/>
      </w:pPr>
      <w:r>
        <w:tab/>
      </w:r>
      <w:bookmarkStart w:id="65" w:name="_Hlt35656714"/>
      <w:bookmarkEnd w:id="65"/>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66" w:name="_Hlt35656765"/>
      <w:bookmarkEnd w:id="66"/>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67" w:name="_Hlt35656840"/>
      <w:bookmarkEnd w:id="67"/>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68" w:name="_Toc92776390"/>
      <w:bookmarkStart w:id="69" w:name="_Toc92954511"/>
      <w:bookmarkStart w:id="70" w:name="_Toc138749199"/>
      <w:bookmarkStart w:id="71" w:name="_Toc138749264"/>
      <w:bookmarkStart w:id="72" w:name="_Toc138820197"/>
      <w:bookmarkStart w:id="73" w:name="_Toc169334571"/>
      <w:bookmarkStart w:id="74" w:name="_Toc169334655"/>
      <w:bookmarkStart w:id="75" w:name="_Toc169412182"/>
      <w:bookmarkStart w:id="76" w:name="_Toc201651545"/>
      <w:bookmarkStart w:id="77" w:name="_Toc202243936"/>
      <w:bookmarkStart w:id="78" w:name="_Toc202244214"/>
      <w:bookmarkStart w:id="79" w:name="_Toc205861808"/>
      <w:bookmarkStart w:id="80" w:name="_Toc206390861"/>
      <w:bookmarkStart w:id="81" w:name="_Toc254014644"/>
      <w:bookmarkStart w:id="82" w:name="_Toc254079315"/>
      <w:bookmarkStart w:id="83" w:name="_Toc256501363"/>
      <w:bookmarkStart w:id="84" w:name="_Toc256501469"/>
      <w:r>
        <w:rPr>
          <w:rStyle w:val="CharPartNo"/>
        </w:rPr>
        <w:t>Part 3</w:t>
      </w:r>
      <w:r>
        <w:rPr>
          <w:rStyle w:val="CharDivNo"/>
        </w:rPr>
        <w:t> </w:t>
      </w:r>
      <w:r>
        <w:t>—</w:t>
      </w:r>
      <w:r>
        <w:rPr>
          <w:rStyle w:val="CharDivText"/>
        </w:rPr>
        <w:t> </w:t>
      </w:r>
      <w:r>
        <w:rPr>
          <w:rStyle w:val="CharPartText"/>
        </w:rPr>
        <w:t>Enforcement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Hlt35420748"/>
      <w:bookmarkStart w:id="86" w:name="_Hlt35420875"/>
      <w:bookmarkStart w:id="87" w:name="_Toc138749200"/>
      <w:bookmarkStart w:id="88" w:name="_Toc256501470"/>
      <w:bookmarkEnd w:id="85"/>
      <w:bookmarkEnd w:id="86"/>
      <w:r>
        <w:rPr>
          <w:rStyle w:val="CharSectno"/>
        </w:rPr>
        <w:t>9</w:t>
      </w:r>
      <w:r>
        <w:t>.</w:t>
      </w:r>
      <w:r>
        <w:tab/>
        <w:t>Warrant (s. 61)</w:t>
      </w:r>
      <w:bookmarkEnd w:id="87"/>
      <w:bookmarkEnd w:id="88"/>
    </w:p>
    <w:p>
      <w:pPr>
        <w:pStyle w:val="Subsection"/>
      </w:pPr>
      <w:r>
        <w:tab/>
      </w:r>
      <w:r>
        <w:tab/>
        <w:t>The form of a warrant is Form 1 in Schedule 2.</w:t>
      </w:r>
    </w:p>
    <w:p>
      <w:pPr>
        <w:pStyle w:val="Heading5"/>
      </w:pPr>
      <w:bookmarkStart w:id="89" w:name="_Toc138749201"/>
      <w:bookmarkStart w:id="90" w:name="_Toc256501471"/>
      <w:r>
        <w:rPr>
          <w:rStyle w:val="CharSectno"/>
        </w:rPr>
        <w:t>10</w:t>
      </w:r>
      <w:r>
        <w:t>.</w:t>
      </w:r>
      <w:r>
        <w:tab/>
        <w:t>Objections (s. 72)</w:t>
      </w:r>
      <w:bookmarkEnd w:id="89"/>
      <w:bookmarkEnd w:id="90"/>
    </w:p>
    <w:p>
      <w:pPr>
        <w:pStyle w:val="Subsection"/>
      </w:pPr>
      <w:r>
        <w:tab/>
      </w:r>
      <w:r>
        <w:tab/>
        <w:t>An objection under section 72 of the Act is to be made by completing Form 2 in Schedule </w:t>
      </w:r>
      <w:bookmarkStart w:id="91" w:name="_Hlt35657081"/>
      <w:r>
        <w:t>2</w:t>
      </w:r>
      <w:bookmarkEnd w:id="91"/>
      <w:r>
        <w:t xml:space="preserve"> and lodging that completed form with the Minister within the time period set out in the Act.</w:t>
      </w:r>
    </w:p>
    <w:p>
      <w:pPr>
        <w:pStyle w:val="Ednotesection"/>
      </w:pPr>
      <w:bookmarkStart w:id="92" w:name="_Hlt35421163"/>
      <w:bookmarkEnd w:id="92"/>
      <w:r>
        <w:t>[</w:t>
      </w:r>
      <w:r>
        <w:rPr>
          <w:b/>
          <w:bCs/>
        </w:rPr>
        <w:t>11.</w:t>
      </w:r>
      <w:r>
        <w:tab/>
        <w:t>Deleted in Gazette 30 Dec 2004 p. 7010.]</w:t>
      </w:r>
    </w:p>
    <w:p>
      <w:pPr>
        <w:pStyle w:val="Heading2"/>
      </w:pPr>
      <w:bookmarkStart w:id="93" w:name="_Toc92776394"/>
      <w:bookmarkStart w:id="94" w:name="_Toc92954514"/>
      <w:bookmarkStart w:id="95" w:name="_Toc138749202"/>
      <w:bookmarkStart w:id="96" w:name="_Toc138749267"/>
      <w:bookmarkStart w:id="97" w:name="_Toc138820200"/>
      <w:bookmarkStart w:id="98" w:name="_Toc169334574"/>
      <w:bookmarkStart w:id="99" w:name="_Toc169334658"/>
      <w:bookmarkStart w:id="100" w:name="_Toc169412185"/>
      <w:bookmarkStart w:id="101" w:name="_Toc201651548"/>
      <w:bookmarkStart w:id="102" w:name="_Toc202243939"/>
      <w:bookmarkStart w:id="103" w:name="_Toc202244217"/>
      <w:bookmarkStart w:id="104" w:name="_Toc205861811"/>
      <w:bookmarkStart w:id="105" w:name="_Toc206390864"/>
      <w:bookmarkStart w:id="106" w:name="_Toc254014647"/>
      <w:bookmarkStart w:id="107" w:name="_Toc254079318"/>
      <w:bookmarkStart w:id="108" w:name="_Toc256501366"/>
      <w:bookmarkStart w:id="109" w:name="_Toc256501472"/>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Hlt33237919"/>
      <w:bookmarkStart w:id="111" w:name="_Toc138749203"/>
      <w:bookmarkStart w:id="112" w:name="_Toc256501473"/>
      <w:bookmarkStart w:id="113" w:name="_Toc32989671"/>
      <w:bookmarkStart w:id="114" w:name="_Toc33930210"/>
      <w:bookmarkEnd w:id="110"/>
      <w:r>
        <w:rPr>
          <w:rStyle w:val="CharSectno"/>
        </w:rPr>
        <w:t>12</w:t>
      </w:r>
      <w:r>
        <w:t>.</w:t>
      </w:r>
      <w:r>
        <w:tab/>
        <w:t>Disposal of forfeited property (s. 87)</w:t>
      </w:r>
      <w:bookmarkEnd w:id="111"/>
      <w:bookmarkEnd w:id="112"/>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15" w:name="_Toc138749204"/>
      <w:bookmarkStart w:id="116" w:name="_Toc256501474"/>
      <w:r>
        <w:rPr>
          <w:rStyle w:val="CharSectno"/>
        </w:rPr>
        <w:t>13</w:t>
      </w:r>
      <w:r>
        <w:t>.</w:t>
      </w:r>
      <w:r>
        <w:tab/>
        <w:t>Claim for compensation (s. 93)</w:t>
      </w:r>
      <w:bookmarkEnd w:id="115"/>
      <w:bookmarkEnd w:id="116"/>
    </w:p>
    <w:p>
      <w:pPr>
        <w:pStyle w:val="Subsection"/>
      </w:pPr>
      <w:r>
        <w:tab/>
      </w:r>
      <w:r>
        <w:tab/>
        <w:t>A claim for compensation under section 93 of the Act is to be made by completing Form 4 in Schedule </w:t>
      </w:r>
      <w:bookmarkStart w:id="117" w:name="_Hlt35657112"/>
      <w:r>
        <w:t>2</w:t>
      </w:r>
      <w:bookmarkEnd w:id="117"/>
      <w:r>
        <w:t xml:space="preserve"> and lodging that completed form with the Minister within the time period set out in the Act.</w:t>
      </w:r>
    </w:p>
    <w:p>
      <w:pPr>
        <w:pStyle w:val="Heading5"/>
      </w:pPr>
      <w:bookmarkStart w:id="118" w:name="_Toc138749205"/>
      <w:bookmarkStart w:id="119" w:name="_Toc256501475"/>
      <w:r>
        <w:rPr>
          <w:rStyle w:val="CharSectno"/>
        </w:rPr>
        <w:t>14</w:t>
      </w:r>
      <w:r>
        <w:t>.</w:t>
      </w:r>
      <w:r>
        <w:tab/>
        <w:t>Further offences (s. 94) — tail docking</w:t>
      </w:r>
      <w:bookmarkEnd w:id="118"/>
      <w:bookmarkEnd w:id="119"/>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bookmarkStart w:id="120" w:name="_Toc33953094"/>
      <w:bookmarkEnd w:id="113"/>
      <w:bookmarkEnd w:id="114"/>
      <w:r>
        <w:tab/>
        <w:t>[Regulation 14 amended in Gazette 16 Mar 2010 p. 978.]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1" w:name="_Toc138749206"/>
      <w:bookmarkStart w:id="122" w:name="_Toc138749271"/>
      <w:bookmarkStart w:id="123" w:name="_Toc138820204"/>
      <w:bookmarkStart w:id="124" w:name="_Toc169334578"/>
      <w:bookmarkStart w:id="125" w:name="_Toc169334662"/>
      <w:bookmarkStart w:id="126" w:name="_Toc169412189"/>
      <w:bookmarkStart w:id="127" w:name="_Toc201651552"/>
      <w:bookmarkStart w:id="128" w:name="_Toc202243943"/>
      <w:bookmarkStart w:id="129" w:name="_Toc202244221"/>
      <w:bookmarkStart w:id="130" w:name="_Toc205861815"/>
      <w:bookmarkStart w:id="131" w:name="_Toc206390868"/>
      <w:bookmarkStart w:id="132" w:name="_Toc254014651"/>
      <w:bookmarkStart w:id="133" w:name="_Toc254079322"/>
      <w:bookmarkStart w:id="134" w:name="_Toc256501370"/>
      <w:bookmarkStart w:id="135" w:name="_Toc256501476"/>
      <w:r>
        <w:rPr>
          <w:rStyle w:val="CharSchNo"/>
        </w:rPr>
        <w:t>Schedule 1</w:t>
      </w:r>
      <w:r>
        <w:t> — </w:t>
      </w:r>
      <w:r>
        <w:rPr>
          <w:rStyle w:val="CharSchText"/>
        </w:rPr>
        <w:t>Codes of practice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bookmarkEnd w:id="120"/>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r>
              <w:t>Buffalo — Code of practice for farmed buffalo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Cattle Transportation — Code of practice for the transportation of cattle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Circuses — Code of practice for the conduct of circuses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Deer — Code of practice for farming deer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Exhibited Animals — Code of practice for exhibited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Feral Animals — Code of practice for the capture and marketing of feral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Goats — Code of practice for goats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Horse Transportation — Code of practice for the transportation of horses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Pig Transportation — Code of practice for the transportation of pigs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Pigeons — Code of practice for pigeon keeping and racing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Poultry — Code of practice for poultry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Rabbits — Code of practice for keeping rabbits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Rodeos — Code of practice for the conduct of rodeos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Saleyards — Code of practice for animals at saleyards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Sheep — Code of practice for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Sheep Transportation — Code of practice for the transportation of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 16 Feb 2010 p. 645.]</w:t>
      </w:r>
    </w:p>
    <w:p>
      <w:pPr>
        <w:pStyle w:val="yScheduleHeading"/>
      </w:pPr>
      <w:bookmarkStart w:id="136" w:name="_Toc138749207"/>
      <w:bookmarkStart w:id="137" w:name="_Toc138749272"/>
      <w:bookmarkStart w:id="138" w:name="_Toc138820205"/>
      <w:bookmarkStart w:id="139" w:name="_Toc169334579"/>
      <w:bookmarkStart w:id="140" w:name="_Toc169334663"/>
      <w:bookmarkStart w:id="141" w:name="_Toc169412190"/>
      <w:bookmarkStart w:id="142" w:name="_Toc201651553"/>
      <w:bookmarkStart w:id="143" w:name="_Toc202243944"/>
      <w:bookmarkStart w:id="144" w:name="_Toc202244222"/>
      <w:bookmarkStart w:id="145" w:name="_Toc205861816"/>
      <w:bookmarkStart w:id="146" w:name="_Toc206390869"/>
      <w:bookmarkStart w:id="147" w:name="_Toc254014652"/>
      <w:bookmarkStart w:id="148" w:name="_Toc254079323"/>
      <w:bookmarkStart w:id="149" w:name="_Toc256501371"/>
      <w:bookmarkStart w:id="150" w:name="_Toc256501477"/>
      <w:r>
        <w:rPr>
          <w:rStyle w:val="CharSchNo"/>
        </w:rPr>
        <w:t>Schedule 2</w:t>
      </w:r>
      <w:r>
        <w:t> — </w:t>
      </w:r>
      <w:r>
        <w:rPr>
          <w:rStyle w:val="CharSchText"/>
        </w:rPr>
        <w:t>Forms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MiscellaneousHeading"/>
        <w:spacing w:before="120"/>
      </w:pPr>
      <w:r>
        <w:t>Form 1</w:t>
      </w:r>
    </w:p>
    <w:p>
      <w:pPr>
        <w:pStyle w:val="yShoulderClause"/>
        <w:spacing w:after="120"/>
      </w:pPr>
      <w:r>
        <w:t>[r. </w:t>
      </w:r>
      <w:bookmarkStart w:id="151" w:name="_Hlt35420744"/>
      <w:r>
        <w:t>9</w:t>
      </w:r>
      <w:bookmarkEnd w:id="151"/>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52" w:name="_Hlt35060681"/>
      <w:r>
        <w:t> 10</w:t>
      </w:r>
      <w:bookmarkEnd w:id="152"/>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53" w:name="_Toc92776401"/>
      <w:bookmarkStart w:id="154" w:name="_Toc92954520"/>
      <w:bookmarkStart w:id="155" w:name="_Toc138749208"/>
      <w:bookmarkStart w:id="156" w:name="_Toc138749273"/>
      <w:bookmarkStart w:id="157" w:name="_Toc138820206"/>
      <w:bookmarkStart w:id="158" w:name="_Toc169334580"/>
      <w:bookmarkStart w:id="159" w:name="_Toc169334664"/>
      <w:bookmarkStart w:id="160" w:name="_Toc169412191"/>
      <w:bookmarkStart w:id="161" w:name="_Toc201651554"/>
      <w:bookmarkStart w:id="162" w:name="_Toc202243945"/>
      <w:bookmarkStart w:id="163" w:name="_Toc202244223"/>
      <w:bookmarkStart w:id="164" w:name="_Toc205861817"/>
      <w:bookmarkStart w:id="165" w:name="_Toc206390870"/>
      <w:bookmarkStart w:id="166" w:name="_Toc254014653"/>
      <w:bookmarkStart w:id="167" w:name="_Toc254079324"/>
      <w:bookmarkStart w:id="168" w:name="_Toc256501372"/>
      <w:bookmarkStart w:id="169" w:name="_Toc256501478"/>
      <w:r>
        <w:t>Notes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70" w:name="_Toc256501479"/>
      <w:r>
        <w:t>Compilation table</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c>
          <w:tcPr>
            <w:tcW w:w="3119" w:type="dxa"/>
          </w:tcPr>
          <w:p>
            <w:pPr>
              <w:pStyle w:val="nTable"/>
              <w:spacing w:after="40"/>
              <w:rPr>
                <w:i/>
                <w:sz w:val="19"/>
              </w:rPr>
            </w:pPr>
            <w:r>
              <w:rPr>
                <w:i/>
                <w:sz w:val="19"/>
              </w:rPr>
              <w:t>Animal Welfare (General) Amendment Regulations (No. 2) 2010</w:t>
            </w:r>
          </w:p>
        </w:tc>
        <w:tc>
          <w:tcPr>
            <w:tcW w:w="1276" w:type="dxa"/>
          </w:tcPr>
          <w:p>
            <w:pPr>
              <w:pStyle w:val="nTable"/>
              <w:spacing w:after="40"/>
              <w:rPr>
                <w:sz w:val="19"/>
              </w:rPr>
            </w:pPr>
            <w:r>
              <w:rPr>
                <w:sz w:val="19"/>
              </w:rPr>
              <w:t>16 Feb 2010 p. 644</w:t>
            </w:r>
            <w:r>
              <w:rPr>
                <w:sz w:val="19"/>
              </w:rPr>
              <w:noBreakHyphen/>
              <w:t>5</w:t>
            </w:r>
          </w:p>
        </w:tc>
        <w:tc>
          <w:tcPr>
            <w:tcW w:w="2693" w:type="dxa"/>
          </w:tcPr>
          <w:p>
            <w:pPr>
              <w:pStyle w:val="nTable"/>
              <w:spacing w:after="40"/>
              <w:rPr>
                <w:sz w:val="19"/>
              </w:rPr>
            </w:pPr>
            <w:r>
              <w:rPr>
                <w:sz w:val="19"/>
              </w:rPr>
              <w:t>r. 1 and 2: 16 Feb 2010 (see r. 2(a));</w:t>
            </w:r>
            <w:r>
              <w:rPr>
                <w:sz w:val="19"/>
              </w:rPr>
              <w:br/>
              <w:t>Regulations other than r. 1 and 2: 17 Feb 2010 (see r. 2(b))</w:t>
            </w:r>
          </w:p>
        </w:tc>
      </w:tr>
      <w:tr>
        <w:tc>
          <w:tcPr>
            <w:tcW w:w="3119" w:type="dxa"/>
            <w:tcBorders>
              <w:bottom w:val="single" w:sz="4" w:space="0" w:color="auto"/>
            </w:tcBorders>
          </w:tcPr>
          <w:p>
            <w:pPr>
              <w:pStyle w:val="nTable"/>
              <w:spacing w:after="40"/>
              <w:rPr>
                <w:i/>
                <w:sz w:val="19"/>
              </w:rPr>
            </w:pPr>
            <w:r>
              <w:rPr>
                <w:i/>
                <w:sz w:val="19"/>
              </w:rPr>
              <w:t>Animal Welfare (General) Amendment Regulations 2010</w:t>
            </w:r>
          </w:p>
        </w:tc>
        <w:tc>
          <w:tcPr>
            <w:tcW w:w="1276" w:type="dxa"/>
            <w:tcBorders>
              <w:bottom w:val="single" w:sz="4" w:space="0" w:color="auto"/>
            </w:tcBorders>
          </w:tcPr>
          <w:p>
            <w:pPr>
              <w:pStyle w:val="nTable"/>
              <w:spacing w:after="40"/>
              <w:rPr>
                <w:sz w:val="19"/>
              </w:rPr>
            </w:pPr>
            <w:r>
              <w:rPr>
                <w:sz w:val="19"/>
              </w:rPr>
              <w:t>16 Mar 2010 p. 977-8</w:t>
            </w:r>
          </w:p>
        </w:tc>
        <w:tc>
          <w:tcPr>
            <w:tcW w:w="2693" w:type="dxa"/>
            <w:tcBorders>
              <w:bottom w:val="single" w:sz="4" w:space="0" w:color="auto"/>
            </w:tcBorders>
          </w:tcPr>
          <w:p>
            <w:pPr>
              <w:pStyle w:val="nTable"/>
              <w:spacing w:after="40"/>
              <w:rPr>
                <w:sz w:val="19"/>
              </w:rPr>
            </w:pPr>
            <w:r>
              <w:rPr>
                <w:sz w:val="19"/>
              </w:rPr>
              <w:t>r. 1 and 2: 16 Mar 2010 (see r. 2(a));</w:t>
            </w:r>
            <w:r>
              <w:rPr>
                <w:sz w:val="19"/>
              </w:rPr>
              <w:br/>
              <w:t>Regulations other than r. 1 and 2: 17 Mar 2010 (see r. 2(b))</w:t>
            </w:r>
          </w:p>
        </w:tc>
      </w:tr>
    </w:tbl>
    <w:p>
      <w:pPr>
        <w:rPr>
          <w:iCs/>
        </w:rPr>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1" w:name="_Toc202244225"/>
      <w:bookmarkStart w:id="172" w:name="_Toc205861819"/>
      <w:bookmarkStart w:id="173" w:name="_Toc206390872"/>
      <w:bookmarkStart w:id="174" w:name="_Toc254014655"/>
      <w:bookmarkStart w:id="175" w:name="_Toc254079326"/>
      <w:bookmarkStart w:id="176" w:name="_Toc256501374"/>
      <w:bookmarkStart w:id="177" w:name="_Toc256501480"/>
      <w:r>
        <w:rPr>
          <w:sz w:val="28"/>
        </w:rPr>
        <w:t>Defined Terms</w:t>
      </w:r>
      <w:bookmarkEnd w:id="171"/>
      <w:bookmarkEnd w:id="172"/>
      <w:bookmarkEnd w:id="173"/>
      <w:bookmarkEnd w:id="174"/>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tail docking</w:t>
      </w:r>
      <w:r>
        <w:tab/>
        <w:t>14(1)</w:t>
      </w:r>
    </w:p>
    <w:p>
      <w:pPr>
        <w:pStyle w:val="DefinedTerms"/>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24"/>
    <w:docVar w:name="WAFER_20151204144424" w:val="RemoveTrackChanges"/>
    <w:docVar w:name="WAFER_20151204144424_GUID" w:val="a39893ff-57bf-420c-9070-22bd3151d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3192</Words>
  <Characters>19057</Characters>
  <Application>Microsoft Office Word</Application>
  <DocSecurity>0</DocSecurity>
  <Lines>635</Lines>
  <Paragraphs>397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21852</CharactersWithSpaces>
  <SharedDoc>false</SharedDoc>
  <HLinks>
    <vt:vector size="6" baseType="variant">
      <vt:variant>
        <vt:i4>131085</vt:i4>
      </vt:variant>
      <vt:variant>
        <vt:i4>21481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2003 - 01-c0-02</dc:title>
  <dc:subject/>
  <dc:creator/>
  <cp:keywords/>
  <dc:description/>
  <cp:lastModifiedBy>svcMRProcess</cp:lastModifiedBy>
  <cp:revision>4</cp:revision>
  <cp:lastPrinted>2010-02-15T07:53:00Z</cp:lastPrinted>
  <dcterms:created xsi:type="dcterms:W3CDTF">2015-12-04T16:38:00Z</dcterms:created>
  <dcterms:modified xsi:type="dcterms:W3CDTF">2015-12-04T16:38:00Z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20100317</vt:lpwstr>
  </property>
  <property fmtid="{D5CDD505-2E9C-101B-9397-08002B2CF9AE}" pid="4" name="DocumentType">
    <vt:lpwstr>Reg</vt:lpwstr>
  </property>
  <property fmtid="{D5CDD505-2E9C-101B-9397-08002B2CF9AE}" pid="5" name="OwlsUID">
    <vt:i4>9058</vt:i4>
  </property>
  <property fmtid="{D5CDD505-2E9C-101B-9397-08002B2CF9AE}" pid="6" name="AsAtDate">
    <vt:lpwstr>17 Mar 2010</vt:lpwstr>
  </property>
  <property fmtid="{D5CDD505-2E9C-101B-9397-08002B2CF9AE}" pid="7" name="Suffix">
    <vt:lpwstr>01-c0-02</vt:lpwstr>
  </property>
  <property fmtid="{D5CDD505-2E9C-101B-9397-08002B2CF9AE}" pid="8" name="ReprintNo">
    <vt:lpwstr>1</vt:lpwstr>
  </property>
</Properties>
</file>