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WA"/>
      </w:pPr>
      <w:bookmarkStart w:id="0" w:name="_GoBack"/>
      <w:bookmarkEnd w:id="0"/>
      <w:r>
        <w:t>Western Australia</w:t>
      </w:r>
    </w:p>
    <w:p>
      <w:pPr>
        <w:pStyle w:val="PrincipalActReg"/>
        <w:spacing w:before="2600" w:after="0"/>
      </w:pPr>
      <w:r>
        <w:t>Water Agencies (Powers) Act 1984</w:t>
      </w:r>
    </w:p>
    <w:p>
      <w:pPr>
        <w:pStyle w:val="NameofActRegPage1"/>
        <w:spacing w:before="1800" w:after="4200"/>
      </w:pPr>
      <w:r>
        <w:fldChar w:fldCharType="begin"/>
      </w:r>
      <w:r>
        <w:instrText xml:space="preserve"> STYLEREF "Name Of Act/Reg"</w:instrText>
      </w:r>
      <w:r>
        <w:fldChar w:fldCharType="separate"/>
      </w:r>
      <w:r>
        <w:rPr>
          <w:noProof/>
        </w:rPr>
        <w:t>Water Agencies (Water Use) By-laws 2010</w:t>
      </w:r>
      <w:r>
        <w:fldChar w:fldCharType="end"/>
      </w:r>
    </w:p>
    <w:p>
      <w:pPr>
        <w:jc w:val="center"/>
        <w:rPr>
          <w:b/>
        </w:rPr>
        <w:sectPr>
          <w:headerReference w:type="even" r:id="rId8"/>
          <w:headerReference w:type="default" r:id="rId9"/>
          <w:footerReference w:type="even" r:id="rId10"/>
          <w:footerReference w:type="default" r:id="rId11"/>
          <w:headerReference w:type="first" r:id="rId12"/>
          <w:footerReference w:type="first" r:id="rId13"/>
          <w:endnotePr>
            <w:numFmt w:val="decimal"/>
          </w:endnotePr>
          <w:pgSz w:w="11906" w:h="16838" w:code="9"/>
          <w:pgMar w:top="2376" w:right="2405" w:bottom="3542" w:left="2405" w:header="706" w:footer="3380" w:gutter="0"/>
          <w:pgNumType w:fmt="lowerRoman" w:start="1"/>
          <w:cols w:space="720"/>
          <w:noEndnote/>
          <w:titlePg/>
          <w:docGrid w:linePitch="326"/>
        </w:sectPr>
      </w:pPr>
    </w:p>
    <w:p>
      <w:pPr>
        <w:pStyle w:val="WA"/>
      </w:pPr>
      <w:r>
        <w:lastRenderedPageBreak/>
        <w:t>Western Australia</w:t>
      </w:r>
    </w:p>
    <w:p>
      <w:pPr>
        <w:pStyle w:val="NameofActRegPage1"/>
      </w:pPr>
      <w:r>
        <w:fldChar w:fldCharType="begin"/>
      </w:r>
      <w:r>
        <w:instrText xml:space="preserve"> STYLEREF "Name Of Act/Reg"</w:instrText>
      </w:r>
      <w:r>
        <w:fldChar w:fldCharType="separate"/>
      </w:r>
      <w:r>
        <w:rPr>
          <w:noProof/>
        </w:rPr>
        <w:t>Water Agencies (Water Use) By-laws 2010</w:t>
      </w:r>
      <w:r>
        <w:fldChar w:fldCharType="end"/>
      </w:r>
    </w:p>
    <w:p>
      <w:pPr>
        <w:pStyle w:val="Arrangement"/>
      </w:pPr>
      <w:r>
        <w:t>CONTENTS</w:t>
      </w:r>
    </w:p>
    <w:p>
      <w:pPr>
        <w:pStyle w:val="TOC2"/>
        <w:tabs>
          <w:tab w:val="right" w:leader="dot" w:pos="7086"/>
        </w:tabs>
        <w:rPr>
          <w:b w:val="0"/>
          <w:sz w:val="24"/>
          <w:szCs w:val="24"/>
        </w:rPr>
      </w:pPr>
      <w:r>
        <w:fldChar w:fldCharType="begin"/>
      </w:r>
      <w:r>
        <w:instrText xml:space="preserve"> TOC \t </w:instrText>
      </w:r>
      <w:r>
        <w:rPr>
          <w:szCs w:val="24"/>
          <w:lang w:val="en-US"/>
        </w:rPr>
        <w:instrText xml:space="preserve">"Heading 2,2,yScheduleHeading,2,yHeading 2,2,nHeading 2,2,zHeading 2,3,zyScheduleHeading,3,zyHeading 2,3,Heading 3,4,yHeading 3,4,zHeading 3,5,zyHeading 3,5,Heading 4,6,yHeading 4,6,zHeading 4,7,zyHeading 4,7,Heading 5,8,yHeading 5,8,nHeading 3,8,zHeading 5,9,zyHeading 5,9" </w:instrText>
      </w:r>
      <w:r>
        <w:instrText>\n "2</w:instrText>
      </w:r>
      <w:r>
        <w:noBreakHyphen/>
        <w:instrText xml:space="preserve">7" \w \* MERGEFORMAT </w:instrText>
      </w:r>
      <w:r>
        <w:fldChar w:fldCharType="separate"/>
      </w:r>
      <w:r>
        <w:rPr>
          <w:szCs w:val="30"/>
        </w:rPr>
        <w:t>Part 1 — Preliminary</w:t>
      </w:r>
    </w:p>
    <w:p>
      <w:pPr>
        <w:pStyle w:val="TOC8"/>
        <w:rPr>
          <w:sz w:val="24"/>
          <w:szCs w:val="24"/>
        </w:rPr>
      </w:pPr>
      <w:r>
        <w:rPr>
          <w:szCs w:val="24"/>
        </w:rPr>
        <w:t>1.</w:t>
      </w:r>
      <w:r>
        <w:rPr>
          <w:szCs w:val="24"/>
        </w:rPr>
        <w:tab/>
        <w:t>Citation</w:t>
      </w:r>
      <w:r>
        <w:tab/>
      </w:r>
      <w:r>
        <w:fldChar w:fldCharType="begin"/>
      </w:r>
      <w:r>
        <w:instrText xml:space="preserve"> PAGEREF _Toc256424727 \h </w:instrText>
      </w:r>
      <w:r>
        <w:fldChar w:fldCharType="separate"/>
      </w:r>
      <w:r>
        <w:t>1</w:t>
      </w:r>
      <w:r>
        <w:fldChar w:fldCharType="end"/>
      </w:r>
    </w:p>
    <w:p>
      <w:pPr>
        <w:pStyle w:val="TOC8"/>
        <w:rPr>
          <w:sz w:val="24"/>
          <w:szCs w:val="24"/>
        </w:rPr>
      </w:pPr>
      <w:r>
        <w:rPr>
          <w:szCs w:val="24"/>
        </w:rPr>
        <w:t>2</w:t>
      </w:r>
      <w:r>
        <w:rPr>
          <w:spacing w:val="-2"/>
          <w:szCs w:val="24"/>
        </w:rPr>
        <w:t>.</w:t>
      </w:r>
      <w:r>
        <w:rPr>
          <w:spacing w:val="-2"/>
          <w:szCs w:val="24"/>
        </w:rPr>
        <w:tab/>
        <w:t>Commencement</w:t>
      </w:r>
      <w:r>
        <w:tab/>
      </w:r>
      <w:r>
        <w:fldChar w:fldCharType="begin"/>
      </w:r>
      <w:r>
        <w:instrText xml:space="preserve"> PAGEREF _Toc256424728 \h </w:instrText>
      </w:r>
      <w:r>
        <w:fldChar w:fldCharType="separate"/>
      </w:r>
      <w:r>
        <w:t>1</w:t>
      </w:r>
      <w:r>
        <w:fldChar w:fldCharType="end"/>
      </w:r>
    </w:p>
    <w:p>
      <w:pPr>
        <w:pStyle w:val="TOC2"/>
        <w:tabs>
          <w:tab w:val="right" w:leader="dot" w:pos="7086"/>
        </w:tabs>
        <w:rPr>
          <w:b w:val="0"/>
          <w:sz w:val="24"/>
          <w:szCs w:val="24"/>
        </w:rPr>
      </w:pPr>
      <w:r>
        <w:rPr>
          <w:szCs w:val="26"/>
        </w:rPr>
        <w:t>Notes</w:t>
      </w:r>
    </w:p>
    <w:p>
      <w:pPr>
        <w:pStyle w:val="TOC8"/>
        <w:rPr>
          <w:sz w:val="24"/>
          <w:szCs w:val="24"/>
        </w:rPr>
      </w:pPr>
      <w:r>
        <w:rPr>
          <w:szCs w:val="24"/>
        </w:rPr>
        <w:tab/>
        <w:t>Compilation table</w:t>
      </w:r>
      <w:r>
        <w:tab/>
      </w:r>
      <w:r>
        <w:fldChar w:fldCharType="begin"/>
      </w:r>
      <w:r>
        <w:instrText xml:space="preserve"> PAGEREF _Toc256424730 \h </w:instrText>
      </w:r>
      <w:r>
        <w:fldChar w:fldCharType="separate"/>
      </w:r>
      <w:r>
        <w:t>2</w:t>
      </w:r>
      <w:r>
        <w:fldChar w:fldCharType="end"/>
      </w:r>
    </w:p>
    <w:p>
      <w:pPr>
        <w:pStyle w:val="TOC8"/>
        <w:rPr>
          <w:sz w:val="24"/>
        </w:rPr>
      </w:pPr>
      <w:r>
        <w:tab/>
        <w:t>Provisions that have not come into operation</w:t>
      </w:r>
      <w:r>
        <w:tab/>
      </w:r>
      <w:r>
        <w:fldChar w:fldCharType="begin"/>
      </w:r>
      <w:r>
        <w:instrText xml:space="preserve"> PAGEREF _Toc256424731 \h </w:instrText>
      </w:r>
      <w:r>
        <w:fldChar w:fldCharType="separate"/>
      </w:r>
      <w:r>
        <w:t>2</w:t>
      </w:r>
      <w:r>
        <w:fldChar w:fldCharType="end"/>
      </w:r>
    </w:p>
    <w:p>
      <w:pPr>
        <w:pStyle w:val="TOC8"/>
      </w:pPr>
      <w:r>
        <w:fldChar w:fldCharType="end"/>
      </w:r>
    </w:p>
    <w:p>
      <w:pPr>
        <w:pStyle w:val="NoteHeading"/>
      </w:pP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r>
        <w:rPr>
          <w:rStyle w:val="CharSDivNo"/>
        </w:rPr>
        <w:t xml:space="preserve"> </w:t>
      </w:r>
      <w:r>
        <w:rPr>
          <w:rStyle w:val="CharSDivText"/>
        </w:rPr>
        <w:t xml:space="preserve"> </w:t>
      </w:r>
      <w:r>
        <w:rPr>
          <w:rStyle w:val="CharSClsNo"/>
        </w:rPr>
        <w:t xml:space="preserve"> </w:t>
      </w:r>
    </w:p>
    <w:p>
      <w:pPr>
        <w:pStyle w:val="NoteHeading"/>
        <w:sectPr>
          <w:headerReference w:type="even" r:id="rId14"/>
          <w:headerReference w:type="default" r:id="rId15"/>
          <w:footerReference w:type="even" r:id="rId16"/>
          <w:footerReference w:type="default" r:id="rId17"/>
          <w:footerReference w:type="first" r:id="rId18"/>
          <w:endnotePr>
            <w:numFmt w:val="decimal"/>
          </w:endnotePr>
          <w:pgSz w:w="11906" w:h="16838" w:code="9"/>
          <w:pgMar w:top="2376" w:right="2405" w:bottom="3542" w:left="2405" w:header="706" w:footer="3380" w:gutter="0"/>
          <w:pgNumType w:fmt="lowerRoman" w:start="1"/>
          <w:cols w:space="720"/>
          <w:noEndnote/>
          <w:titlePg/>
          <w:docGrid w:linePitch="326"/>
        </w:sectPr>
      </w:pPr>
    </w:p>
    <w:p>
      <w:pPr>
        <w:pStyle w:val="WA"/>
      </w:pPr>
      <w:r>
        <w:t>Western Australia</w:t>
      </w:r>
    </w:p>
    <w:p>
      <w:pPr>
        <w:pStyle w:val="PrincipalActReg"/>
      </w:pPr>
      <w:r>
        <w:t>Water Agencies (Powers) Act 1984</w:t>
      </w:r>
    </w:p>
    <w:p>
      <w:pPr>
        <w:pStyle w:val="NameofActReg"/>
      </w:pPr>
      <w:r>
        <w:t>Water Agencies (Water Use) By-laws 2010</w:t>
      </w:r>
    </w:p>
    <w:p>
      <w:pPr>
        <w:pStyle w:val="Heading2"/>
        <w:pageBreakBefore w:val="0"/>
        <w:spacing w:before="320"/>
      </w:pPr>
      <w:bookmarkStart w:id="1" w:name="_Toc175156471"/>
      <w:bookmarkStart w:id="2" w:name="_Toc175475248"/>
      <w:bookmarkStart w:id="3" w:name="_Toc175478425"/>
      <w:bookmarkStart w:id="4" w:name="_Toc175730332"/>
      <w:bookmarkStart w:id="5" w:name="_Toc176255625"/>
      <w:bookmarkStart w:id="6" w:name="_Toc176328325"/>
      <w:bookmarkStart w:id="7" w:name="_Toc176343425"/>
      <w:bookmarkStart w:id="8" w:name="_Toc176349329"/>
      <w:bookmarkStart w:id="9" w:name="_Toc176365922"/>
      <w:bookmarkStart w:id="10" w:name="_Toc176366584"/>
      <w:bookmarkStart w:id="11" w:name="_Toc176403125"/>
      <w:bookmarkStart w:id="12" w:name="_Toc176409137"/>
      <w:bookmarkStart w:id="13" w:name="_Toc176410493"/>
      <w:bookmarkStart w:id="14" w:name="_Toc176411235"/>
      <w:bookmarkStart w:id="15" w:name="_Toc176411541"/>
      <w:bookmarkStart w:id="16" w:name="_Toc176411781"/>
      <w:bookmarkStart w:id="17" w:name="_Toc176579490"/>
      <w:bookmarkStart w:id="18" w:name="_Toc176587777"/>
      <w:bookmarkStart w:id="19" w:name="_Toc176588384"/>
      <w:bookmarkStart w:id="20" w:name="_Toc176759290"/>
      <w:bookmarkStart w:id="21" w:name="_Toc176759744"/>
      <w:bookmarkStart w:id="22" w:name="_Toc176760533"/>
      <w:bookmarkStart w:id="23" w:name="_Toc176762018"/>
      <w:bookmarkStart w:id="24" w:name="_Toc176763393"/>
      <w:bookmarkStart w:id="25" w:name="_Toc176764394"/>
      <w:bookmarkStart w:id="26" w:name="_Toc176861263"/>
      <w:bookmarkStart w:id="27" w:name="_Toc176861329"/>
      <w:bookmarkStart w:id="28" w:name="_Toc177624788"/>
      <w:bookmarkStart w:id="29" w:name="_Toc177624836"/>
      <w:bookmarkStart w:id="30" w:name="_Toc177625434"/>
      <w:bookmarkStart w:id="31" w:name="_Toc177625807"/>
      <w:bookmarkStart w:id="32" w:name="_Toc177626183"/>
      <w:bookmarkStart w:id="33" w:name="_Toc177626748"/>
      <w:bookmarkStart w:id="34" w:name="_Toc177627582"/>
      <w:bookmarkStart w:id="35" w:name="_Toc177783983"/>
      <w:bookmarkStart w:id="36" w:name="_Toc177786577"/>
      <w:bookmarkStart w:id="37" w:name="_Toc177788436"/>
      <w:bookmarkStart w:id="38" w:name="_Toc177788474"/>
      <w:bookmarkStart w:id="39" w:name="_Toc177792364"/>
      <w:bookmarkStart w:id="40" w:name="_Toc177793467"/>
      <w:bookmarkStart w:id="41" w:name="_Toc177793738"/>
      <w:bookmarkStart w:id="42" w:name="_Toc177794816"/>
      <w:bookmarkStart w:id="43" w:name="_Toc177797278"/>
      <w:bookmarkStart w:id="44" w:name="_Toc177799381"/>
      <w:bookmarkStart w:id="45" w:name="_Toc177799645"/>
      <w:bookmarkStart w:id="46" w:name="_Toc177800058"/>
      <w:bookmarkStart w:id="47" w:name="_Toc177800131"/>
      <w:bookmarkStart w:id="48" w:name="_Toc177809187"/>
      <w:bookmarkStart w:id="49" w:name="_Toc177809277"/>
      <w:bookmarkStart w:id="50" w:name="_Toc177811563"/>
      <w:bookmarkStart w:id="51" w:name="_Toc177812234"/>
      <w:bookmarkStart w:id="52" w:name="_Toc177812272"/>
      <w:bookmarkStart w:id="53" w:name="_Toc177869914"/>
      <w:bookmarkStart w:id="54" w:name="_Toc178659541"/>
      <w:bookmarkStart w:id="55" w:name="_Toc178661905"/>
      <w:bookmarkStart w:id="56" w:name="_Toc178741866"/>
      <w:bookmarkStart w:id="57" w:name="_Toc178756166"/>
      <w:bookmarkStart w:id="58" w:name="_Toc179340861"/>
      <w:bookmarkStart w:id="59" w:name="_Toc248218209"/>
      <w:bookmarkStart w:id="60" w:name="_Toc253407937"/>
      <w:bookmarkStart w:id="61" w:name="_Toc253409346"/>
      <w:bookmarkStart w:id="62" w:name="_Toc253409413"/>
      <w:bookmarkStart w:id="63" w:name="_Toc253409804"/>
      <w:bookmarkStart w:id="64" w:name="_Toc253409890"/>
      <w:bookmarkStart w:id="65" w:name="_Toc253411480"/>
      <w:bookmarkStart w:id="66" w:name="_Toc253412775"/>
      <w:bookmarkStart w:id="67" w:name="_Toc253412829"/>
      <w:bookmarkStart w:id="68" w:name="_Toc253472295"/>
      <w:bookmarkStart w:id="69" w:name="_Toc253482318"/>
      <w:bookmarkStart w:id="70" w:name="_Toc253729587"/>
      <w:bookmarkStart w:id="71" w:name="_Toc253729640"/>
      <w:bookmarkStart w:id="72" w:name="_Toc253730809"/>
      <w:bookmarkStart w:id="73" w:name="_Toc253730862"/>
      <w:bookmarkStart w:id="74" w:name="_Toc253730915"/>
      <w:bookmarkStart w:id="75" w:name="_Toc254182161"/>
      <w:bookmarkStart w:id="76" w:name="_Toc254182466"/>
      <w:bookmarkStart w:id="77" w:name="_Toc254183039"/>
      <w:bookmarkStart w:id="78" w:name="_Toc254183142"/>
      <w:bookmarkStart w:id="79" w:name="_Toc254190516"/>
      <w:bookmarkStart w:id="80" w:name="_Toc254263009"/>
      <w:bookmarkStart w:id="81" w:name="_Toc254263586"/>
      <w:bookmarkStart w:id="82" w:name="_Toc254333734"/>
      <w:bookmarkStart w:id="83" w:name="_Toc256422665"/>
      <w:bookmarkStart w:id="84" w:name="_Toc256423584"/>
      <w:bookmarkStart w:id="85" w:name="_Toc256424126"/>
      <w:bookmarkStart w:id="86" w:name="_Toc256424726"/>
      <w:r>
        <w:rPr>
          <w:rStyle w:val="CharPartNo"/>
        </w:rPr>
        <w:t>Part 1</w:t>
      </w:r>
      <w:r>
        <w:rPr>
          <w:rStyle w:val="CharDivNo"/>
        </w:rPr>
        <w:t> </w:t>
      </w:r>
      <w:r>
        <w:t>—</w:t>
      </w:r>
      <w:r>
        <w:rPr>
          <w:rStyle w:val="CharDivText"/>
        </w:rPr>
        <w:t> </w:t>
      </w:r>
      <w:r>
        <w:rPr>
          <w:rStyle w:val="CharPartText"/>
        </w:rPr>
        <w:t>Preliminary</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p>
    <w:p>
      <w:pPr>
        <w:pStyle w:val="Heading5"/>
      </w:pPr>
      <w:bookmarkStart w:id="87" w:name="_Toc423332722"/>
      <w:bookmarkStart w:id="88" w:name="_Toc425219441"/>
      <w:bookmarkStart w:id="89" w:name="_Toc426249308"/>
      <w:bookmarkStart w:id="90" w:name="_Toc449924704"/>
      <w:bookmarkStart w:id="91" w:name="_Toc449947722"/>
      <w:bookmarkStart w:id="92" w:name="_Toc454185713"/>
      <w:bookmarkStart w:id="93" w:name="_Toc515958686"/>
      <w:bookmarkStart w:id="94" w:name="_Toc254333735"/>
      <w:bookmarkStart w:id="95" w:name="_Toc256422666"/>
      <w:bookmarkStart w:id="96" w:name="_Toc256424727"/>
      <w:r>
        <w:rPr>
          <w:rStyle w:val="CharSectno"/>
        </w:rPr>
        <w:t>1</w:t>
      </w:r>
      <w:r>
        <w:t>.</w:t>
      </w:r>
      <w:r>
        <w:tab/>
        <w:t>Citation</w:t>
      </w:r>
      <w:bookmarkEnd w:id="87"/>
      <w:bookmarkEnd w:id="88"/>
      <w:bookmarkEnd w:id="89"/>
      <w:bookmarkEnd w:id="90"/>
      <w:bookmarkEnd w:id="91"/>
      <w:bookmarkEnd w:id="92"/>
      <w:bookmarkEnd w:id="93"/>
      <w:bookmarkEnd w:id="94"/>
      <w:bookmarkEnd w:id="95"/>
      <w:bookmarkEnd w:id="96"/>
    </w:p>
    <w:p>
      <w:pPr>
        <w:pStyle w:val="Subsection"/>
        <w:ind w:right="990"/>
        <w:rPr>
          <w:i/>
        </w:rPr>
      </w:pPr>
      <w:r>
        <w:tab/>
      </w:r>
      <w:r>
        <w:tab/>
      </w:r>
      <w:bookmarkStart w:id="97" w:name="Start_Cursor"/>
      <w:bookmarkEnd w:id="97"/>
      <w:r>
        <w:rPr>
          <w:spacing w:val="-2"/>
        </w:rPr>
        <w:t>These</w:t>
      </w:r>
      <w:r>
        <w:t xml:space="preserve"> </w:t>
      </w:r>
      <w:r>
        <w:rPr>
          <w:spacing w:val="-2"/>
        </w:rPr>
        <w:t>by-laws</w:t>
      </w:r>
      <w:r>
        <w:t xml:space="preserve"> are the </w:t>
      </w:r>
      <w:r>
        <w:rPr>
          <w:i/>
        </w:rPr>
        <w:t>Water Agencies (Water Use) By-laws 2010</w:t>
      </w:r>
      <w:r>
        <w:t>.</w:t>
      </w:r>
    </w:p>
    <w:p>
      <w:pPr>
        <w:pStyle w:val="Heading5"/>
        <w:rPr>
          <w:spacing w:val="-2"/>
        </w:rPr>
      </w:pPr>
      <w:bookmarkStart w:id="98" w:name="_Toc423332723"/>
      <w:bookmarkStart w:id="99" w:name="_Toc425219442"/>
      <w:bookmarkStart w:id="100" w:name="_Toc426249309"/>
      <w:bookmarkStart w:id="101" w:name="_Toc449924705"/>
      <w:bookmarkStart w:id="102" w:name="_Toc449947723"/>
      <w:bookmarkStart w:id="103" w:name="_Toc454185714"/>
      <w:bookmarkStart w:id="104" w:name="_Toc515958687"/>
      <w:bookmarkStart w:id="105" w:name="_Toc254333736"/>
      <w:bookmarkStart w:id="106" w:name="_Toc256422667"/>
      <w:bookmarkStart w:id="107" w:name="_Toc256424728"/>
      <w:r>
        <w:rPr>
          <w:rStyle w:val="CharSectno"/>
        </w:rPr>
        <w:t>2</w:t>
      </w:r>
      <w:r>
        <w:rPr>
          <w:spacing w:val="-2"/>
        </w:rPr>
        <w:t>.</w:t>
      </w:r>
      <w:r>
        <w:rPr>
          <w:spacing w:val="-2"/>
        </w:rPr>
        <w:tab/>
        <w:t>Commencement</w:t>
      </w:r>
      <w:bookmarkEnd w:id="98"/>
      <w:bookmarkEnd w:id="99"/>
      <w:bookmarkEnd w:id="100"/>
      <w:bookmarkEnd w:id="101"/>
      <w:bookmarkEnd w:id="102"/>
      <w:bookmarkEnd w:id="103"/>
      <w:bookmarkEnd w:id="104"/>
      <w:bookmarkEnd w:id="105"/>
      <w:bookmarkEnd w:id="106"/>
      <w:bookmarkEnd w:id="107"/>
    </w:p>
    <w:p>
      <w:pPr>
        <w:pStyle w:val="Subsection"/>
        <w:rPr>
          <w:spacing w:val="-2"/>
        </w:rPr>
      </w:pPr>
      <w:r>
        <w:rPr>
          <w:spacing w:val="-2"/>
        </w:rPr>
        <w:tab/>
      </w:r>
      <w:r>
        <w:rPr>
          <w:spacing w:val="-2"/>
        </w:rPr>
        <w:tab/>
        <w:t>These by-laws come into operation as follows</w:t>
      </w:r>
      <w:r>
        <w:t> —</w:t>
      </w:r>
    </w:p>
    <w:p>
      <w:pPr>
        <w:pStyle w:val="Indenta"/>
      </w:pPr>
      <w:r>
        <w:tab/>
        <w:t>(a)</w:t>
      </w:r>
      <w:r>
        <w:tab/>
        <w:t>by</w:t>
      </w:r>
      <w:r>
        <w:noBreakHyphen/>
        <w:t>laws 1 and 2 — on the day on which these by</w:t>
      </w:r>
      <w:r>
        <w:noBreakHyphen/>
        <w:t xml:space="preserve">laws are published in the </w:t>
      </w:r>
      <w:r>
        <w:rPr>
          <w:i/>
          <w:iCs/>
        </w:rPr>
        <w:t>Gazette</w:t>
      </w:r>
      <w:r>
        <w:t>;</w:t>
      </w:r>
    </w:p>
    <w:p>
      <w:pPr>
        <w:pStyle w:val="Indenta"/>
      </w:pPr>
      <w:r>
        <w:tab/>
        <w:t>(b)</w:t>
      </w:r>
      <w:r>
        <w:tab/>
        <w:t>the rest of the by</w:t>
      </w:r>
      <w:r>
        <w:noBreakHyphen/>
        <w:t>laws — on 1 April 2010.</w:t>
      </w:r>
    </w:p>
    <w:p>
      <w:pPr>
        <w:pStyle w:val="Ednotesection"/>
      </w:pPr>
      <w:r>
        <w:t>[</w:t>
      </w:r>
      <w:r>
        <w:rPr>
          <w:b/>
          <w:bCs/>
        </w:rPr>
        <w:t>3.</w:t>
      </w:r>
      <w:r>
        <w:tab/>
        <w:t>Has not come into operation</w:t>
      </w:r>
      <w:r>
        <w:rPr>
          <w:vertAlign w:val="superscript"/>
        </w:rPr>
        <w:t> 2</w:t>
      </w:r>
      <w:r>
        <w:t>.]</w:t>
      </w:r>
    </w:p>
    <w:p>
      <w:pPr>
        <w:pStyle w:val="Ednotepart"/>
      </w:pPr>
      <w:r>
        <w:t>[Parts 2-4</w:t>
      </w:r>
      <w:r>
        <w:rPr>
          <w:b/>
          <w:bCs/>
        </w:rPr>
        <w:t xml:space="preserve"> </w:t>
      </w:r>
      <w:r>
        <w:t>have not come into operation</w:t>
      </w:r>
      <w:r>
        <w:rPr>
          <w:vertAlign w:val="superscript"/>
        </w:rPr>
        <w:t> 2</w:t>
      </w:r>
      <w:r>
        <w:t>.]</w:t>
      </w:r>
    </w:p>
    <w:p>
      <w:pPr>
        <w:pStyle w:val="Ednotesection"/>
      </w:pPr>
      <w:r>
        <w:t>[Schedule 1-3 have not come into operation</w:t>
      </w:r>
      <w:r>
        <w:rPr>
          <w:vertAlign w:val="superscript"/>
        </w:rPr>
        <w:t> 2</w:t>
      </w:r>
      <w:r>
        <w:t>.]</w:t>
      </w:r>
    </w:p>
    <w:p>
      <w:pPr>
        <w:pStyle w:val="Ednotesection"/>
      </w:pPr>
    </w:p>
    <w:p>
      <w:pPr>
        <w:sectPr>
          <w:headerReference w:type="even" r:id="rId19"/>
          <w:headerReference w:type="default" r:id="rId20"/>
          <w:footerReference w:type="even" r:id="rId21"/>
          <w:footerReference w:type="default" r:id="rId22"/>
          <w:headerReference w:type="first" r:id="rId23"/>
          <w:footerReference w:type="first" r:id="rId24"/>
          <w:endnotePr>
            <w:numFmt w:val="decimal"/>
          </w:endnotePr>
          <w:pgSz w:w="11906" w:h="16838" w:code="9"/>
          <w:pgMar w:top="2376" w:right="2405" w:bottom="3542" w:left="2405" w:header="706" w:footer="3380" w:gutter="0"/>
          <w:pgNumType w:start="1"/>
          <w:cols w:space="720"/>
          <w:noEndnote/>
          <w:titlePg/>
          <w:docGrid w:linePitch="326"/>
        </w:sectPr>
      </w:pPr>
      <w:bookmarkStart w:id="108" w:name="UpToHere"/>
      <w:bookmarkEnd w:id="108"/>
    </w:p>
    <w:p>
      <w:pPr>
        <w:pStyle w:val="nHeading2"/>
      </w:pPr>
      <w:bookmarkStart w:id="109" w:name="_Toc113695922"/>
      <w:bookmarkStart w:id="110" w:name="_Toc256424129"/>
      <w:bookmarkStart w:id="111" w:name="_Toc256424729"/>
      <w:r>
        <w:t>Notes</w:t>
      </w:r>
      <w:bookmarkEnd w:id="109"/>
      <w:bookmarkEnd w:id="110"/>
      <w:bookmarkEnd w:id="111"/>
    </w:p>
    <w:p>
      <w:pPr>
        <w:pStyle w:val="nSubsection"/>
        <w:rPr>
          <w:snapToGrid w:val="0"/>
        </w:rPr>
      </w:pPr>
      <w:r>
        <w:rPr>
          <w:snapToGrid w:val="0"/>
          <w:vertAlign w:val="superscript"/>
        </w:rPr>
        <w:t>1</w:t>
      </w:r>
      <w:r>
        <w:rPr>
          <w:snapToGrid w:val="0"/>
        </w:rPr>
        <w:tab/>
        <w:t xml:space="preserve">This is a compilation of the </w:t>
      </w:r>
      <w:r>
        <w:rPr>
          <w:i/>
        </w:rPr>
        <w:t>Water Agencies (Water Use) By-laws 2010.</w:t>
      </w:r>
      <w:r>
        <w:t xml:space="preserve">  </w:t>
      </w:r>
      <w:r>
        <w:rPr>
          <w:snapToGrid w:val="0"/>
        </w:rPr>
        <w:t>The following table contains information about those by-laws</w:t>
      </w:r>
      <w:r>
        <w:rPr>
          <w:snapToGrid w:val="0"/>
          <w:vertAlign w:val="superscript"/>
        </w:rPr>
        <w:t> 1a</w:t>
      </w:r>
      <w:r>
        <w:rPr>
          <w:snapToGrid w:val="0"/>
        </w:rPr>
        <w:t>.</w:t>
      </w:r>
    </w:p>
    <w:p>
      <w:pPr>
        <w:pStyle w:val="nHeading3"/>
      </w:pPr>
      <w:bookmarkStart w:id="112" w:name="_Toc70311430"/>
      <w:bookmarkStart w:id="113" w:name="_Toc113695923"/>
      <w:bookmarkStart w:id="114" w:name="_Toc256424730"/>
      <w:r>
        <w:t>Compilation table</w:t>
      </w:r>
      <w:bookmarkEnd w:id="112"/>
      <w:bookmarkEnd w:id="113"/>
      <w:bookmarkEnd w:id="114"/>
    </w:p>
    <w:tbl>
      <w:tblPr>
        <w:tblW w:w="0" w:type="auto"/>
        <w:tblInd w:w="28" w:type="dxa"/>
        <w:tblBorders>
          <w:top w:val="single" w:sz="8" w:space="0" w:color="auto"/>
          <w:bottom w:val="single" w:sz="4" w:space="0" w:color="auto"/>
          <w:insideH w:val="single" w:sz="8" w:space="0" w:color="auto"/>
        </w:tblBorders>
        <w:tblLayout w:type="fixed"/>
        <w:tblCellMar>
          <w:left w:w="56" w:type="dxa"/>
          <w:right w:w="56" w:type="dxa"/>
        </w:tblCellMar>
        <w:tblLook w:val="0000" w:firstRow="0" w:lastRow="0" w:firstColumn="0" w:lastColumn="0" w:noHBand="0" w:noVBand="0"/>
      </w:tblPr>
      <w:tblGrid>
        <w:gridCol w:w="3118"/>
        <w:gridCol w:w="1276"/>
        <w:gridCol w:w="2693"/>
      </w:tblGrid>
      <w:tr>
        <w:trPr>
          <w:tblHeader/>
        </w:trPr>
        <w:tc>
          <w:tcPr>
            <w:tcW w:w="3118" w:type="dxa"/>
          </w:tcPr>
          <w:p>
            <w:pPr>
              <w:pStyle w:val="nTable"/>
              <w:spacing w:after="40"/>
              <w:rPr>
                <w:b/>
                <w:sz w:val="19"/>
              </w:rPr>
            </w:pPr>
            <w:r>
              <w:rPr>
                <w:b/>
                <w:sz w:val="19"/>
              </w:rPr>
              <w:t>Citation</w:t>
            </w:r>
          </w:p>
        </w:tc>
        <w:tc>
          <w:tcPr>
            <w:tcW w:w="1276" w:type="dxa"/>
          </w:tcPr>
          <w:p>
            <w:pPr>
              <w:pStyle w:val="nTable"/>
              <w:spacing w:after="40"/>
              <w:rPr>
                <w:b/>
                <w:sz w:val="19"/>
              </w:rPr>
            </w:pPr>
            <w:r>
              <w:rPr>
                <w:b/>
                <w:sz w:val="19"/>
              </w:rPr>
              <w:t>Gazettal</w:t>
            </w:r>
          </w:p>
        </w:tc>
        <w:tc>
          <w:tcPr>
            <w:tcW w:w="2693" w:type="dxa"/>
          </w:tcPr>
          <w:p>
            <w:pPr>
              <w:pStyle w:val="nTable"/>
              <w:spacing w:after="40"/>
              <w:rPr>
                <w:b/>
                <w:sz w:val="19"/>
              </w:rPr>
            </w:pPr>
            <w:r>
              <w:rPr>
                <w:b/>
                <w:sz w:val="19"/>
              </w:rPr>
              <w:t>Commencement</w:t>
            </w:r>
          </w:p>
        </w:tc>
      </w:tr>
      <w:tr>
        <w:tc>
          <w:tcPr>
            <w:tcW w:w="3118" w:type="dxa"/>
          </w:tcPr>
          <w:p>
            <w:pPr>
              <w:pStyle w:val="nTable"/>
              <w:spacing w:after="40"/>
              <w:rPr>
                <w:sz w:val="19"/>
              </w:rPr>
            </w:pPr>
            <w:r>
              <w:rPr>
                <w:i/>
                <w:sz w:val="19"/>
              </w:rPr>
              <w:t>Water Agencies (Water Use) By</w:t>
            </w:r>
            <w:r>
              <w:rPr>
                <w:i/>
                <w:sz w:val="19"/>
              </w:rPr>
              <w:noBreakHyphen/>
              <w:t xml:space="preserve">laws 2010 </w:t>
            </w:r>
            <w:r>
              <w:rPr>
                <w:sz w:val="19"/>
              </w:rPr>
              <w:t>bl. 1 and 2</w:t>
            </w:r>
          </w:p>
        </w:tc>
        <w:tc>
          <w:tcPr>
            <w:tcW w:w="1276" w:type="dxa"/>
          </w:tcPr>
          <w:p>
            <w:pPr>
              <w:pStyle w:val="nTable"/>
              <w:spacing w:after="40"/>
              <w:rPr>
                <w:sz w:val="19"/>
              </w:rPr>
            </w:pPr>
            <w:r>
              <w:rPr>
                <w:sz w:val="19"/>
              </w:rPr>
              <w:t>16 Mar 2010 p. 999-1031</w:t>
            </w:r>
          </w:p>
        </w:tc>
        <w:tc>
          <w:tcPr>
            <w:tcW w:w="2693" w:type="dxa"/>
          </w:tcPr>
          <w:p>
            <w:pPr>
              <w:pStyle w:val="nTable"/>
              <w:spacing w:after="40"/>
              <w:rPr>
                <w:sz w:val="19"/>
              </w:rPr>
            </w:pPr>
            <w:r>
              <w:rPr>
                <w:sz w:val="19"/>
              </w:rPr>
              <w:t>16 Mar 2010 (see bl. 2(a))</w:t>
            </w:r>
          </w:p>
        </w:tc>
      </w:tr>
    </w:tbl>
    <w:p>
      <w:pPr>
        <w:pStyle w:val="nSubsection"/>
        <w:tabs>
          <w:tab w:val="clear" w:pos="454"/>
          <w:tab w:val="left" w:pos="567"/>
        </w:tabs>
        <w:spacing w:before="120"/>
        <w:ind w:left="567" w:hanging="567"/>
        <w:rPr>
          <w:snapToGrid w:val="0"/>
          <w:vertAlign w:val="superscript"/>
        </w:rPr>
      </w:pPr>
    </w:p>
    <w:p>
      <w:pPr>
        <w:pStyle w:val="nSubsection"/>
        <w:tabs>
          <w:tab w:val="clear" w:pos="454"/>
          <w:tab w:val="left" w:pos="567"/>
        </w:tabs>
        <w:spacing w:before="120"/>
        <w:ind w:left="567" w:hanging="567"/>
        <w:rPr>
          <w:snapToGrid w:val="0"/>
        </w:rPr>
      </w:pPr>
      <w:r>
        <w:rPr>
          <w:snapToGrid w:val="0"/>
          <w:vertAlign w:val="superscript"/>
        </w:rPr>
        <w:t>1a</w:t>
      </w:r>
      <w:r>
        <w:rPr>
          <w:snapToGrid w:val="0"/>
        </w:rPr>
        <w:tab/>
        <w:t>On the date as at which this compilation was prepared, provisions referred to in the following table had not come into operation and were therefore not included in this compilation.  For the text of the provisions see the endnotes referred to in the table.</w:t>
      </w:r>
    </w:p>
    <w:p>
      <w:pPr>
        <w:pStyle w:val="nHeading3"/>
      </w:pPr>
      <w:bookmarkStart w:id="115" w:name="_Toc7405065"/>
      <w:bookmarkStart w:id="116" w:name="_Toc256424731"/>
      <w:r>
        <w:t>Provisions that have not come into operation</w:t>
      </w:r>
      <w:bookmarkEnd w:id="115"/>
      <w:bookmarkEnd w:id="116"/>
    </w:p>
    <w:tbl>
      <w:tblPr>
        <w:tblW w:w="0" w:type="auto"/>
        <w:tblInd w:w="28" w:type="dxa"/>
        <w:tblBorders>
          <w:top w:val="single" w:sz="8" w:space="0" w:color="auto"/>
          <w:bottom w:val="single" w:sz="4" w:space="0" w:color="auto"/>
          <w:insideH w:val="single" w:sz="8" w:space="0" w:color="auto"/>
        </w:tblBorders>
        <w:tblLayout w:type="fixed"/>
        <w:tblCellMar>
          <w:left w:w="56" w:type="dxa"/>
          <w:right w:w="56" w:type="dxa"/>
        </w:tblCellMar>
        <w:tblLook w:val="0000" w:firstRow="0" w:lastRow="0" w:firstColumn="0" w:lastColumn="0" w:noHBand="0" w:noVBand="0"/>
      </w:tblPr>
      <w:tblGrid>
        <w:gridCol w:w="3118"/>
        <w:gridCol w:w="1276"/>
        <w:gridCol w:w="2693"/>
      </w:tblGrid>
      <w:tr>
        <w:trPr>
          <w:tblHeader/>
        </w:trPr>
        <w:tc>
          <w:tcPr>
            <w:tcW w:w="3118" w:type="dxa"/>
          </w:tcPr>
          <w:p>
            <w:pPr>
              <w:pStyle w:val="nTable"/>
              <w:spacing w:after="40"/>
              <w:rPr>
                <w:b/>
                <w:sz w:val="19"/>
              </w:rPr>
            </w:pPr>
            <w:r>
              <w:rPr>
                <w:b/>
                <w:sz w:val="19"/>
              </w:rPr>
              <w:t>Citation</w:t>
            </w:r>
          </w:p>
        </w:tc>
        <w:tc>
          <w:tcPr>
            <w:tcW w:w="1276" w:type="dxa"/>
          </w:tcPr>
          <w:p>
            <w:pPr>
              <w:pStyle w:val="nTable"/>
              <w:spacing w:after="40"/>
              <w:rPr>
                <w:b/>
                <w:sz w:val="19"/>
              </w:rPr>
            </w:pPr>
            <w:r>
              <w:rPr>
                <w:b/>
                <w:sz w:val="19"/>
              </w:rPr>
              <w:t>Gazettal</w:t>
            </w:r>
          </w:p>
        </w:tc>
        <w:tc>
          <w:tcPr>
            <w:tcW w:w="2693" w:type="dxa"/>
          </w:tcPr>
          <w:p>
            <w:pPr>
              <w:pStyle w:val="nTable"/>
              <w:spacing w:after="40"/>
              <w:rPr>
                <w:b/>
                <w:sz w:val="19"/>
              </w:rPr>
            </w:pPr>
            <w:r>
              <w:rPr>
                <w:b/>
                <w:sz w:val="19"/>
              </w:rPr>
              <w:t>Commencement</w:t>
            </w:r>
          </w:p>
        </w:tc>
      </w:tr>
      <w:tr>
        <w:tc>
          <w:tcPr>
            <w:tcW w:w="3118" w:type="dxa"/>
          </w:tcPr>
          <w:p>
            <w:pPr>
              <w:pStyle w:val="nTable"/>
              <w:spacing w:after="40"/>
              <w:rPr>
                <w:iCs/>
                <w:sz w:val="19"/>
              </w:rPr>
            </w:pPr>
            <w:r>
              <w:rPr>
                <w:i/>
                <w:sz w:val="19"/>
              </w:rPr>
              <w:t>Water Agencies (Water Use) By</w:t>
            </w:r>
            <w:r>
              <w:rPr>
                <w:i/>
                <w:sz w:val="19"/>
              </w:rPr>
              <w:noBreakHyphen/>
              <w:t>laws 2010</w:t>
            </w:r>
            <w:r>
              <w:rPr>
                <w:iCs/>
                <w:sz w:val="19"/>
              </w:rPr>
              <w:t xml:space="preserve"> bl. 3, Pt. 2</w:t>
            </w:r>
            <w:r>
              <w:rPr>
                <w:iCs/>
                <w:sz w:val="19"/>
              </w:rPr>
              <w:noBreakHyphen/>
              <w:t>4 and Sch. 1</w:t>
            </w:r>
            <w:r>
              <w:rPr>
                <w:iCs/>
                <w:sz w:val="19"/>
              </w:rPr>
              <w:noBreakHyphen/>
              <w:t>3</w:t>
            </w:r>
            <w:r>
              <w:rPr>
                <w:iCs/>
                <w:sz w:val="19"/>
                <w:vertAlign w:val="superscript"/>
              </w:rPr>
              <w:t> 2</w:t>
            </w:r>
          </w:p>
        </w:tc>
        <w:tc>
          <w:tcPr>
            <w:tcW w:w="1276" w:type="dxa"/>
          </w:tcPr>
          <w:p>
            <w:pPr>
              <w:pStyle w:val="nTable"/>
              <w:spacing w:after="40"/>
              <w:rPr>
                <w:sz w:val="19"/>
              </w:rPr>
            </w:pPr>
            <w:r>
              <w:rPr>
                <w:sz w:val="19"/>
              </w:rPr>
              <w:t>16 Mar 2010 p. 999-1031</w:t>
            </w:r>
          </w:p>
        </w:tc>
        <w:tc>
          <w:tcPr>
            <w:tcW w:w="2693" w:type="dxa"/>
          </w:tcPr>
          <w:p>
            <w:pPr>
              <w:pStyle w:val="nTable"/>
              <w:spacing w:after="40"/>
              <w:rPr>
                <w:sz w:val="19"/>
              </w:rPr>
            </w:pPr>
            <w:r>
              <w:rPr>
                <w:sz w:val="19"/>
              </w:rPr>
              <w:t>1 Apr 2010 (see bl. 2(b))</w:t>
            </w:r>
          </w:p>
        </w:tc>
      </w:tr>
    </w:tbl>
    <w:p/>
    <w:p>
      <w:pPr>
        <w:pStyle w:val="nSubsection"/>
        <w:keepLines/>
        <w:spacing w:before="0"/>
        <w:rPr>
          <w:snapToGrid w:val="0"/>
        </w:rPr>
      </w:pPr>
      <w:bookmarkStart w:id="117" w:name="_Toc177869917"/>
      <w:bookmarkStart w:id="118" w:name="_Toc248218212"/>
      <w:bookmarkStart w:id="119" w:name="_Toc254333737"/>
      <w:r>
        <w:rPr>
          <w:snapToGrid w:val="0"/>
          <w:vertAlign w:val="superscript"/>
        </w:rPr>
        <w:t>2</w:t>
      </w:r>
      <w:r>
        <w:rPr>
          <w:snapToGrid w:val="0"/>
        </w:rPr>
        <w:tab/>
      </w:r>
      <w:r>
        <w:t xml:space="preserve">On the date as at which this compilation was prepared, </w:t>
      </w:r>
      <w:r>
        <w:rPr>
          <w:snapToGrid w:val="0"/>
        </w:rPr>
        <w:t xml:space="preserve">the </w:t>
      </w:r>
      <w:r>
        <w:rPr>
          <w:i/>
          <w:snapToGrid w:val="0"/>
        </w:rPr>
        <w:t>Water Agencies (Water Use) By</w:t>
      </w:r>
      <w:r>
        <w:rPr>
          <w:i/>
          <w:snapToGrid w:val="0"/>
        </w:rPr>
        <w:noBreakHyphen/>
        <w:t>laws 2010</w:t>
      </w:r>
      <w:r>
        <w:rPr>
          <w:snapToGrid w:val="0"/>
        </w:rPr>
        <w:t xml:space="preserve"> bl. 3, Pt. 2</w:t>
      </w:r>
      <w:r>
        <w:rPr>
          <w:snapToGrid w:val="0"/>
        </w:rPr>
        <w:noBreakHyphen/>
        <w:t>4 and Sch. 1</w:t>
      </w:r>
      <w:r>
        <w:rPr>
          <w:snapToGrid w:val="0"/>
        </w:rPr>
        <w:noBreakHyphen/>
        <w:t>3 had not come into operation.  They read as follows:</w:t>
      </w:r>
    </w:p>
    <w:p>
      <w:pPr>
        <w:pStyle w:val="BlankOpen"/>
        <w:rPr>
          <w:snapToGrid w:val="0"/>
        </w:rPr>
      </w:pPr>
    </w:p>
    <w:p>
      <w:pPr>
        <w:pStyle w:val="nzHeading5"/>
        <w:outlineLvl w:val="0"/>
      </w:pPr>
      <w:r>
        <w:rPr>
          <w:rStyle w:val="CharSectno"/>
        </w:rPr>
        <w:t>3</w:t>
      </w:r>
      <w:r>
        <w:t>.</w:t>
      </w:r>
      <w:r>
        <w:tab/>
        <w:t>Terms used</w:t>
      </w:r>
      <w:bookmarkEnd w:id="117"/>
      <w:bookmarkEnd w:id="118"/>
      <w:bookmarkEnd w:id="119"/>
    </w:p>
    <w:p>
      <w:pPr>
        <w:pStyle w:val="nzSubsection"/>
      </w:pPr>
      <w:r>
        <w:tab/>
      </w:r>
      <w:r>
        <w:tab/>
        <w:t>In these by</w:t>
      </w:r>
      <w:r>
        <w:noBreakHyphen/>
        <w:t>laws, unless the contrary intention appears —</w:t>
      </w:r>
    </w:p>
    <w:p>
      <w:pPr>
        <w:pStyle w:val="nzDefstart"/>
      </w:pPr>
      <w:r>
        <w:tab/>
      </w:r>
      <w:r>
        <w:rPr>
          <w:rStyle w:val="CharDefText"/>
        </w:rPr>
        <w:t>Area</w:t>
      </w:r>
      <w:r>
        <w:t xml:space="preserve"> means Area 1, Area 2, Area 3 or Area 4;</w:t>
      </w:r>
    </w:p>
    <w:p>
      <w:pPr>
        <w:pStyle w:val="nzDefstart"/>
      </w:pPr>
      <w:r>
        <w:tab/>
      </w:r>
      <w:r>
        <w:rPr>
          <w:rStyle w:val="CharDefText"/>
        </w:rPr>
        <w:t>Area 1</w:t>
      </w:r>
      <w:r>
        <w:t xml:space="preserve"> means that part of the State that is north of the line —</w:t>
      </w:r>
    </w:p>
    <w:p>
      <w:pPr>
        <w:pStyle w:val="nzDefpara"/>
      </w:pPr>
      <w:r>
        <w:tab/>
        <w:t>(a)</w:t>
      </w:r>
      <w:r>
        <w:tab/>
        <w:t>starting at latitude - 27.428° and longitude 114.063°; and</w:t>
      </w:r>
    </w:p>
    <w:p>
      <w:pPr>
        <w:pStyle w:val="nzDefpara"/>
      </w:pPr>
      <w:r>
        <w:tab/>
        <w:t>(b)</w:t>
      </w:r>
      <w:r>
        <w:tab/>
        <w:t>extending to latitude - 30.117° and longitude 117.081°; and</w:t>
      </w:r>
    </w:p>
    <w:p>
      <w:pPr>
        <w:pStyle w:val="nzDefpara"/>
      </w:pPr>
      <w:r>
        <w:tab/>
        <w:t>(c)</w:t>
      </w:r>
      <w:r>
        <w:tab/>
        <w:t>extending to latitude - 30.117° and longitude 128.993°,</w:t>
      </w:r>
    </w:p>
    <w:p>
      <w:pPr>
        <w:pStyle w:val="nzDefstart"/>
      </w:pPr>
      <w:r>
        <w:tab/>
        <w:t>as illustrated for information purposes on the maps shown in Schedule 1;</w:t>
      </w:r>
    </w:p>
    <w:p>
      <w:pPr>
        <w:pStyle w:val="nzDefstart"/>
      </w:pPr>
      <w:r>
        <w:tab/>
      </w:r>
      <w:r>
        <w:rPr>
          <w:rStyle w:val="CharDefText"/>
        </w:rPr>
        <w:t>Area 2</w:t>
      </w:r>
      <w:r>
        <w:t xml:space="preserve"> means that part of the State that is south of the line —</w:t>
      </w:r>
    </w:p>
    <w:p>
      <w:pPr>
        <w:pStyle w:val="nzDefpara"/>
      </w:pPr>
      <w:r>
        <w:tab/>
        <w:t>(a)</w:t>
      </w:r>
      <w:r>
        <w:tab/>
        <w:t>starting at latitude - 27.428° and longitude 114.063°; and</w:t>
      </w:r>
    </w:p>
    <w:p>
      <w:pPr>
        <w:pStyle w:val="nzDefpara"/>
      </w:pPr>
      <w:r>
        <w:tab/>
        <w:t>(b)</w:t>
      </w:r>
      <w:r>
        <w:tab/>
        <w:t>extending to latitude - 30.117° and longitude 117.081°; and</w:t>
      </w:r>
    </w:p>
    <w:p>
      <w:pPr>
        <w:pStyle w:val="nzDefpara"/>
      </w:pPr>
      <w:r>
        <w:tab/>
        <w:t>(c)</w:t>
      </w:r>
      <w:r>
        <w:tab/>
        <w:t>extending to latitude - 30.117° and longitude 128.993°,</w:t>
      </w:r>
    </w:p>
    <w:p>
      <w:pPr>
        <w:pStyle w:val="nzDefstart"/>
      </w:pPr>
      <w:r>
        <w:tab/>
        <w:t>except Area 3 or Area 4, as illustrated for information purposes on the maps shown in Schedule 1;</w:t>
      </w:r>
    </w:p>
    <w:p>
      <w:pPr>
        <w:pStyle w:val="nzDefstart"/>
      </w:pPr>
      <w:r>
        <w:tab/>
      </w:r>
      <w:r>
        <w:rPr>
          <w:rStyle w:val="CharDefText"/>
        </w:rPr>
        <w:t>Area 3</w:t>
      </w:r>
      <w:r>
        <w:t xml:space="preserve"> means the local government districts of Bayswater, Mandurah, Murray, Joondalup, Wanneroo, Swan, Perth, Canning, Belmont, Vincent, Kwinana, Rockingham, Cockburn, Armadale, Gosnells, Peppermint Grove, Stirling, Fremantle, Claremont, Subiaco, Cottesloe, East Fremantle, Victoria Park, South Perth, Mundaring, Kalamunda, Melville, Serpentine</w:t>
      </w:r>
      <w:r>
        <w:noBreakHyphen/>
        <w:t>Jarrahdale, Nedlands, Mosman Park, Bassendean and Cambridge, as illustrated for information purposes on the maps shown in Schedule 1;</w:t>
      </w:r>
    </w:p>
    <w:p>
      <w:pPr>
        <w:pStyle w:val="nzDefstart"/>
      </w:pPr>
      <w:r>
        <w:tab/>
      </w:r>
      <w:r>
        <w:rPr>
          <w:rStyle w:val="CharDefText"/>
        </w:rPr>
        <w:t>Area 4</w:t>
      </w:r>
      <w:r>
        <w:t xml:space="preserve"> means the local government districts of Dardanup, Bunbury, Cranbrook, Donnybrook</w:t>
      </w:r>
      <w:r>
        <w:noBreakHyphen/>
        <w:t>Balingup, Collie, Capel, Busselton, Nannup, Augusta</w:t>
      </w:r>
      <w:r>
        <w:noBreakHyphen/>
        <w:t>Margaret River, Albany, Boyup Brook, Manjimup, Bridgetown</w:t>
      </w:r>
      <w:r>
        <w:noBreakHyphen/>
        <w:t>Greenbushes, Waroona, Harvey, Plantagenet and Denmark, as illustrated for information purposes on the maps shown in Schedule 1;</w:t>
      </w:r>
    </w:p>
    <w:p>
      <w:pPr>
        <w:pStyle w:val="nzDefstart"/>
      </w:pPr>
      <w:r>
        <w:tab/>
      </w:r>
      <w:r>
        <w:rPr>
          <w:rStyle w:val="CharDefText"/>
        </w:rPr>
        <w:t>domestic bore</w:t>
      </w:r>
      <w:r>
        <w:t xml:space="preserve"> means a non</w:t>
      </w:r>
      <w:r>
        <w:noBreakHyphen/>
        <w:t xml:space="preserve">artesian well as defined in the </w:t>
      </w:r>
      <w:r>
        <w:rPr>
          <w:i/>
        </w:rPr>
        <w:t>Rights in Water and Irrigation Act </w:t>
      </w:r>
      <w:r>
        <w:rPr>
          <w:i/>
          <w:iCs/>
        </w:rPr>
        <w:t>1914</w:t>
      </w:r>
      <w:r>
        <w:t xml:space="preserve"> section 2(1) from which the only water that can be taken is from the water table aquifer;</w:t>
      </w:r>
    </w:p>
    <w:p>
      <w:pPr>
        <w:pStyle w:val="nzDefstart"/>
      </w:pPr>
      <w:r>
        <w:tab/>
      </w:r>
      <w:r>
        <w:rPr>
          <w:rStyle w:val="CharDefText"/>
        </w:rPr>
        <w:t>domestic bore water</w:t>
      </w:r>
      <w:r>
        <w:t xml:space="preserve"> means water taken from a domestic bore;</w:t>
      </w:r>
    </w:p>
    <w:p>
      <w:pPr>
        <w:pStyle w:val="nzDefstart"/>
      </w:pPr>
      <w:r>
        <w:tab/>
      </w:r>
      <w:r>
        <w:rPr>
          <w:rStyle w:val="CharDefText"/>
        </w:rPr>
        <w:t>evening period</w:t>
      </w:r>
      <w:r>
        <w:t xml:space="preserve"> means the period after 6.00 p.m.;</w:t>
      </w:r>
    </w:p>
    <w:p>
      <w:pPr>
        <w:pStyle w:val="nzDefstart"/>
      </w:pPr>
      <w:r>
        <w:tab/>
      </w:r>
      <w:r>
        <w:rPr>
          <w:rStyle w:val="CharDefText"/>
        </w:rPr>
        <w:t>garden</w:t>
      </w:r>
      <w:r>
        <w:t xml:space="preserve"> does not include any indoor plants or plants growing inside a glasshouse;</w:t>
      </w:r>
    </w:p>
    <w:p>
      <w:pPr>
        <w:pStyle w:val="nzDefstart"/>
      </w:pPr>
      <w:r>
        <w:tab/>
      </w:r>
      <w:r>
        <w:rPr>
          <w:rStyle w:val="CharDefText"/>
        </w:rPr>
        <w:t>high pressure water cleaner</w:t>
      </w:r>
      <w:r>
        <w:t xml:space="preserve"> means a cleaning device that uses pressurised water flowing at a rate of not more than 6 L per minute;</w:t>
      </w:r>
    </w:p>
    <w:p>
      <w:pPr>
        <w:pStyle w:val="nzDefstart"/>
      </w:pPr>
      <w:r>
        <w:tab/>
      </w:r>
      <w:r>
        <w:rPr>
          <w:rStyle w:val="CharDefText"/>
        </w:rPr>
        <w:t>lawn</w:t>
      </w:r>
      <w:r>
        <w:t xml:space="preserve"> does not include a grass</w:t>
      </w:r>
      <w:r>
        <w:noBreakHyphen/>
        <w:t>covered sporting ground;</w:t>
      </w:r>
    </w:p>
    <w:p>
      <w:pPr>
        <w:pStyle w:val="nzDefstart"/>
      </w:pPr>
      <w:r>
        <w:tab/>
      </w:r>
      <w:r>
        <w:rPr>
          <w:rStyle w:val="CharDefText"/>
        </w:rPr>
        <w:t>morning period</w:t>
      </w:r>
      <w:r>
        <w:t xml:space="preserve"> means the period before 9.00 a.m.;</w:t>
      </w:r>
    </w:p>
    <w:p>
      <w:pPr>
        <w:pStyle w:val="nzDefstart"/>
      </w:pPr>
      <w:r>
        <w:tab/>
      </w:r>
      <w:r>
        <w:rPr>
          <w:rStyle w:val="CharDefText"/>
        </w:rPr>
        <w:t>relevant property</w:t>
      </w:r>
      <w:r>
        <w:t>, in relation to the watering a of a lawn, garden or grass</w:t>
      </w:r>
      <w:r>
        <w:noBreakHyphen/>
        <w:t>covered sporting ground, means the property on which the lawn, garden or grass</w:t>
      </w:r>
      <w:r>
        <w:noBreakHyphen/>
        <w:t>covered sporting ground is located;</w:t>
      </w:r>
    </w:p>
    <w:p>
      <w:pPr>
        <w:pStyle w:val="nzDefstart"/>
      </w:pPr>
      <w:r>
        <w:tab/>
      </w:r>
      <w:r>
        <w:rPr>
          <w:rStyle w:val="CharDefText"/>
        </w:rPr>
        <w:t xml:space="preserve">scheme water </w:t>
      </w:r>
      <w:r>
        <w:t>means water supplied by scheme water supplier;</w:t>
      </w:r>
    </w:p>
    <w:p>
      <w:pPr>
        <w:pStyle w:val="nzDefstart"/>
      </w:pPr>
      <w:r>
        <w:tab/>
      </w:r>
      <w:r>
        <w:rPr>
          <w:rStyle w:val="CharDefText"/>
        </w:rPr>
        <w:t>scheme water supplier</w:t>
      </w:r>
      <w:r>
        <w:t xml:space="preserve"> means —</w:t>
      </w:r>
    </w:p>
    <w:p>
      <w:pPr>
        <w:pStyle w:val="nzDefpara"/>
      </w:pPr>
      <w:r>
        <w:tab/>
        <w:t>(a)</w:t>
      </w:r>
      <w:r>
        <w:tab/>
        <w:t>the Corporation; or</w:t>
      </w:r>
    </w:p>
    <w:p>
      <w:pPr>
        <w:pStyle w:val="nzDefpara"/>
      </w:pPr>
      <w:r>
        <w:tab/>
        <w:t>(b)</w:t>
      </w:r>
      <w:r>
        <w:tab/>
        <w:t xml:space="preserve">a water board as defined in the </w:t>
      </w:r>
      <w:r>
        <w:rPr>
          <w:i/>
          <w:iCs/>
        </w:rPr>
        <w:t>Water Boards Act 1904</w:t>
      </w:r>
      <w:r>
        <w:t xml:space="preserve"> section 3(1);</w:t>
      </w:r>
    </w:p>
    <w:p>
      <w:pPr>
        <w:pStyle w:val="nzDefstart"/>
      </w:pPr>
      <w:r>
        <w:tab/>
      </w:r>
      <w:r>
        <w:rPr>
          <w:rStyle w:val="CharDefText"/>
        </w:rPr>
        <w:t>stage of restrictions</w:t>
      </w:r>
      <w:r>
        <w:t xml:space="preserve"> means a stage of restrictions set out in Schedule 2;</w:t>
      </w:r>
    </w:p>
    <w:p>
      <w:pPr>
        <w:pStyle w:val="nzDefstart"/>
      </w:pPr>
      <w:r>
        <w:tab/>
      </w:r>
      <w:r>
        <w:rPr>
          <w:rStyle w:val="CharDefText"/>
        </w:rPr>
        <w:t>synthetic sporting ground</w:t>
      </w:r>
      <w:r>
        <w:t xml:space="preserve"> means a sporting ground that has a synthetic surface designed to be used after watering;</w:t>
      </w:r>
    </w:p>
    <w:p>
      <w:pPr>
        <w:pStyle w:val="nzDefstart"/>
      </w:pPr>
      <w:r>
        <w:tab/>
      </w:r>
      <w:r>
        <w:rPr>
          <w:rStyle w:val="CharDefText"/>
        </w:rPr>
        <w:t>water</w:t>
      </w:r>
      <w:r>
        <w:t xml:space="preserve"> means —</w:t>
      </w:r>
    </w:p>
    <w:p>
      <w:pPr>
        <w:pStyle w:val="nzDefpara"/>
      </w:pPr>
      <w:r>
        <w:tab/>
        <w:t>(a)</w:t>
      </w:r>
      <w:r>
        <w:tab/>
        <w:t>scheme water; or</w:t>
      </w:r>
    </w:p>
    <w:p>
      <w:pPr>
        <w:pStyle w:val="nzDefpara"/>
      </w:pPr>
      <w:r>
        <w:tab/>
        <w:t>(b)</w:t>
      </w:r>
      <w:r>
        <w:tab/>
        <w:t>domestic bore water;</w:t>
      </w:r>
    </w:p>
    <w:p>
      <w:pPr>
        <w:pStyle w:val="nzDefstart"/>
      </w:pPr>
      <w:r>
        <w:tab/>
      </w:r>
      <w:r>
        <w:rPr>
          <w:rStyle w:val="CharDefText"/>
        </w:rPr>
        <w:t>week</w:t>
      </w:r>
      <w:r>
        <w:t xml:space="preserve"> means a period of seven successive days beginning with Sunday.</w:t>
      </w:r>
    </w:p>
    <w:p>
      <w:pPr>
        <w:pStyle w:val="nzHeading2"/>
        <w:outlineLvl w:val="0"/>
      </w:pPr>
      <w:bookmarkStart w:id="120" w:name="_Toc253407941"/>
      <w:bookmarkStart w:id="121" w:name="_Toc253409350"/>
      <w:bookmarkStart w:id="122" w:name="_Toc253409417"/>
      <w:bookmarkStart w:id="123" w:name="_Toc253409808"/>
      <w:bookmarkStart w:id="124" w:name="_Toc253409894"/>
      <w:bookmarkStart w:id="125" w:name="_Toc253411484"/>
      <w:bookmarkStart w:id="126" w:name="_Toc253412779"/>
      <w:bookmarkStart w:id="127" w:name="_Toc253412833"/>
      <w:bookmarkStart w:id="128" w:name="_Toc253472299"/>
      <w:bookmarkStart w:id="129" w:name="_Toc253482322"/>
      <w:bookmarkStart w:id="130" w:name="_Toc253729591"/>
      <w:bookmarkStart w:id="131" w:name="_Toc253729644"/>
      <w:bookmarkStart w:id="132" w:name="_Toc253730813"/>
      <w:bookmarkStart w:id="133" w:name="_Toc253730866"/>
      <w:bookmarkStart w:id="134" w:name="_Toc253730919"/>
      <w:bookmarkStart w:id="135" w:name="_Toc254182165"/>
      <w:bookmarkStart w:id="136" w:name="_Toc254182470"/>
      <w:bookmarkStart w:id="137" w:name="_Toc254183043"/>
      <w:bookmarkStart w:id="138" w:name="_Toc254183146"/>
      <w:bookmarkStart w:id="139" w:name="_Toc254190520"/>
      <w:bookmarkStart w:id="140" w:name="_Toc254263013"/>
      <w:bookmarkStart w:id="141" w:name="_Toc254263590"/>
      <w:bookmarkStart w:id="142" w:name="_Toc254333738"/>
      <w:bookmarkStart w:id="143" w:name="_Toc175156475"/>
      <w:bookmarkStart w:id="144" w:name="_Toc175475252"/>
      <w:bookmarkStart w:id="145" w:name="_Toc175478429"/>
      <w:bookmarkStart w:id="146" w:name="_Toc175730336"/>
      <w:bookmarkStart w:id="147" w:name="_Toc176255629"/>
      <w:bookmarkStart w:id="148" w:name="_Toc176328329"/>
      <w:bookmarkStart w:id="149" w:name="_Toc176343429"/>
      <w:bookmarkStart w:id="150" w:name="_Toc176349333"/>
      <w:bookmarkStart w:id="151" w:name="_Toc176365926"/>
      <w:bookmarkStart w:id="152" w:name="_Toc176366588"/>
      <w:bookmarkStart w:id="153" w:name="_Toc176403129"/>
      <w:bookmarkStart w:id="154" w:name="_Toc176409141"/>
      <w:bookmarkStart w:id="155" w:name="_Toc176410497"/>
      <w:bookmarkStart w:id="156" w:name="_Toc176411239"/>
      <w:bookmarkStart w:id="157" w:name="_Toc176411545"/>
      <w:bookmarkStart w:id="158" w:name="_Toc176411785"/>
      <w:bookmarkStart w:id="159" w:name="_Toc176579494"/>
      <w:bookmarkStart w:id="160" w:name="_Toc176587781"/>
      <w:bookmarkStart w:id="161" w:name="_Toc176588388"/>
      <w:bookmarkStart w:id="162" w:name="_Toc176759294"/>
      <w:bookmarkStart w:id="163" w:name="_Toc176759748"/>
      <w:bookmarkStart w:id="164" w:name="_Toc176760537"/>
      <w:bookmarkStart w:id="165" w:name="_Toc176762022"/>
      <w:bookmarkStart w:id="166" w:name="_Toc176763397"/>
      <w:bookmarkStart w:id="167" w:name="_Toc176764398"/>
      <w:bookmarkStart w:id="168" w:name="_Toc176861267"/>
      <w:bookmarkStart w:id="169" w:name="_Toc176861333"/>
      <w:bookmarkStart w:id="170" w:name="_Toc177624792"/>
      <w:bookmarkStart w:id="171" w:name="_Toc177624840"/>
      <w:bookmarkStart w:id="172" w:name="_Toc177625438"/>
      <w:bookmarkStart w:id="173" w:name="_Toc177625811"/>
      <w:bookmarkStart w:id="174" w:name="_Toc177626187"/>
      <w:bookmarkStart w:id="175" w:name="_Toc177626752"/>
      <w:bookmarkStart w:id="176" w:name="_Toc177627586"/>
      <w:bookmarkStart w:id="177" w:name="_Toc177783987"/>
      <w:bookmarkStart w:id="178" w:name="_Toc177786581"/>
      <w:bookmarkStart w:id="179" w:name="_Toc177788440"/>
      <w:bookmarkStart w:id="180" w:name="_Toc177788478"/>
      <w:bookmarkStart w:id="181" w:name="_Toc177792368"/>
      <w:bookmarkStart w:id="182" w:name="_Toc177793471"/>
      <w:bookmarkStart w:id="183" w:name="_Toc177793742"/>
      <w:bookmarkStart w:id="184" w:name="_Toc177794820"/>
      <w:bookmarkStart w:id="185" w:name="_Toc177797282"/>
      <w:bookmarkStart w:id="186" w:name="_Toc177799385"/>
      <w:bookmarkStart w:id="187" w:name="_Toc177799649"/>
      <w:bookmarkStart w:id="188" w:name="_Toc177800062"/>
      <w:bookmarkStart w:id="189" w:name="_Toc177800135"/>
      <w:bookmarkStart w:id="190" w:name="_Toc177809191"/>
      <w:bookmarkStart w:id="191" w:name="_Toc177809281"/>
      <w:bookmarkStart w:id="192" w:name="_Toc177811567"/>
      <w:bookmarkStart w:id="193" w:name="_Toc177812238"/>
      <w:bookmarkStart w:id="194" w:name="_Toc177812276"/>
      <w:bookmarkStart w:id="195" w:name="_Toc177869918"/>
      <w:bookmarkStart w:id="196" w:name="_Toc178659545"/>
      <w:bookmarkStart w:id="197" w:name="_Toc178661909"/>
      <w:bookmarkStart w:id="198" w:name="_Toc178741870"/>
      <w:bookmarkStart w:id="199" w:name="_Toc178756170"/>
      <w:bookmarkStart w:id="200" w:name="_Toc179340865"/>
      <w:bookmarkStart w:id="201" w:name="_Toc248218213"/>
      <w:r>
        <w:rPr>
          <w:rStyle w:val="CharPartNo"/>
        </w:rPr>
        <w:t>Part 2</w:t>
      </w:r>
      <w:r>
        <w:t> — </w:t>
      </w:r>
      <w:r>
        <w:rPr>
          <w:rStyle w:val="CharPartText"/>
        </w:rPr>
        <w:t>Water restrictions</w:t>
      </w:r>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p>
    <w:p>
      <w:pPr>
        <w:pStyle w:val="nzHeading3"/>
      </w:pPr>
      <w:bookmarkStart w:id="202" w:name="_Toc253407942"/>
      <w:bookmarkStart w:id="203" w:name="_Toc253409351"/>
      <w:bookmarkStart w:id="204" w:name="_Toc253409418"/>
      <w:bookmarkStart w:id="205" w:name="_Toc253409809"/>
      <w:bookmarkStart w:id="206" w:name="_Toc253409895"/>
      <w:bookmarkStart w:id="207" w:name="_Toc253411485"/>
      <w:bookmarkStart w:id="208" w:name="_Toc253412780"/>
      <w:bookmarkStart w:id="209" w:name="_Toc253412834"/>
      <w:bookmarkStart w:id="210" w:name="_Toc253472300"/>
      <w:bookmarkStart w:id="211" w:name="_Toc253482323"/>
      <w:bookmarkStart w:id="212" w:name="_Toc253729592"/>
      <w:bookmarkStart w:id="213" w:name="_Toc253729645"/>
      <w:bookmarkStart w:id="214" w:name="_Toc253730814"/>
      <w:bookmarkStart w:id="215" w:name="_Toc253730867"/>
      <w:bookmarkStart w:id="216" w:name="_Toc253730920"/>
      <w:bookmarkStart w:id="217" w:name="_Toc254182166"/>
      <w:bookmarkStart w:id="218" w:name="_Toc254182471"/>
      <w:bookmarkStart w:id="219" w:name="_Toc254183044"/>
      <w:bookmarkStart w:id="220" w:name="_Toc254183147"/>
      <w:bookmarkStart w:id="221" w:name="_Toc254190521"/>
      <w:bookmarkStart w:id="222" w:name="_Toc254263014"/>
      <w:bookmarkStart w:id="223" w:name="_Toc254263591"/>
      <w:bookmarkStart w:id="224" w:name="_Toc254333739"/>
      <w:bookmarkStart w:id="225" w:name="_Toc177869919"/>
      <w:bookmarkStart w:id="226" w:name="_Toc248218214"/>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r>
        <w:rPr>
          <w:rStyle w:val="CharDivNo"/>
        </w:rPr>
        <w:t>Division 1</w:t>
      </w:r>
      <w:r>
        <w:t> — </w:t>
      </w:r>
      <w:r>
        <w:rPr>
          <w:rStyle w:val="CharDivText"/>
        </w:rPr>
        <w:t>Restrictions</w:t>
      </w:r>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p>
    <w:p>
      <w:pPr>
        <w:pStyle w:val="nzHeading5"/>
        <w:outlineLvl w:val="0"/>
      </w:pPr>
      <w:bookmarkStart w:id="227" w:name="_Toc254333740"/>
      <w:r>
        <w:rPr>
          <w:rStyle w:val="CharSectno"/>
        </w:rPr>
        <w:t>4</w:t>
      </w:r>
      <w:r>
        <w:t>.</w:t>
      </w:r>
      <w:r>
        <w:tab/>
        <w:t>Use of water restricted</w:t>
      </w:r>
      <w:bookmarkEnd w:id="225"/>
      <w:bookmarkEnd w:id="226"/>
      <w:bookmarkEnd w:id="227"/>
    </w:p>
    <w:p>
      <w:pPr>
        <w:pStyle w:val="nzSubsection"/>
      </w:pPr>
      <w:r>
        <w:tab/>
        <w:t>(1)</w:t>
      </w:r>
      <w:r>
        <w:tab/>
        <w:t>In this by</w:t>
      </w:r>
      <w:r>
        <w:noBreakHyphen/>
        <w:t xml:space="preserve">law — </w:t>
      </w:r>
    </w:p>
    <w:p>
      <w:pPr>
        <w:pStyle w:val="nzDefstart"/>
      </w:pPr>
      <w:r>
        <w:tab/>
      </w:r>
      <w:r>
        <w:rPr>
          <w:rStyle w:val="CharDefText"/>
        </w:rPr>
        <w:t>written approval</w:t>
      </w:r>
      <w:r>
        <w:t xml:space="preserve"> means written approval from — </w:t>
      </w:r>
    </w:p>
    <w:p>
      <w:pPr>
        <w:pStyle w:val="nzDefpara"/>
      </w:pPr>
      <w:r>
        <w:tab/>
        <w:t>(a)</w:t>
      </w:r>
      <w:r>
        <w:tab/>
        <w:t>in relation to scheme water — the scheme water supplier; and</w:t>
      </w:r>
    </w:p>
    <w:p>
      <w:pPr>
        <w:pStyle w:val="nzDefpara"/>
      </w:pPr>
      <w:r>
        <w:tab/>
        <w:t>(b)</w:t>
      </w:r>
      <w:r>
        <w:tab/>
        <w:t>in relation to domestic bore water — the chief executive officer of the department of the Public Service principally assisting in the administration of the Act.</w:t>
      </w:r>
    </w:p>
    <w:p>
      <w:pPr>
        <w:pStyle w:val="nzSubsection"/>
      </w:pPr>
      <w:r>
        <w:tab/>
        <w:t>(2)</w:t>
      </w:r>
      <w:r>
        <w:tab/>
        <w:t>A person must not, without the written approval, use water in contravention of the stage of restrictions applicable under these by</w:t>
      </w:r>
      <w:r>
        <w:noBreakHyphen/>
        <w:t>laws.</w:t>
      </w:r>
    </w:p>
    <w:p>
      <w:pPr>
        <w:pStyle w:val="nzPenstart"/>
      </w:pPr>
      <w:r>
        <w:tab/>
        <w:t>Penalty: a fine of $500.</w:t>
      </w:r>
    </w:p>
    <w:p>
      <w:pPr>
        <w:pStyle w:val="nzHeading5"/>
        <w:outlineLvl w:val="0"/>
      </w:pPr>
      <w:bookmarkStart w:id="228" w:name="_Toc177869920"/>
      <w:bookmarkStart w:id="229" w:name="_Toc248218215"/>
      <w:bookmarkStart w:id="230" w:name="_Toc254333741"/>
      <w:r>
        <w:rPr>
          <w:rStyle w:val="CharSectno"/>
        </w:rPr>
        <w:t>5</w:t>
      </w:r>
      <w:r>
        <w:t>.</w:t>
      </w:r>
      <w:r>
        <w:tab/>
        <w:t xml:space="preserve">Stage of restrictions applicable to </w:t>
      </w:r>
      <w:bookmarkEnd w:id="228"/>
      <w:bookmarkEnd w:id="229"/>
      <w:r>
        <w:t>Area 1</w:t>
      </w:r>
      <w:bookmarkEnd w:id="230"/>
    </w:p>
    <w:p>
      <w:pPr>
        <w:pStyle w:val="nzSubsection"/>
      </w:pPr>
      <w:r>
        <w:tab/>
        <w:t>(1)</w:t>
      </w:r>
      <w:r>
        <w:tab/>
        <w:t>Subject to by</w:t>
      </w:r>
      <w:r>
        <w:noBreakHyphen/>
        <w:t>law 9, the stage of restrictions that applies in relation to the use of scheme water in Area 1 is stage 2.</w:t>
      </w:r>
    </w:p>
    <w:p>
      <w:pPr>
        <w:pStyle w:val="nzSubsection"/>
      </w:pPr>
      <w:r>
        <w:tab/>
        <w:t>(2)</w:t>
      </w:r>
      <w:r>
        <w:tab/>
        <w:t>Subject to by</w:t>
      </w:r>
      <w:r>
        <w:noBreakHyphen/>
        <w:t>law 9, the stage of restrictions that applies in relation to the use of domestic bore water in Area 1 is stage 1.</w:t>
      </w:r>
    </w:p>
    <w:p>
      <w:pPr>
        <w:pStyle w:val="nzHeading5"/>
        <w:outlineLvl w:val="0"/>
      </w:pPr>
      <w:bookmarkStart w:id="231" w:name="_Toc177869921"/>
      <w:bookmarkStart w:id="232" w:name="_Toc248218216"/>
      <w:bookmarkStart w:id="233" w:name="_Toc254333742"/>
      <w:r>
        <w:rPr>
          <w:rStyle w:val="CharSectno"/>
        </w:rPr>
        <w:t>6</w:t>
      </w:r>
      <w:r>
        <w:t>.</w:t>
      </w:r>
      <w:r>
        <w:tab/>
        <w:t xml:space="preserve">Stage of restrictions applicable to </w:t>
      </w:r>
      <w:bookmarkEnd w:id="231"/>
      <w:bookmarkEnd w:id="232"/>
      <w:r>
        <w:t>Area 2</w:t>
      </w:r>
      <w:bookmarkEnd w:id="233"/>
    </w:p>
    <w:p>
      <w:pPr>
        <w:pStyle w:val="nzSubsection"/>
      </w:pPr>
      <w:bookmarkStart w:id="234" w:name="_Toc177869922"/>
      <w:bookmarkStart w:id="235" w:name="_Toc248218217"/>
      <w:r>
        <w:tab/>
        <w:t>(1)</w:t>
      </w:r>
      <w:r>
        <w:tab/>
        <w:t>Subject to by</w:t>
      </w:r>
      <w:r>
        <w:noBreakHyphen/>
        <w:t>law 9, the stage of restrictions that applies in relation to the use of scheme water in Area 2 is stage 4.</w:t>
      </w:r>
    </w:p>
    <w:p>
      <w:pPr>
        <w:pStyle w:val="nzSubsection"/>
      </w:pPr>
      <w:r>
        <w:tab/>
        <w:t>(2)</w:t>
      </w:r>
      <w:r>
        <w:tab/>
        <w:t>Subject to by</w:t>
      </w:r>
      <w:r>
        <w:noBreakHyphen/>
        <w:t>law 9, the stage of restrictions that applies in relation to the use of domestic bore water in Area 2 is stage 1.</w:t>
      </w:r>
    </w:p>
    <w:p>
      <w:pPr>
        <w:pStyle w:val="nzHeading5"/>
        <w:outlineLvl w:val="0"/>
      </w:pPr>
      <w:bookmarkStart w:id="236" w:name="_Toc254333743"/>
      <w:r>
        <w:rPr>
          <w:rStyle w:val="CharSectno"/>
        </w:rPr>
        <w:t>7</w:t>
      </w:r>
      <w:r>
        <w:t>.</w:t>
      </w:r>
      <w:r>
        <w:tab/>
        <w:t>Stage of restrictions applicable to Area 3</w:t>
      </w:r>
      <w:bookmarkEnd w:id="236"/>
    </w:p>
    <w:p>
      <w:pPr>
        <w:pStyle w:val="nzSubsection"/>
        <w:outlineLvl w:val="0"/>
      </w:pPr>
      <w:r>
        <w:tab/>
        <w:t>(1)</w:t>
      </w:r>
      <w:r>
        <w:tab/>
        <w:t>Subject to by</w:t>
      </w:r>
      <w:r>
        <w:noBreakHyphen/>
        <w:t xml:space="preserve">law 9, the stage of restrictions that applies in relation to the use of scheme water in Area 3 is — </w:t>
      </w:r>
    </w:p>
    <w:p>
      <w:pPr>
        <w:pStyle w:val="nzIndenta"/>
      </w:pPr>
      <w:r>
        <w:tab/>
        <w:t>(a)</w:t>
      </w:r>
      <w:r>
        <w:tab/>
        <w:t>from 1 June to 31 August in a particular year — stage 6; and</w:t>
      </w:r>
    </w:p>
    <w:p>
      <w:pPr>
        <w:pStyle w:val="nzIndenta"/>
      </w:pPr>
      <w:r>
        <w:tab/>
        <w:t>(b)</w:t>
      </w:r>
      <w:r>
        <w:tab/>
        <w:t>at any other time of the year — stage 4.</w:t>
      </w:r>
    </w:p>
    <w:p>
      <w:pPr>
        <w:pStyle w:val="nzSubsection"/>
        <w:outlineLvl w:val="0"/>
      </w:pPr>
      <w:r>
        <w:tab/>
        <w:t>(2)</w:t>
      </w:r>
      <w:r>
        <w:tab/>
        <w:t>Subject to by</w:t>
      </w:r>
      <w:r>
        <w:noBreakHyphen/>
        <w:t xml:space="preserve">law 9, the stage of restrictions that applies in relation to the use of domestic bore water in Area 3 is — </w:t>
      </w:r>
    </w:p>
    <w:p>
      <w:pPr>
        <w:pStyle w:val="nzIndenta"/>
      </w:pPr>
      <w:r>
        <w:tab/>
        <w:t>(a)</w:t>
      </w:r>
      <w:r>
        <w:tab/>
        <w:t>from 1 June to 31 August in a particular year — stage 6; and</w:t>
      </w:r>
    </w:p>
    <w:p>
      <w:pPr>
        <w:pStyle w:val="nzIndenta"/>
      </w:pPr>
      <w:r>
        <w:tab/>
        <w:t>(b)</w:t>
      </w:r>
      <w:r>
        <w:tab/>
        <w:t>at any other time of the year — stage 3.</w:t>
      </w:r>
    </w:p>
    <w:p>
      <w:pPr>
        <w:pStyle w:val="nzHeading5"/>
        <w:outlineLvl w:val="0"/>
      </w:pPr>
      <w:bookmarkStart w:id="237" w:name="_Toc254333744"/>
      <w:r>
        <w:rPr>
          <w:rStyle w:val="CharSectno"/>
        </w:rPr>
        <w:t>8</w:t>
      </w:r>
      <w:r>
        <w:t>.</w:t>
      </w:r>
      <w:r>
        <w:tab/>
        <w:t>Stage of restrictions applicable to Area 4</w:t>
      </w:r>
      <w:bookmarkEnd w:id="237"/>
    </w:p>
    <w:p>
      <w:pPr>
        <w:pStyle w:val="nzSubsection"/>
        <w:outlineLvl w:val="0"/>
      </w:pPr>
      <w:r>
        <w:tab/>
        <w:t>(1)</w:t>
      </w:r>
      <w:r>
        <w:tab/>
        <w:t>Subject to by</w:t>
      </w:r>
      <w:r>
        <w:noBreakHyphen/>
        <w:t xml:space="preserve">law 9, the stage of restrictions that applies in relation to the use of scheme water in Area 4 is — </w:t>
      </w:r>
    </w:p>
    <w:p>
      <w:pPr>
        <w:pStyle w:val="nzIndenta"/>
      </w:pPr>
      <w:r>
        <w:tab/>
        <w:t>(a)</w:t>
      </w:r>
      <w:r>
        <w:tab/>
        <w:t>from 1 June to 31 August in a particular year — stage 6; and</w:t>
      </w:r>
    </w:p>
    <w:p>
      <w:pPr>
        <w:pStyle w:val="nzIndenta"/>
      </w:pPr>
      <w:r>
        <w:tab/>
        <w:t>(b)</w:t>
      </w:r>
      <w:r>
        <w:tab/>
        <w:t>at any other time of the year — stage 4.</w:t>
      </w:r>
    </w:p>
    <w:p>
      <w:pPr>
        <w:pStyle w:val="nzSubsection"/>
        <w:outlineLvl w:val="0"/>
      </w:pPr>
      <w:r>
        <w:tab/>
        <w:t>(2)</w:t>
      </w:r>
      <w:r>
        <w:tab/>
        <w:t>Subject to by</w:t>
      </w:r>
      <w:r>
        <w:noBreakHyphen/>
        <w:t xml:space="preserve">law 9, the stage of restrictions that applies in relation to the use of domestic bore water in Area 4 is — </w:t>
      </w:r>
    </w:p>
    <w:p>
      <w:pPr>
        <w:pStyle w:val="nzIndenta"/>
      </w:pPr>
      <w:r>
        <w:tab/>
        <w:t>(a)</w:t>
      </w:r>
      <w:r>
        <w:tab/>
        <w:t>from 1 June to 31 August in a particular year — stage 6; and</w:t>
      </w:r>
    </w:p>
    <w:p>
      <w:pPr>
        <w:pStyle w:val="nzIndenta"/>
      </w:pPr>
      <w:r>
        <w:tab/>
        <w:t>(b)</w:t>
      </w:r>
      <w:r>
        <w:tab/>
        <w:t>at any other time of the year — stage 1.</w:t>
      </w:r>
    </w:p>
    <w:p>
      <w:pPr>
        <w:pStyle w:val="nzHeading5"/>
        <w:outlineLvl w:val="0"/>
      </w:pPr>
      <w:bookmarkStart w:id="238" w:name="_Toc254333745"/>
      <w:r>
        <w:rPr>
          <w:rStyle w:val="CharSectno"/>
        </w:rPr>
        <w:t>9</w:t>
      </w:r>
      <w:r>
        <w:t>.</w:t>
      </w:r>
      <w:r>
        <w:tab/>
        <w:t>Notices may impose different stage of restrictions</w:t>
      </w:r>
      <w:bookmarkEnd w:id="234"/>
      <w:bookmarkEnd w:id="235"/>
      <w:bookmarkEnd w:id="238"/>
    </w:p>
    <w:p>
      <w:pPr>
        <w:pStyle w:val="nzSubsection"/>
      </w:pPr>
      <w:r>
        <w:tab/>
        <w:t>(1)</w:t>
      </w:r>
      <w:r>
        <w:tab/>
        <w:t xml:space="preserve">The Minister may, by notice published in the </w:t>
      </w:r>
      <w:r>
        <w:rPr>
          <w:i/>
        </w:rPr>
        <w:t>Gazette</w:t>
      </w:r>
      <w:r>
        <w:t>, apply a different stage of restrictions to an Area, or part of an Area, specified in the notice.</w:t>
      </w:r>
    </w:p>
    <w:p>
      <w:pPr>
        <w:pStyle w:val="nzSubsection"/>
      </w:pPr>
      <w:r>
        <w:tab/>
        <w:t>(2)</w:t>
      </w:r>
      <w:r>
        <w:tab/>
        <w:t>A notice under sub</w:t>
      </w:r>
      <w:r>
        <w:noBreakHyphen/>
        <w:t xml:space="preserve">bylaw (1) must specify the day from which the stage of restrictions applies to the Area, being a day at least 48 hours after the publication of the notice in the </w:t>
      </w:r>
      <w:r>
        <w:rPr>
          <w:i/>
        </w:rPr>
        <w:t>Gazette</w:t>
      </w:r>
      <w:r>
        <w:t>.</w:t>
      </w:r>
    </w:p>
    <w:p>
      <w:pPr>
        <w:pStyle w:val="nzSubsection"/>
      </w:pPr>
      <w:bookmarkStart w:id="239" w:name="_Toc177869923"/>
      <w:r>
        <w:tab/>
        <w:t>(3)</w:t>
      </w:r>
      <w:r>
        <w:tab/>
        <w:t xml:space="preserve">The Minister may, by subsequent notice published in the </w:t>
      </w:r>
      <w:r>
        <w:rPr>
          <w:i/>
          <w:iCs/>
        </w:rPr>
        <w:t>Gazette</w:t>
      </w:r>
      <w:r>
        <w:t>, revoke a notice under sub</w:t>
      </w:r>
      <w:r>
        <w:noBreakHyphen/>
        <w:t>bylaw (1).</w:t>
      </w:r>
    </w:p>
    <w:p>
      <w:pPr>
        <w:pStyle w:val="nzHeading3"/>
        <w:outlineLvl w:val="0"/>
      </w:pPr>
      <w:bookmarkStart w:id="240" w:name="_Toc253407949"/>
      <w:bookmarkStart w:id="241" w:name="_Toc253409358"/>
      <w:bookmarkStart w:id="242" w:name="_Toc253409425"/>
      <w:bookmarkStart w:id="243" w:name="_Toc253409816"/>
      <w:bookmarkStart w:id="244" w:name="_Toc253409902"/>
      <w:bookmarkStart w:id="245" w:name="_Toc253411492"/>
      <w:bookmarkStart w:id="246" w:name="_Toc253412787"/>
      <w:bookmarkStart w:id="247" w:name="_Toc253412841"/>
      <w:bookmarkStart w:id="248" w:name="_Toc253472307"/>
      <w:bookmarkStart w:id="249" w:name="_Toc253482330"/>
      <w:bookmarkStart w:id="250" w:name="_Toc253729599"/>
      <w:bookmarkStart w:id="251" w:name="_Toc253729652"/>
      <w:bookmarkStart w:id="252" w:name="_Toc253730821"/>
      <w:bookmarkStart w:id="253" w:name="_Toc253730874"/>
      <w:bookmarkStart w:id="254" w:name="_Toc253730927"/>
      <w:bookmarkStart w:id="255" w:name="_Toc254182173"/>
      <w:bookmarkStart w:id="256" w:name="_Toc254182478"/>
      <w:bookmarkStart w:id="257" w:name="_Toc254183051"/>
      <w:bookmarkStart w:id="258" w:name="_Toc254183154"/>
      <w:bookmarkStart w:id="259" w:name="_Toc254190528"/>
      <w:bookmarkStart w:id="260" w:name="_Toc254263021"/>
      <w:bookmarkStart w:id="261" w:name="_Toc254263598"/>
      <w:bookmarkStart w:id="262" w:name="_Toc254333746"/>
      <w:bookmarkStart w:id="263" w:name="_Toc248218218"/>
      <w:r>
        <w:rPr>
          <w:rStyle w:val="CharDivNo"/>
        </w:rPr>
        <w:t>Division 2</w:t>
      </w:r>
      <w:r>
        <w:t> — </w:t>
      </w:r>
      <w:r>
        <w:rPr>
          <w:rStyle w:val="CharDivText"/>
        </w:rPr>
        <w:t>Exemptions</w:t>
      </w:r>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p>
    <w:p>
      <w:pPr>
        <w:pStyle w:val="nzHeading5"/>
        <w:outlineLvl w:val="0"/>
      </w:pPr>
      <w:bookmarkStart w:id="264" w:name="_Toc254333747"/>
      <w:bookmarkEnd w:id="239"/>
      <w:bookmarkEnd w:id="263"/>
      <w:r>
        <w:rPr>
          <w:rStyle w:val="CharSectno"/>
        </w:rPr>
        <w:t>10</w:t>
      </w:r>
      <w:r>
        <w:t>.</w:t>
      </w:r>
      <w:r>
        <w:tab/>
        <w:t xml:space="preserve">Licensees under </w:t>
      </w:r>
      <w:r>
        <w:rPr>
          <w:i/>
        </w:rPr>
        <w:t>Rights in Water and Irrigation Act </w:t>
      </w:r>
      <w:r>
        <w:rPr>
          <w:i/>
          <w:iCs/>
        </w:rPr>
        <w:t>1914</w:t>
      </w:r>
      <w:r>
        <w:t xml:space="preserve"> section 5C</w:t>
      </w:r>
      <w:bookmarkEnd w:id="264"/>
    </w:p>
    <w:p>
      <w:pPr>
        <w:pStyle w:val="nzSubsection"/>
      </w:pPr>
      <w:r>
        <w:tab/>
      </w:r>
      <w:r>
        <w:tab/>
        <w:t>A person does not commit an offence under by</w:t>
      </w:r>
      <w:r>
        <w:noBreakHyphen/>
        <w:t xml:space="preserve">law 4 if the person uses water in accordance with a licence under the </w:t>
      </w:r>
      <w:r>
        <w:rPr>
          <w:i/>
          <w:iCs/>
        </w:rPr>
        <w:t>Rights in Water and Irrigation Act 1914</w:t>
      </w:r>
      <w:r>
        <w:t xml:space="preserve"> section 5C.</w:t>
      </w:r>
    </w:p>
    <w:p>
      <w:pPr>
        <w:pStyle w:val="nzHeading5"/>
        <w:outlineLvl w:val="0"/>
      </w:pPr>
      <w:bookmarkStart w:id="265" w:name="_Toc254333748"/>
      <w:r>
        <w:rPr>
          <w:rStyle w:val="CharSectno"/>
        </w:rPr>
        <w:t>11</w:t>
      </w:r>
      <w:r>
        <w:t>.</w:t>
      </w:r>
      <w:r>
        <w:tab/>
        <w:t>Shared domestic bores</w:t>
      </w:r>
      <w:bookmarkEnd w:id="265"/>
    </w:p>
    <w:p>
      <w:pPr>
        <w:pStyle w:val="nzSubsection"/>
        <w:outlineLvl w:val="0"/>
      </w:pPr>
      <w:r>
        <w:tab/>
        <w:t>(1)</w:t>
      </w:r>
      <w:r>
        <w:tab/>
        <w:t>This by</w:t>
      </w:r>
      <w:r>
        <w:noBreakHyphen/>
        <w:t>law applies to a person using domestic bore water to water a lawn or garden by reticulation in circumstances where —</w:t>
      </w:r>
    </w:p>
    <w:p>
      <w:pPr>
        <w:pStyle w:val="nzIndenta"/>
      </w:pPr>
      <w:r>
        <w:tab/>
        <w:t>(a)</w:t>
      </w:r>
      <w:r>
        <w:tab/>
        <w:t>a stage of restrictions prohibits the use of the water except on a day or days of the month determined by reference to the street number or, where there is no street number, the lot number of the relevant property; and</w:t>
      </w:r>
    </w:p>
    <w:p>
      <w:pPr>
        <w:pStyle w:val="nzIndenta"/>
      </w:pPr>
      <w:r>
        <w:tab/>
        <w:t>(b)</w:t>
      </w:r>
      <w:r>
        <w:tab/>
        <w:t xml:space="preserve">the domestic bore is located on property with a different street or lot number (the </w:t>
      </w:r>
      <w:r>
        <w:rPr>
          <w:rStyle w:val="CharDefText"/>
        </w:rPr>
        <w:t>other property</w:t>
      </w:r>
      <w:r>
        <w:t>).</w:t>
      </w:r>
    </w:p>
    <w:p>
      <w:pPr>
        <w:pStyle w:val="nzSubsection"/>
        <w:outlineLvl w:val="0"/>
      </w:pPr>
      <w:r>
        <w:tab/>
        <w:t>(2)</w:t>
      </w:r>
      <w:r>
        <w:tab/>
        <w:t>The person does not contravene the stage of restrictions only because, in any particular week —</w:t>
      </w:r>
    </w:p>
    <w:p>
      <w:pPr>
        <w:pStyle w:val="nzIndenta"/>
      </w:pPr>
      <w:r>
        <w:tab/>
        <w:t>(a)</w:t>
      </w:r>
      <w:r>
        <w:tab/>
        <w:t>the person uses the water on days determined by reference to the street number or, where there is no street number, the lot number of the other property; and</w:t>
      </w:r>
    </w:p>
    <w:p>
      <w:pPr>
        <w:pStyle w:val="nzIndenta"/>
      </w:pPr>
      <w:r>
        <w:tab/>
        <w:t>(b)</w:t>
      </w:r>
      <w:r>
        <w:tab/>
        <w:t>the person does not use the water on any other day.</w:t>
      </w:r>
    </w:p>
    <w:p>
      <w:pPr>
        <w:pStyle w:val="nzHeading5"/>
        <w:outlineLvl w:val="0"/>
      </w:pPr>
      <w:bookmarkStart w:id="266" w:name="_Toc254333749"/>
      <w:r>
        <w:rPr>
          <w:rStyle w:val="CharSectno"/>
        </w:rPr>
        <w:t>12</w:t>
      </w:r>
      <w:r>
        <w:t>.</w:t>
      </w:r>
      <w:r>
        <w:tab/>
        <w:t>Installation, repair or testing reticulation systems</w:t>
      </w:r>
      <w:bookmarkEnd w:id="266"/>
    </w:p>
    <w:p>
      <w:pPr>
        <w:pStyle w:val="nzSubsection"/>
      </w:pPr>
      <w:r>
        <w:tab/>
        <w:t>(1)</w:t>
      </w:r>
      <w:r>
        <w:tab/>
        <w:t>A person does not commit an offence under by</w:t>
      </w:r>
      <w:r>
        <w:noBreakHyphen/>
        <w:t>law 4 if the person operates a reticulation system using domestic bore water to the minimum extent necessary while the reticulation system is being installed, maintained, tested or repaired.</w:t>
      </w:r>
    </w:p>
    <w:p>
      <w:pPr>
        <w:pStyle w:val="nzSubsection"/>
      </w:pPr>
      <w:r>
        <w:tab/>
        <w:t>(2)</w:t>
      </w:r>
      <w:r>
        <w:tab/>
        <w:t>A person does not commit an offence under by</w:t>
      </w:r>
      <w:r>
        <w:noBreakHyphen/>
        <w:t>law 4 if, in the course of the person’s occupation in the turf, garden or landscaping industries, the person operates a reticulation system using either scheme water or domestic bore water to the minimum extent necessary while the reticulation system is being installed, maintained, tested or repaired.</w:t>
      </w:r>
    </w:p>
    <w:p>
      <w:pPr>
        <w:pStyle w:val="nzHeading5"/>
        <w:outlineLvl w:val="0"/>
      </w:pPr>
      <w:bookmarkStart w:id="267" w:name="_Toc254333750"/>
      <w:r>
        <w:rPr>
          <w:rStyle w:val="CharSectno"/>
        </w:rPr>
        <w:t>13</w:t>
      </w:r>
      <w:r>
        <w:t>.</w:t>
      </w:r>
      <w:r>
        <w:tab/>
        <w:t>Vertimowing or applying fertilisers or wetting agents</w:t>
      </w:r>
      <w:bookmarkEnd w:id="267"/>
    </w:p>
    <w:p>
      <w:pPr>
        <w:pStyle w:val="nzSubsection"/>
      </w:pPr>
      <w:r>
        <w:tab/>
        <w:t>(1)</w:t>
      </w:r>
      <w:r>
        <w:tab/>
        <w:t>This by</w:t>
      </w:r>
      <w:r>
        <w:noBreakHyphen/>
        <w:t>law applies to the use of water in an Area unless the stage of restrictions designated stage 7 applies to that Area.</w:t>
      </w:r>
    </w:p>
    <w:p>
      <w:pPr>
        <w:pStyle w:val="nzSubsection"/>
      </w:pPr>
      <w:r>
        <w:tab/>
        <w:t>(2)</w:t>
      </w:r>
      <w:r>
        <w:tab/>
        <w:t>A person does not commit an offence under by</w:t>
      </w:r>
      <w:r>
        <w:noBreakHyphen/>
        <w:t>law 4 if, in the course of the person’s occupation in the turf, garden or landscaping industries, the person waters a lawn, garden or grass</w:t>
      </w:r>
      <w:r>
        <w:noBreakHyphen/>
        <w:t>covered sporting ground immediately after —</w:t>
      </w:r>
    </w:p>
    <w:p>
      <w:pPr>
        <w:pStyle w:val="nzIndenta"/>
      </w:pPr>
      <w:r>
        <w:tab/>
        <w:t>(a)</w:t>
      </w:r>
      <w:r>
        <w:tab/>
        <w:t>vertimowing; or</w:t>
      </w:r>
    </w:p>
    <w:p>
      <w:pPr>
        <w:pStyle w:val="nzIndenta"/>
      </w:pPr>
      <w:r>
        <w:tab/>
        <w:t>(b)</w:t>
      </w:r>
      <w:r>
        <w:tab/>
        <w:t>the application of a fertiliser or wetting agent.</w:t>
      </w:r>
    </w:p>
    <w:p>
      <w:pPr>
        <w:pStyle w:val="nzHeading5"/>
        <w:outlineLvl w:val="0"/>
      </w:pPr>
      <w:bookmarkStart w:id="268" w:name="_Toc254333751"/>
      <w:r>
        <w:rPr>
          <w:rStyle w:val="CharSectno"/>
        </w:rPr>
        <w:t>14</w:t>
      </w:r>
      <w:r>
        <w:t>.</w:t>
      </w:r>
      <w:r>
        <w:tab/>
        <w:t>Market gardens or plant nurseries</w:t>
      </w:r>
      <w:bookmarkEnd w:id="268"/>
    </w:p>
    <w:p>
      <w:pPr>
        <w:pStyle w:val="nzSubsection"/>
      </w:pPr>
      <w:r>
        <w:tab/>
      </w:r>
      <w:r>
        <w:tab/>
        <w:t>A person does not commit an offence under by</w:t>
      </w:r>
      <w:r>
        <w:noBreakHyphen/>
        <w:t>law 4 if the person waters a market garden or plant nursery to the minimum extent necessary to ensure the viable operation of the market garden or plant nursery.</w:t>
      </w:r>
    </w:p>
    <w:p>
      <w:pPr>
        <w:pStyle w:val="nzHeading5"/>
        <w:outlineLvl w:val="0"/>
      </w:pPr>
      <w:bookmarkStart w:id="269" w:name="_Toc254333752"/>
      <w:r>
        <w:rPr>
          <w:rStyle w:val="CharSectno"/>
        </w:rPr>
        <w:t>15</w:t>
      </w:r>
      <w:r>
        <w:t>.</w:t>
      </w:r>
      <w:r>
        <w:tab/>
        <w:t>Caravan park or camping ground sites</w:t>
      </w:r>
      <w:bookmarkEnd w:id="269"/>
    </w:p>
    <w:p>
      <w:pPr>
        <w:pStyle w:val="nzSubsection"/>
      </w:pPr>
      <w:r>
        <w:tab/>
      </w:r>
      <w:r>
        <w:tab/>
        <w:t>A person does not commit an offence under by</w:t>
      </w:r>
      <w:r>
        <w:noBreakHyphen/>
        <w:t xml:space="preserve">law 4 if the person waters a site as defined in the </w:t>
      </w:r>
      <w:r>
        <w:rPr>
          <w:i/>
        </w:rPr>
        <w:t>Caravan Parks and Camping Grounds Act 1995</w:t>
      </w:r>
      <w:r>
        <w:t xml:space="preserve"> section 5(1) immediately after the site has been vacated by an occupier.</w:t>
      </w:r>
    </w:p>
    <w:p>
      <w:pPr>
        <w:pStyle w:val="nzHeading5"/>
        <w:outlineLvl w:val="0"/>
      </w:pPr>
      <w:bookmarkStart w:id="270" w:name="_Toc254333753"/>
      <w:r>
        <w:rPr>
          <w:rStyle w:val="CharSectno"/>
        </w:rPr>
        <w:t>16</w:t>
      </w:r>
      <w:r>
        <w:t>.</w:t>
      </w:r>
      <w:r>
        <w:tab/>
        <w:t>Maintenance of birds in aviaries</w:t>
      </w:r>
      <w:bookmarkEnd w:id="270"/>
    </w:p>
    <w:p>
      <w:pPr>
        <w:pStyle w:val="nzSubsection"/>
      </w:pPr>
      <w:r>
        <w:tab/>
      </w:r>
      <w:r>
        <w:tab/>
        <w:t>A person does not commit an offence under by</w:t>
      </w:r>
      <w:r>
        <w:noBreakHyphen/>
        <w:t>law 4 if the person waters a aviary to the minimum extent necessary to maintain the birds in that aviary.</w:t>
      </w:r>
    </w:p>
    <w:p>
      <w:pPr>
        <w:pStyle w:val="nzHeading5"/>
        <w:outlineLvl w:val="0"/>
      </w:pPr>
      <w:bookmarkStart w:id="271" w:name="_Toc254333754"/>
      <w:r>
        <w:rPr>
          <w:rStyle w:val="CharSectno"/>
        </w:rPr>
        <w:t>17</w:t>
      </w:r>
      <w:r>
        <w:t>.</w:t>
      </w:r>
      <w:r>
        <w:tab/>
        <w:t>Fire fighting</w:t>
      </w:r>
      <w:bookmarkEnd w:id="271"/>
    </w:p>
    <w:p>
      <w:pPr>
        <w:pStyle w:val="nzSubsection"/>
      </w:pPr>
      <w:r>
        <w:tab/>
      </w:r>
      <w:r>
        <w:tab/>
        <w:t>A person does not commit an offence under by</w:t>
      </w:r>
      <w:r>
        <w:noBreakHyphen/>
        <w:t>law 4 if the person uses water to the minimum extent necessary for fire fighting or training for fire fighting.</w:t>
      </w:r>
    </w:p>
    <w:p>
      <w:pPr>
        <w:pStyle w:val="nzHeading2"/>
        <w:outlineLvl w:val="0"/>
      </w:pPr>
      <w:bookmarkStart w:id="272" w:name="_Toc253407959"/>
      <w:bookmarkStart w:id="273" w:name="_Toc253409368"/>
      <w:bookmarkStart w:id="274" w:name="_Toc253409435"/>
      <w:bookmarkStart w:id="275" w:name="_Toc253409826"/>
      <w:bookmarkStart w:id="276" w:name="_Toc253409912"/>
      <w:bookmarkStart w:id="277" w:name="_Toc253411502"/>
      <w:bookmarkStart w:id="278" w:name="_Toc253412797"/>
      <w:bookmarkStart w:id="279" w:name="_Toc253412851"/>
      <w:bookmarkStart w:id="280" w:name="_Toc253472317"/>
      <w:bookmarkStart w:id="281" w:name="_Toc253482340"/>
      <w:bookmarkStart w:id="282" w:name="_Toc253729608"/>
      <w:bookmarkStart w:id="283" w:name="_Toc253729661"/>
      <w:bookmarkStart w:id="284" w:name="_Toc253730830"/>
      <w:bookmarkStart w:id="285" w:name="_Toc253730883"/>
      <w:bookmarkStart w:id="286" w:name="_Toc253730936"/>
      <w:bookmarkStart w:id="287" w:name="_Toc254182182"/>
      <w:bookmarkStart w:id="288" w:name="_Toc254182487"/>
      <w:bookmarkStart w:id="289" w:name="_Toc254183060"/>
      <w:bookmarkStart w:id="290" w:name="_Toc254183163"/>
      <w:bookmarkStart w:id="291" w:name="_Toc254190537"/>
      <w:bookmarkStart w:id="292" w:name="_Toc254263030"/>
      <w:bookmarkStart w:id="293" w:name="_Toc254263607"/>
      <w:bookmarkStart w:id="294" w:name="_Toc254333755"/>
      <w:r>
        <w:rPr>
          <w:rStyle w:val="CharPartNo"/>
        </w:rPr>
        <w:t>Part 3</w:t>
      </w:r>
      <w:r>
        <w:t> — </w:t>
      </w:r>
      <w:r>
        <w:rPr>
          <w:rStyle w:val="CharPartText"/>
        </w:rPr>
        <w:t>Scheme water efficiency management plans</w:t>
      </w:r>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p>
    <w:p>
      <w:pPr>
        <w:pStyle w:val="nzHeading3"/>
      </w:pPr>
      <w:bookmarkStart w:id="295" w:name="_Toc253407960"/>
      <w:bookmarkStart w:id="296" w:name="_Toc253409369"/>
      <w:bookmarkStart w:id="297" w:name="_Toc253409436"/>
      <w:bookmarkStart w:id="298" w:name="_Toc253409827"/>
      <w:bookmarkStart w:id="299" w:name="_Toc253409913"/>
      <w:bookmarkStart w:id="300" w:name="_Toc253411503"/>
      <w:bookmarkStart w:id="301" w:name="_Toc253412798"/>
      <w:bookmarkStart w:id="302" w:name="_Toc253412852"/>
      <w:bookmarkStart w:id="303" w:name="_Toc253472318"/>
      <w:bookmarkStart w:id="304" w:name="_Toc253482341"/>
      <w:bookmarkStart w:id="305" w:name="_Toc253729609"/>
      <w:bookmarkStart w:id="306" w:name="_Toc253729662"/>
      <w:bookmarkStart w:id="307" w:name="_Toc253730831"/>
      <w:bookmarkStart w:id="308" w:name="_Toc253730884"/>
      <w:bookmarkStart w:id="309" w:name="_Toc253730937"/>
      <w:bookmarkStart w:id="310" w:name="_Toc254182183"/>
      <w:bookmarkStart w:id="311" w:name="_Toc254182488"/>
      <w:bookmarkStart w:id="312" w:name="_Toc254183061"/>
      <w:bookmarkStart w:id="313" w:name="_Toc254183164"/>
      <w:bookmarkStart w:id="314" w:name="_Toc254190538"/>
      <w:bookmarkStart w:id="315" w:name="_Toc254263031"/>
      <w:bookmarkStart w:id="316" w:name="_Toc254263608"/>
      <w:bookmarkStart w:id="317" w:name="_Toc254333756"/>
      <w:bookmarkStart w:id="318" w:name="_Toc176403136"/>
      <w:bookmarkStart w:id="319" w:name="_Toc176409148"/>
      <w:bookmarkStart w:id="320" w:name="_Toc176410504"/>
      <w:bookmarkStart w:id="321" w:name="_Toc176411246"/>
      <w:bookmarkStart w:id="322" w:name="_Toc176411552"/>
      <w:bookmarkStart w:id="323" w:name="_Toc176411792"/>
      <w:bookmarkStart w:id="324" w:name="_Toc176579501"/>
      <w:bookmarkStart w:id="325" w:name="_Toc176587788"/>
      <w:bookmarkStart w:id="326" w:name="_Toc176588395"/>
      <w:bookmarkStart w:id="327" w:name="_Toc176759301"/>
      <w:bookmarkStart w:id="328" w:name="_Toc176759755"/>
      <w:bookmarkStart w:id="329" w:name="_Toc176760544"/>
      <w:bookmarkStart w:id="330" w:name="_Toc176762029"/>
      <w:bookmarkStart w:id="331" w:name="_Toc176763404"/>
      <w:bookmarkStart w:id="332" w:name="_Toc176764405"/>
      <w:bookmarkStart w:id="333" w:name="_Toc176861274"/>
      <w:bookmarkStart w:id="334" w:name="_Toc176861340"/>
      <w:bookmarkStart w:id="335" w:name="_Toc177624799"/>
      <w:bookmarkStart w:id="336" w:name="_Toc177624847"/>
      <w:bookmarkStart w:id="337" w:name="_Toc177625445"/>
      <w:bookmarkStart w:id="338" w:name="_Toc177625818"/>
      <w:bookmarkStart w:id="339" w:name="_Toc177626194"/>
      <w:bookmarkStart w:id="340" w:name="_Toc177626759"/>
      <w:bookmarkStart w:id="341" w:name="_Toc177627593"/>
      <w:bookmarkStart w:id="342" w:name="_Toc177783994"/>
      <w:bookmarkStart w:id="343" w:name="_Toc177786588"/>
      <w:bookmarkStart w:id="344" w:name="_Toc177788447"/>
      <w:bookmarkStart w:id="345" w:name="_Toc177788485"/>
      <w:bookmarkStart w:id="346" w:name="_Toc177792375"/>
      <w:bookmarkStart w:id="347" w:name="_Toc177793478"/>
      <w:bookmarkStart w:id="348" w:name="_Toc177793749"/>
      <w:bookmarkStart w:id="349" w:name="_Toc177794827"/>
      <w:bookmarkStart w:id="350" w:name="_Toc177797289"/>
      <w:bookmarkStart w:id="351" w:name="_Toc177799392"/>
      <w:bookmarkStart w:id="352" w:name="_Toc177799656"/>
      <w:bookmarkStart w:id="353" w:name="_Toc177800069"/>
      <w:bookmarkStart w:id="354" w:name="_Toc177800142"/>
      <w:bookmarkStart w:id="355" w:name="_Toc177809198"/>
      <w:bookmarkStart w:id="356" w:name="_Toc177809288"/>
      <w:bookmarkStart w:id="357" w:name="_Toc177811574"/>
      <w:bookmarkStart w:id="358" w:name="_Toc177812245"/>
      <w:bookmarkStart w:id="359" w:name="_Toc177812283"/>
      <w:bookmarkStart w:id="360" w:name="_Toc177869925"/>
      <w:bookmarkStart w:id="361" w:name="_Toc178659552"/>
      <w:bookmarkStart w:id="362" w:name="_Toc178661916"/>
      <w:bookmarkStart w:id="363" w:name="_Toc178741877"/>
      <w:bookmarkStart w:id="364" w:name="_Toc178756177"/>
      <w:bookmarkStart w:id="365" w:name="_Toc179340872"/>
      <w:bookmarkStart w:id="366" w:name="_Toc248218220"/>
      <w:bookmarkStart w:id="367" w:name="_Toc175156481"/>
      <w:bookmarkStart w:id="368" w:name="_Toc175475258"/>
      <w:bookmarkStart w:id="369" w:name="_Toc175478435"/>
      <w:r>
        <w:rPr>
          <w:rStyle w:val="CharDivNo"/>
        </w:rPr>
        <w:t>Division 1</w:t>
      </w:r>
      <w:r>
        <w:t> — </w:t>
      </w:r>
      <w:r>
        <w:rPr>
          <w:rStyle w:val="CharDivText"/>
        </w:rPr>
        <w:t>General</w:t>
      </w:r>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p>
    <w:p>
      <w:pPr>
        <w:pStyle w:val="nzHeading5"/>
        <w:outlineLvl w:val="0"/>
      </w:pPr>
      <w:bookmarkStart w:id="370" w:name="_Toc177869926"/>
      <w:bookmarkStart w:id="371" w:name="_Toc248218221"/>
      <w:bookmarkStart w:id="372" w:name="_Toc25433375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r>
        <w:rPr>
          <w:rStyle w:val="CharSectno"/>
        </w:rPr>
        <w:t>18</w:t>
      </w:r>
      <w:r>
        <w:t>.</w:t>
      </w:r>
      <w:r>
        <w:tab/>
        <w:t>Terms used</w:t>
      </w:r>
      <w:bookmarkEnd w:id="370"/>
      <w:bookmarkEnd w:id="371"/>
      <w:bookmarkEnd w:id="372"/>
    </w:p>
    <w:p>
      <w:pPr>
        <w:pStyle w:val="nzSubsection"/>
      </w:pPr>
      <w:r>
        <w:tab/>
      </w:r>
      <w:r>
        <w:tab/>
        <w:t xml:space="preserve">In this Part — </w:t>
      </w:r>
    </w:p>
    <w:p>
      <w:pPr>
        <w:pStyle w:val="nzDefstart"/>
      </w:pPr>
      <w:r>
        <w:tab/>
      </w:r>
      <w:r>
        <w:rPr>
          <w:rStyle w:val="CharDefText"/>
        </w:rPr>
        <w:t>approved</w:t>
      </w:r>
      <w:r>
        <w:t xml:space="preserve"> means approved by the scheme water supplier;</w:t>
      </w:r>
    </w:p>
    <w:p>
      <w:pPr>
        <w:pStyle w:val="nzDefstart"/>
      </w:pPr>
      <w:r>
        <w:tab/>
      </w:r>
      <w:r>
        <w:rPr>
          <w:rStyle w:val="CharDefText"/>
        </w:rPr>
        <w:t>consumption year</w:t>
      </w:r>
      <w:r>
        <w:t xml:space="preserve"> has the meaning given in the </w:t>
      </w:r>
      <w:r>
        <w:rPr>
          <w:i/>
        </w:rPr>
        <w:t>Water Agencies (Charges) By</w:t>
      </w:r>
      <w:r>
        <w:rPr>
          <w:i/>
        </w:rPr>
        <w:noBreakHyphen/>
        <w:t>laws 1987</w:t>
      </w:r>
      <w:r>
        <w:t xml:space="preserve"> by</w:t>
      </w:r>
      <w:r>
        <w:noBreakHyphen/>
        <w:t>law 2(1);</w:t>
      </w:r>
    </w:p>
    <w:p>
      <w:pPr>
        <w:pStyle w:val="nzDefstart"/>
      </w:pPr>
      <w:r>
        <w:tab/>
      </w:r>
      <w:r>
        <w:rPr>
          <w:rStyle w:val="CharDefText"/>
        </w:rPr>
        <w:t>non</w:t>
      </w:r>
      <w:r>
        <w:rPr>
          <w:rStyle w:val="CharDefText"/>
        </w:rPr>
        <w:noBreakHyphen/>
        <w:t>residential lot</w:t>
      </w:r>
      <w:r>
        <w:t xml:space="preserve"> means a lot as defined in section 41GA(5) of the Act, except a habitable lot as defined in that section;</w:t>
      </w:r>
    </w:p>
    <w:p>
      <w:pPr>
        <w:pStyle w:val="nzDefstart"/>
      </w:pPr>
      <w:r>
        <w:tab/>
      </w:r>
      <w:r>
        <w:rPr>
          <w:rStyle w:val="CharDefText"/>
        </w:rPr>
        <w:t>scheme water efficiency management plan</w:t>
      </w:r>
      <w:r>
        <w:t>, in relation to a non</w:t>
      </w:r>
      <w:r>
        <w:noBreakHyphen/>
        <w:t>residential lot, means a plan for ensuring that water supplied to the lot is used as efficiently as practicable, prepared in the approved form and containing —</w:t>
      </w:r>
    </w:p>
    <w:p>
      <w:pPr>
        <w:pStyle w:val="nzIndenta"/>
      </w:pPr>
      <w:r>
        <w:tab/>
        <w:t>(a)</w:t>
      </w:r>
      <w:r>
        <w:tab/>
        <w:t>the full name and address of each owner and occupier of the lot; and</w:t>
      </w:r>
    </w:p>
    <w:p>
      <w:pPr>
        <w:pStyle w:val="nzIndenta"/>
      </w:pPr>
      <w:r>
        <w:tab/>
        <w:t>(b)</w:t>
      </w:r>
      <w:r>
        <w:tab/>
        <w:t>a description of the nature of any business or other work being conducted on the lot; and</w:t>
      </w:r>
    </w:p>
    <w:p>
      <w:pPr>
        <w:pStyle w:val="nzIndenta"/>
      </w:pPr>
      <w:r>
        <w:tab/>
        <w:t>(c)</w:t>
      </w:r>
      <w:r>
        <w:tab/>
        <w:t>details of the measures comprising the plan, including proposed timeframes for implementing each of those measures; and</w:t>
      </w:r>
    </w:p>
    <w:p>
      <w:pPr>
        <w:pStyle w:val="nzIndenta"/>
      </w:pPr>
      <w:r>
        <w:tab/>
        <w:t>(d)</w:t>
      </w:r>
      <w:r>
        <w:tab/>
        <w:t>the estimated savings in water use under the plan; and</w:t>
      </w:r>
    </w:p>
    <w:p>
      <w:pPr>
        <w:pStyle w:val="nzIndenta"/>
      </w:pPr>
      <w:r>
        <w:tab/>
        <w:t>(e)</w:t>
      </w:r>
      <w:r>
        <w:tab/>
        <w:t>the substance of the most recent report under by</w:t>
      </w:r>
      <w:r>
        <w:noBreakHyphen/>
        <w:t>law 29 (if any) prepared in relation to the lot; and</w:t>
      </w:r>
    </w:p>
    <w:p>
      <w:pPr>
        <w:pStyle w:val="nzIndenta"/>
      </w:pPr>
      <w:r>
        <w:tab/>
        <w:t>(f)</w:t>
      </w:r>
      <w:r>
        <w:tab/>
        <w:t>such other information as the scheme water supplier reasonably requires, as specified in any notice under by</w:t>
      </w:r>
      <w:r>
        <w:noBreakHyphen/>
        <w:t>law 20(2), 21(2) or 27(1);</w:t>
      </w:r>
    </w:p>
    <w:p>
      <w:pPr>
        <w:pStyle w:val="nzDefstart"/>
      </w:pPr>
      <w:r>
        <w:tab/>
      </w:r>
      <w:r>
        <w:rPr>
          <w:rStyle w:val="CharDefText"/>
        </w:rPr>
        <w:t>water</w:t>
      </w:r>
      <w:r>
        <w:t xml:space="preserve"> means scheme water.</w:t>
      </w:r>
    </w:p>
    <w:p>
      <w:pPr>
        <w:pStyle w:val="nzHeading5"/>
        <w:outlineLvl w:val="0"/>
      </w:pPr>
      <w:bookmarkStart w:id="373" w:name="_Toc177869927"/>
      <w:bookmarkStart w:id="374" w:name="_Toc248218222"/>
      <w:bookmarkStart w:id="375" w:name="_Toc254333758"/>
      <w:bookmarkStart w:id="376" w:name="_Toc110403906"/>
      <w:bookmarkStart w:id="377" w:name="_Toc117689165"/>
      <w:bookmarkStart w:id="378" w:name="_Toc174939440"/>
      <w:bookmarkStart w:id="379" w:name="_Toc177869928"/>
      <w:bookmarkStart w:id="380" w:name="_Toc248218223"/>
      <w:r>
        <w:rPr>
          <w:rStyle w:val="CharSectno"/>
        </w:rPr>
        <w:t>19</w:t>
      </w:r>
      <w:r>
        <w:t>.</w:t>
      </w:r>
      <w:r>
        <w:tab/>
        <w:t>Extensions of time</w:t>
      </w:r>
      <w:bookmarkEnd w:id="373"/>
      <w:bookmarkEnd w:id="374"/>
      <w:bookmarkEnd w:id="375"/>
    </w:p>
    <w:p>
      <w:pPr>
        <w:pStyle w:val="nzSubsection"/>
      </w:pPr>
      <w:r>
        <w:tab/>
        <w:t>(1)</w:t>
      </w:r>
      <w:r>
        <w:tab/>
        <w:t xml:space="preserve">Where under this Part — </w:t>
      </w:r>
    </w:p>
    <w:p>
      <w:pPr>
        <w:pStyle w:val="nzIndenta"/>
      </w:pPr>
      <w:r>
        <w:tab/>
        <w:t>(a)</w:t>
      </w:r>
      <w:r>
        <w:tab/>
        <w:t>it is an offence for a person to fail to do something within a specified period; and</w:t>
      </w:r>
    </w:p>
    <w:p>
      <w:pPr>
        <w:pStyle w:val="nzIndenta"/>
      </w:pPr>
      <w:r>
        <w:tab/>
        <w:t>(b)</w:t>
      </w:r>
      <w:r>
        <w:tab/>
        <w:t>in a particular case it is not practicable for the person to do the thing within that period,</w:t>
      </w:r>
    </w:p>
    <w:p>
      <w:pPr>
        <w:pStyle w:val="nzSubsection"/>
      </w:pPr>
      <w:r>
        <w:tab/>
      </w:r>
      <w:r>
        <w:tab/>
        <w:t>the person may, before the end of the period, make a written application to the scheme water supplier to extend that period.</w:t>
      </w:r>
    </w:p>
    <w:p>
      <w:pPr>
        <w:pStyle w:val="nzSubsection"/>
      </w:pPr>
      <w:r>
        <w:tab/>
        <w:t>(2)</w:t>
      </w:r>
      <w:r>
        <w:tab/>
        <w:t>The scheme water supplier may, on an application under sub</w:t>
      </w:r>
      <w:r>
        <w:noBreakHyphen/>
        <w:t>bylaw (1) extend the period.</w:t>
      </w:r>
    </w:p>
    <w:p>
      <w:pPr>
        <w:pStyle w:val="nzSubsection"/>
      </w:pPr>
      <w:r>
        <w:tab/>
        <w:t>(3)</w:t>
      </w:r>
      <w:r>
        <w:tab/>
        <w:t>The person does not commit the offence if the person does the thing within the extended period.</w:t>
      </w:r>
    </w:p>
    <w:p>
      <w:pPr>
        <w:pStyle w:val="nzHeading3"/>
      </w:pPr>
      <w:bookmarkStart w:id="381" w:name="_Toc253407963"/>
      <w:bookmarkStart w:id="382" w:name="_Toc253409372"/>
      <w:bookmarkStart w:id="383" w:name="_Toc253409439"/>
      <w:bookmarkStart w:id="384" w:name="_Toc253409830"/>
      <w:bookmarkStart w:id="385" w:name="_Toc253409916"/>
      <w:bookmarkStart w:id="386" w:name="_Toc253411506"/>
      <w:bookmarkStart w:id="387" w:name="_Toc253412801"/>
      <w:bookmarkStart w:id="388" w:name="_Toc253412855"/>
      <w:bookmarkStart w:id="389" w:name="_Toc253472321"/>
      <w:bookmarkStart w:id="390" w:name="_Toc253482344"/>
      <w:bookmarkStart w:id="391" w:name="_Toc253729612"/>
      <w:bookmarkStart w:id="392" w:name="_Toc253729665"/>
      <w:bookmarkStart w:id="393" w:name="_Toc253730834"/>
      <w:bookmarkStart w:id="394" w:name="_Toc253730887"/>
      <w:bookmarkStart w:id="395" w:name="_Toc253730940"/>
      <w:bookmarkStart w:id="396" w:name="_Toc254182186"/>
      <w:bookmarkStart w:id="397" w:name="_Toc254182491"/>
      <w:bookmarkStart w:id="398" w:name="_Toc254183064"/>
      <w:bookmarkStart w:id="399" w:name="_Toc254183167"/>
      <w:bookmarkStart w:id="400" w:name="_Toc254190541"/>
      <w:bookmarkStart w:id="401" w:name="_Toc254263034"/>
      <w:bookmarkStart w:id="402" w:name="_Toc254263611"/>
      <w:bookmarkStart w:id="403" w:name="_Toc254333759"/>
      <w:r>
        <w:rPr>
          <w:rStyle w:val="CharDivNo"/>
        </w:rPr>
        <w:t>Division 2</w:t>
      </w:r>
      <w:r>
        <w:t> — </w:t>
      </w:r>
      <w:r>
        <w:rPr>
          <w:rStyle w:val="CharDivText"/>
        </w:rPr>
        <w:t>Preparation, submission and approval of scheme water efficiency management plans</w:t>
      </w:r>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p>
    <w:p>
      <w:pPr>
        <w:pStyle w:val="nzHeading5"/>
        <w:outlineLvl w:val="0"/>
      </w:pPr>
      <w:bookmarkStart w:id="404" w:name="_Toc254333760"/>
      <w:r>
        <w:rPr>
          <w:rStyle w:val="CharSectno"/>
        </w:rPr>
        <w:t>20</w:t>
      </w:r>
      <w:r>
        <w:t>.</w:t>
      </w:r>
      <w:r>
        <w:tab/>
      </w:r>
      <w:bookmarkEnd w:id="376"/>
      <w:bookmarkEnd w:id="377"/>
      <w:bookmarkEnd w:id="378"/>
      <w:r>
        <w:t xml:space="preserve">Initial preparation and submission of </w:t>
      </w:r>
      <w:bookmarkEnd w:id="379"/>
      <w:bookmarkEnd w:id="380"/>
      <w:r>
        <w:t>scheme water efficiency management plan</w:t>
      </w:r>
      <w:bookmarkEnd w:id="404"/>
    </w:p>
    <w:p>
      <w:pPr>
        <w:pStyle w:val="nzSubsection"/>
      </w:pPr>
      <w:r>
        <w:tab/>
        <w:t>(1)</w:t>
      </w:r>
      <w:r>
        <w:tab/>
        <w:t>This by</w:t>
      </w:r>
      <w:r>
        <w:noBreakHyphen/>
        <w:t>law applies to an owner or occupier of a non</w:t>
      </w:r>
      <w:r>
        <w:noBreakHyphen/>
        <w:t xml:space="preserve">residential lot in a particular consumption year unless — </w:t>
      </w:r>
    </w:p>
    <w:p>
      <w:pPr>
        <w:pStyle w:val="nzIndenta"/>
      </w:pPr>
      <w:r>
        <w:tab/>
        <w:t>(a)</w:t>
      </w:r>
      <w:r>
        <w:tab/>
        <w:t>the lot was supplied with less than 20 ML of water in the consumption year immediately before that year; or</w:t>
      </w:r>
    </w:p>
    <w:p>
      <w:pPr>
        <w:pStyle w:val="nzIndenta"/>
      </w:pPr>
      <w:r>
        <w:tab/>
        <w:t>(b)</w:t>
      </w:r>
      <w:r>
        <w:tab/>
        <w:t xml:space="preserve">the owner or occupier has submitted to the scheme water supplier a scheme water efficiency management plan, the approval of which — </w:t>
      </w:r>
    </w:p>
    <w:p>
      <w:pPr>
        <w:pStyle w:val="nzIndenti"/>
      </w:pPr>
      <w:r>
        <w:tab/>
        <w:t>(i)</w:t>
      </w:r>
      <w:r>
        <w:tab/>
        <w:t>is being considered under by</w:t>
      </w:r>
      <w:r>
        <w:noBreakHyphen/>
        <w:t>law 21; or</w:t>
      </w:r>
    </w:p>
    <w:p>
      <w:pPr>
        <w:pStyle w:val="nzIndenti"/>
      </w:pPr>
      <w:r>
        <w:tab/>
        <w:t>(ii)</w:t>
      </w:r>
      <w:r>
        <w:tab/>
        <w:t>has been given and remains in force under by</w:t>
      </w:r>
      <w:r>
        <w:noBreakHyphen/>
        <w:t>law 24.</w:t>
      </w:r>
    </w:p>
    <w:p>
      <w:pPr>
        <w:pStyle w:val="nzSubsection"/>
      </w:pPr>
      <w:r>
        <w:tab/>
        <w:t>(2)</w:t>
      </w:r>
      <w:r>
        <w:tab/>
        <w:t>The scheme water supplier may, by notice in writing, require the owner or occupier to prepare and submit for approval to the scheme water supplier a scheme water efficiency management plan.</w:t>
      </w:r>
    </w:p>
    <w:p>
      <w:pPr>
        <w:pStyle w:val="nzSubsection"/>
      </w:pPr>
      <w:r>
        <w:tab/>
        <w:t>(3)</w:t>
      </w:r>
      <w:r>
        <w:tab/>
        <w:t>A person who is served with a notice under sub</w:t>
      </w:r>
      <w:r>
        <w:noBreakHyphen/>
        <w:t>bylaw (2) must prepare the scheme water efficiency management plan and submit it for approval to the scheme water supplier within 90 days after the notice is served on the person.</w:t>
      </w:r>
    </w:p>
    <w:p>
      <w:pPr>
        <w:pStyle w:val="nzPenstart"/>
      </w:pPr>
      <w:r>
        <w:tab/>
        <w:t>Penalty: a fine of $2 000.</w:t>
      </w:r>
    </w:p>
    <w:p>
      <w:pPr>
        <w:pStyle w:val="nzHeading5"/>
        <w:outlineLvl w:val="0"/>
      </w:pPr>
      <w:bookmarkStart w:id="405" w:name="_Toc177869929"/>
      <w:bookmarkStart w:id="406" w:name="_Toc248218224"/>
      <w:bookmarkStart w:id="407" w:name="_Toc254333761"/>
      <w:r>
        <w:rPr>
          <w:rStyle w:val="CharSectno"/>
        </w:rPr>
        <w:t>21</w:t>
      </w:r>
      <w:r>
        <w:t>.</w:t>
      </w:r>
      <w:r>
        <w:tab/>
        <w:t>Approvals, requests for further information and requests for amendments</w:t>
      </w:r>
      <w:bookmarkEnd w:id="405"/>
      <w:bookmarkEnd w:id="406"/>
      <w:bookmarkEnd w:id="407"/>
    </w:p>
    <w:p>
      <w:pPr>
        <w:pStyle w:val="nzSubsection"/>
      </w:pPr>
      <w:r>
        <w:tab/>
        <w:t>(1)</w:t>
      </w:r>
      <w:r>
        <w:tab/>
        <w:t>This by</w:t>
      </w:r>
      <w:r>
        <w:noBreakHyphen/>
        <w:t>law applies when the scheme water supplier receives from a person —</w:t>
      </w:r>
    </w:p>
    <w:p>
      <w:pPr>
        <w:pStyle w:val="nzIndenta"/>
      </w:pPr>
      <w:r>
        <w:tab/>
        <w:t>(a)</w:t>
      </w:r>
      <w:r>
        <w:tab/>
        <w:t>a scheme water efficiency management plan prepared and submitted under sub</w:t>
      </w:r>
      <w:r>
        <w:noBreakHyphen/>
        <w:t>bylaw (4) or by</w:t>
      </w:r>
      <w:r>
        <w:noBreakHyphen/>
        <w:t>law 20(3), 22, 26 or 27(3); or</w:t>
      </w:r>
    </w:p>
    <w:p>
      <w:pPr>
        <w:pStyle w:val="nzIndenta"/>
      </w:pPr>
      <w:r>
        <w:tab/>
        <w:t>(b)</w:t>
      </w:r>
      <w:r>
        <w:tab/>
        <w:t>further information provided under sub</w:t>
      </w:r>
      <w:r>
        <w:noBreakHyphen/>
        <w:t>bylaw (3).</w:t>
      </w:r>
    </w:p>
    <w:p>
      <w:pPr>
        <w:pStyle w:val="nzSubsection"/>
      </w:pPr>
      <w:r>
        <w:tab/>
        <w:t>(2)</w:t>
      </w:r>
      <w:r>
        <w:tab/>
        <w:t xml:space="preserve">The scheme water supplier must, by notice in writing served on the person within 60 days after the plan is received by the scheme water supplier — </w:t>
      </w:r>
    </w:p>
    <w:p>
      <w:pPr>
        <w:pStyle w:val="nzIndenta"/>
      </w:pPr>
      <w:r>
        <w:tab/>
        <w:t>(a)</w:t>
      </w:r>
      <w:r>
        <w:tab/>
        <w:t>approve the plan in the form most recently submitted; or</w:t>
      </w:r>
    </w:p>
    <w:p>
      <w:pPr>
        <w:pStyle w:val="nzIndenta"/>
      </w:pPr>
      <w:r>
        <w:tab/>
        <w:t>(b)</w:t>
      </w:r>
      <w:r>
        <w:tab/>
        <w:t>request further information from the person relating to the plan, including the person’s comments on any specific amendments to the plan the scheme water supplier considers might be necessary; or</w:t>
      </w:r>
    </w:p>
    <w:p>
      <w:pPr>
        <w:pStyle w:val="nzIndenta"/>
      </w:pPr>
      <w:r>
        <w:tab/>
        <w:t>(c)</w:t>
      </w:r>
      <w:r>
        <w:tab/>
        <w:t>request an amended scheme water efficiency management plan in accordance with any instructions specified in the notice; or</w:t>
      </w:r>
    </w:p>
    <w:p>
      <w:pPr>
        <w:pStyle w:val="nzIndenta"/>
      </w:pPr>
      <w:r>
        <w:tab/>
        <w:t>(d)</w:t>
      </w:r>
      <w:r>
        <w:tab/>
        <w:t>if, while the scheme water supplier is considering the plan, a subsequent revised scheme water efficiency management plan is submitted to the scheme water supplier under by</w:t>
      </w:r>
      <w:r>
        <w:noBreakHyphen/>
        <w:t>law 22, do anything referred to in paragraph (a), (b) or (c) in relation to the revised plan.</w:t>
      </w:r>
    </w:p>
    <w:p>
      <w:pPr>
        <w:pStyle w:val="nzSubsection"/>
      </w:pPr>
      <w:r>
        <w:tab/>
        <w:t>(3)</w:t>
      </w:r>
      <w:r>
        <w:tab/>
        <w:t>A person who is served with a notice under sub</w:t>
      </w:r>
      <w:r>
        <w:noBreakHyphen/>
        <w:t>bylaw (2)(b) must provide the further information within 30 days after the notice is served on the person.</w:t>
      </w:r>
    </w:p>
    <w:p>
      <w:pPr>
        <w:pStyle w:val="nzPenstart"/>
      </w:pPr>
      <w:r>
        <w:tab/>
        <w:t>Penalty: a fine of $2 000.</w:t>
      </w:r>
    </w:p>
    <w:p>
      <w:pPr>
        <w:pStyle w:val="nzSubsection"/>
      </w:pPr>
      <w:r>
        <w:tab/>
        <w:t>(4)</w:t>
      </w:r>
      <w:r>
        <w:tab/>
        <w:t>A person who is served with a notice under sub</w:t>
      </w:r>
      <w:r>
        <w:noBreakHyphen/>
        <w:t>bylaw (2)(c) must prepare the amended scheme water efficiency management plan and submit it for approval to the scheme water supplier within 60 days after the notice is served on the person.</w:t>
      </w:r>
    </w:p>
    <w:p>
      <w:pPr>
        <w:pStyle w:val="nzPenstart"/>
      </w:pPr>
      <w:r>
        <w:tab/>
        <w:t>Penalty: a fine of $2 000.</w:t>
      </w:r>
    </w:p>
    <w:p>
      <w:pPr>
        <w:pStyle w:val="nzHeading5"/>
        <w:outlineLvl w:val="0"/>
      </w:pPr>
      <w:bookmarkStart w:id="408" w:name="_Toc177869930"/>
      <w:bookmarkStart w:id="409" w:name="_Toc248218225"/>
      <w:bookmarkStart w:id="410" w:name="_Toc254333762"/>
      <w:r>
        <w:rPr>
          <w:rStyle w:val="CharSectno"/>
        </w:rPr>
        <w:t>22</w:t>
      </w:r>
      <w:r>
        <w:t>.</w:t>
      </w:r>
      <w:r>
        <w:tab/>
        <w:t>Persons may submit revised plans for approval at any time</w:t>
      </w:r>
      <w:bookmarkEnd w:id="408"/>
      <w:bookmarkEnd w:id="409"/>
      <w:bookmarkEnd w:id="410"/>
    </w:p>
    <w:p>
      <w:pPr>
        <w:pStyle w:val="nzSubsection"/>
      </w:pPr>
      <w:r>
        <w:tab/>
      </w:r>
      <w:r>
        <w:tab/>
        <w:t>A person who has submitted a scheme water efficiency management plan for approval to the scheme water supplier under this Part may, at any time after that submission (whether or not the plan has been approved), prepare a revised scheme water efficiency management plan and submit it for approval to the scheme water supplier.</w:t>
      </w:r>
    </w:p>
    <w:p>
      <w:pPr>
        <w:pStyle w:val="nzHeading3"/>
      </w:pPr>
      <w:bookmarkStart w:id="411" w:name="_Toc253407967"/>
      <w:bookmarkStart w:id="412" w:name="_Toc253409376"/>
      <w:bookmarkStart w:id="413" w:name="_Toc253409443"/>
      <w:bookmarkStart w:id="414" w:name="_Toc253409834"/>
      <w:bookmarkStart w:id="415" w:name="_Toc253409920"/>
      <w:bookmarkStart w:id="416" w:name="_Toc253411510"/>
      <w:bookmarkStart w:id="417" w:name="_Toc253412805"/>
      <w:bookmarkStart w:id="418" w:name="_Toc253412859"/>
      <w:bookmarkStart w:id="419" w:name="_Toc253472325"/>
      <w:bookmarkStart w:id="420" w:name="_Toc253482348"/>
      <w:bookmarkStart w:id="421" w:name="_Toc253729616"/>
      <w:bookmarkStart w:id="422" w:name="_Toc253729669"/>
      <w:bookmarkStart w:id="423" w:name="_Toc253730838"/>
      <w:bookmarkStart w:id="424" w:name="_Toc253730891"/>
      <w:bookmarkStart w:id="425" w:name="_Toc253730944"/>
      <w:bookmarkStart w:id="426" w:name="_Toc254182190"/>
      <w:bookmarkStart w:id="427" w:name="_Toc254182495"/>
      <w:bookmarkStart w:id="428" w:name="_Toc254183068"/>
      <w:bookmarkStart w:id="429" w:name="_Toc254183171"/>
      <w:bookmarkStart w:id="430" w:name="_Toc254190545"/>
      <w:bookmarkStart w:id="431" w:name="_Toc254263038"/>
      <w:bookmarkStart w:id="432" w:name="_Toc254263615"/>
      <w:bookmarkStart w:id="433" w:name="_Toc254333763"/>
      <w:bookmarkStart w:id="434" w:name="_Toc176403141"/>
      <w:bookmarkStart w:id="435" w:name="_Toc176409153"/>
      <w:bookmarkStart w:id="436" w:name="_Toc176410509"/>
      <w:bookmarkStart w:id="437" w:name="_Toc176411252"/>
      <w:bookmarkStart w:id="438" w:name="_Toc176411558"/>
      <w:bookmarkStart w:id="439" w:name="_Toc176411798"/>
      <w:bookmarkStart w:id="440" w:name="_Toc176579507"/>
      <w:bookmarkStart w:id="441" w:name="_Toc176587794"/>
      <w:bookmarkStart w:id="442" w:name="_Toc176588401"/>
      <w:bookmarkStart w:id="443" w:name="_Toc176759307"/>
      <w:bookmarkStart w:id="444" w:name="_Toc176759761"/>
      <w:bookmarkStart w:id="445" w:name="_Toc176760550"/>
      <w:bookmarkStart w:id="446" w:name="_Toc176762034"/>
      <w:bookmarkStart w:id="447" w:name="_Toc176763409"/>
      <w:bookmarkStart w:id="448" w:name="_Toc176764410"/>
      <w:bookmarkStart w:id="449" w:name="_Toc176861279"/>
      <w:bookmarkStart w:id="450" w:name="_Toc176861345"/>
      <w:bookmarkStart w:id="451" w:name="_Toc177624805"/>
      <w:bookmarkStart w:id="452" w:name="_Toc177624853"/>
      <w:bookmarkStart w:id="453" w:name="_Toc177625451"/>
      <w:bookmarkStart w:id="454" w:name="_Toc177625824"/>
      <w:bookmarkStart w:id="455" w:name="_Toc177626200"/>
      <w:bookmarkStart w:id="456" w:name="_Toc177626765"/>
      <w:bookmarkStart w:id="457" w:name="_Toc177627599"/>
      <w:bookmarkStart w:id="458" w:name="_Toc177784000"/>
      <w:bookmarkStart w:id="459" w:name="_Toc177786594"/>
      <w:bookmarkStart w:id="460" w:name="_Toc177788453"/>
      <w:bookmarkStart w:id="461" w:name="_Toc177788491"/>
      <w:bookmarkStart w:id="462" w:name="_Toc177792381"/>
      <w:bookmarkStart w:id="463" w:name="_Toc177793484"/>
      <w:bookmarkStart w:id="464" w:name="_Toc177793755"/>
      <w:bookmarkStart w:id="465" w:name="_Toc177794833"/>
      <w:bookmarkStart w:id="466" w:name="_Toc177797295"/>
      <w:bookmarkStart w:id="467" w:name="_Toc177799398"/>
      <w:bookmarkStart w:id="468" w:name="_Toc177799662"/>
      <w:bookmarkStart w:id="469" w:name="_Toc177800075"/>
      <w:bookmarkStart w:id="470" w:name="_Toc177800148"/>
      <w:bookmarkStart w:id="471" w:name="_Toc177809204"/>
      <w:bookmarkStart w:id="472" w:name="_Toc177809294"/>
      <w:bookmarkStart w:id="473" w:name="_Toc177811580"/>
      <w:bookmarkStart w:id="474" w:name="_Toc177812251"/>
      <w:bookmarkStart w:id="475" w:name="_Toc177812289"/>
      <w:bookmarkStart w:id="476" w:name="_Toc177869931"/>
      <w:bookmarkStart w:id="477" w:name="_Toc178659558"/>
      <w:bookmarkStart w:id="478" w:name="_Toc178661922"/>
      <w:bookmarkStart w:id="479" w:name="_Toc178741883"/>
      <w:bookmarkStart w:id="480" w:name="_Toc178756183"/>
      <w:bookmarkStart w:id="481" w:name="_Toc179340878"/>
      <w:bookmarkStart w:id="482" w:name="_Toc248218226"/>
      <w:r>
        <w:rPr>
          <w:rStyle w:val="CharDivNo"/>
        </w:rPr>
        <w:t>Division 3</w:t>
      </w:r>
      <w:r>
        <w:t> — </w:t>
      </w:r>
      <w:r>
        <w:rPr>
          <w:rStyle w:val="CharDivText"/>
        </w:rPr>
        <w:t>After approval of scheme water efficiency management plans</w:t>
      </w:r>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p>
    <w:p>
      <w:pPr>
        <w:pStyle w:val="nzHeading5"/>
        <w:outlineLvl w:val="0"/>
      </w:pPr>
      <w:bookmarkStart w:id="483" w:name="_Toc177869932"/>
      <w:bookmarkStart w:id="484" w:name="_Toc248218227"/>
      <w:bookmarkStart w:id="485" w:name="_Toc254333764"/>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r>
        <w:rPr>
          <w:rStyle w:val="CharSectno"/>
        </w:rPr>
        <w:t>23</w:t>
      </w:r>
      <w:r>
        <w:t>.</w:t>
      </w:r>
      <w:r>
        <w:tab/>
        <w:t>Application</w:t>
      </w:r>
      <w:bookmarkEnd w:id="483"/>
      <w:bookmarkEnd w:id="484"/>
      <w:bookmarkEnd w:id="485"/>
    </w:p>
    <w:p>
      <w:pPr>
        <w:pStyle w:val="nzSubsection"/>
      </w:pPr>
      <w:r>
        <w:tab/>
      </w:r>
      <w:r>
        <w:tab/>
        <w:t>This Division applies where a person has submitted a scheme water efficiency management plan under by</w:t>
      </w:r>
      <w:r>
        <w:noBreakHyphen/>
        <w:t>law 20(3), 21(4), 22, 26 or 27(3) and the plan has been approved.</w:t>
      </w:r>
    </w:p>
    <w:p>
      <w:pPr>
        <w:pStyle w:val="nzHeading5"/>
        <w:outlineLvl w:val="0"/>
      </w:pPr>
      <w:bookmarkStart w:id="486" w:name="_Toc177869933"/>
      <w:bookmarkStart w:id="487" w:name="_Toc248218228"/>
      <w:bookmarkStart w:id="488" w:name="_Toc254333765"/>
      <w:r>
        <w:rPr>
          <w:rStyle w:val="CharSectno"/>
        </w:rPr>
        <w:t>24</w:t>
      </w:r>
      <w:r>
        <w:t>.</w:t>
      </w:r>
      <w:r>
        <w:tab/>
        <w:t xml:space="preserve">Period of approval of </w:t>
      </w:r>
      <w:bookmarkEnd w:id="486"/>
      <w:bookmarkEnd w:id="487"/>
      <w:r>
        <w:t>scheme water efficiency management plan</w:t>
      </w:r>
      <w:bookmarkEnd w:id="488"/>
    </w:p>
    <w:p>
      <w:pPr>
        <w:pStyle w:val="nzSubsection"/>
      </w:pPr>
      <w:r>
        <w:tab/>
      </w:r>
      <w:r>
        <w:tab/>
        <w:t>The approval remains in force on and from the day the approval was given until —</w:t>
      </w:r>
    </w:p>
    <w:p>
      <w:pPr>
        <w:pStyle w:val="nzIndenta"/>
      </w:pPr>
      <w:r>
        <w:tab/>
        <w:t>(a)</w:t>
      </w:r>
      <w:r>
        <w:tab/>
        <w:t>the person ceases to be an owner or occupier of the lot; or</w:t>
      </w:r>
    </w:p>
    <w:p>
      <w:pPr>
        <w:pStyle w:val="nzIndenta"/>
      </w:pPr>
      <w:r>
        <w:tab/>
        <w:t>(b)</w:t>
      </w:r>
      <w:r>
        <w:tab/>
        <w:t>the approval is revoked under by</w:t>
      </w:r>
      <w:r>
        <w:noBreakHyphen/>
        <w:t>law 28; or</w:t>
      </w:r>
    </w:p>
    <w:p>
      <w:pPr>
        <w:pStyle w:val="nzIndenta"/>
      </w:pPr>
      <w:r>
        <w:tab/>
        <w:t>(c)</w:t>
      </w:r>
      <w:r>
        <w:tab/>
        <w:t>a revised scheme water efficiency management plan is submitted by the person under by</w:t>
      </w:r>
      <w:r>
        <w:noBreakHyphen/>
        <w:t>law 22, 26 or 27(3) and is approved; or</w:t>
      </w:r>
    </w:p>
    <w:p>
      <w:pPr>
        <w:pStyle w:val="nzIndenta"/>
      </w:pPr>
      <w:r>
        <w:tab/>
        <w:t>(d)</w:t>
      </w:r>
      <w:r>
        <w:tab/>
        <w:t>a period of 5 years expires,</w:t>
      </w:r>
    </w:p>
    <w:p>
      <w:pPr>
        <w:pStyle w:val="nzSubsection"/>
      </w:pPr>
      <w:r>
        <w:tab/>
      </w:r>
      <w:r>
        <w:tab/>
        <w:t>whichever occurs first.</w:t>
      </w:r>
    </w:p>
    <w:p>
      <w:pPr>
        <w:pStyle w:val="nzHeading5"/>
        <w:outlineLvl w:val="0"/>
      </w:pPr>
      <w:bookmarkStart w:id="489" w:name="_Toc177869934"/>
      <w:bookmarkStart w:id="490" w:name="_Toc248218229"/>
      <w:bookmarkStart w:id="491" w:name="_Toc254333766"/>
      <w:r>
        <w:rPr>
          <w:rStyle w:val="CharSectno"/>
        </w:rPr>
        <w:t>25</w:t>
      </w:r>
      <w:r>
        <w:t>.</w:t>
      </w:r>
      <w:r>
        <w:tab/>
        <w:t>Compliance with scheme water efficiency management plans</w:t>
      </w:r>
      <w:bookmarkEnd w:id="489"/>
      <w:bookmarkEnd w:id="490"/>
      <w:bookmarkEnd w:id="491"/>
    </w:p>
    <w:p>
      <w:pPr>
        <w:pStyle w:val="nzSubsection"/>
      </w:pPr>
      <w:r>
        <w:tab/>
        <w:t>(1)</w:t>
      </w:r>
      <w:r>
        <w:tab/>
        <w:t>The person must comply with the scheme water efficiency management plan during the period that the approval remains in force under by</w:t>
      </w:r>
      <w:r>
        <w:noBreakHyphen/>
        <w:t>law 24.</w:t>
      </w:r>
    </w:p>
    <w:p>
      <w:pPr>
        <w:pStyle w:val="nzPenstart"/>
      </w:pPr>
      <w:r>
        <w:tab/>
        <w:t>Penalty: a fine of $2 000.</w:t>
      </w:r>
    </w:p>
    <w:p>
      <w:pPr>
        <w:pStyle w:val="nzSubsection"/>
      </w:pPr>
      <w:r>
        <w:tab/>
        <w:t>(2)</w:t>
      </w:r>
      <w:r>
        <w:tab/>
        <w:t>If the scheme water supplier reasonably suspects that the person has not complied, or is not complying, with the plan during the period that the approval remains in force under by</w:t>
      </w:r>
      <w:r>
        <w:noBreakHyphen/>
        <w:t>law 24, the scheme water supplier may, by notice in writing, require the person to provide a written report on the person’s implementation of the plan.</w:t>
      </w:r>
    </w:p>
    <w:p>
      <w:pPr>
        <w:pStyle w:val="nzSubsection"/>
      </w:pPr>
      <w:r>
        <w:tab/>
        <w:t>(3)</w:t>
      </w:r>
      <w:r>
        <w:tab/>
        <w:t>A person who is served with a notice under sub</w:t>
      </w:r>
      <w:r>
        <w:noBreakHyphen/>
        <w:t>bylaw (2) must prepare the report in an approved form and submit it to the scheme water supplier within 30 days after the notice is served on the person.</w:t>
      </w:r>
    </w:p>
    <w:p>
      <w:pPr>
        <w:pStyle w:val="nzPenstart"/>
      </w:pPr>
      <w:r>
        <w:tab/>
        <w:t>Penalty: a fine of $2 000.</w:t>
      </w:r>
    </w:p>
    <w:p>
      <w:pPr>
        <w:pStyle w:val="nzHeading5"/>
        <w:outlineLvl w:val="0"/>
      </w:pPr>
      <w:bookmarkStart w:id="492" w:name="_Toc177869935"/>
      <w:bookmarkStart w:id="493" w:name="_Toc248218230"/>
      <w:bookmarkStart w:id="494" w:name="_Toc254333767"/>
      <w:bookmarkStart w:id="495" w:name="_Toc175730343"/>
      <w:bookmarkStart w:id="496" w:name="_Toc176255638"/>
      <w:bookmarkStart w:id="497" w:name="_Toc176328340"/>
      <w:bookmarkStart w:id="498" w:name="_Toc176343440"/>
      <w:r>
        <w:rPr>
          <w:rStyle w:val="CharSectno"/>
        </w:rPr>
        <w:t>26</w:t>
      </w:r>
      <w:r>
        <w:t>.</w:t>
      </w:r>
      <w:r>
        <w:tab/>
        <w:t>Persons to submit revised scheme water efficiency management plans before end of approval period</w:t>
      </w:r>
      <w:bookmarkEnd w:id="492"/>
      <w:bookmarkEnd w:id="493"/>
      <w:bookmarkEnd w:id="494"/>
    </w:p>
    <w:p>
      <w:pPr>
        <w:pStyle w:val="nzSubsection"/>
      </w:pPr>
      <w:r>
        <w:tab/>
        <w:t>(1)</w:t>
      </w:r>
      <w:r>
        <w:tab/>
        <w:t>Except as provided in sub</w:t>
      </w:r>
      <w:r>
        <w:noBreakHyphen/>
        <w:t>bylaw (2), the person must, at least 90 days before the end of the period that the approval remains in force under by</w:t>
      </w:r>
      <w:r>
        <w:noBreakHyphen/>
        <w:t>law 24, prepare and submit for approval to the scheme water supplier a revised scheme water efficiency management plan.</w:t>
      </w:r>
    </w:p>
    <w:p>
      <w:pPr>
        <w:pStyle w:val="nzPenstart"/>
      </w:pPr>
      <w:r>
        <w:tab/>
        <w:t>Penalty: a fine of $2 000.</w:t>
      </w:r>
    </w:p>
    <w:p>
      <w:pPr>
        <w:pStyle w:val="nzSubsection"/>
      </w:pPr>
      <w:r>
        <w:tab/>
        <w:t>(2)</w:t>
      </w:r>
      <w:r>
        <w:tab/>
        <w:t>Sub</w:t>
      </w:r>
      <w:r>
        <w:noBreakHyphen/>
        <w:t xml:space="preserve">bylaw (1) does not apply to the person if — </w:t>
      </w:r>
    </w:p>
    <w:p>
      <w:pPr>
        <w:pStyle w:val="nzIndenta"/>
      </w:pPr>
      <w:r>
        <w:tab/>
        <w:t>(a)</w:t>
      </w:r>
      <w:r>
        <w:tab/>
        <w:t>the lot was supplied with less than 20 ML of water in the consumption year immediately before the consumption year in which the approval is due to expire; and</w:t>
      </w:r>
    </w:p>
    <w:p>
      <w:pPr>
        <w:pStyle w:val="nzIndenta"/>
      </w:pPr>
      <w:r>
        <w:tab/>
        <w:t>(b)</w:t>
      </w:r>
      <w:r>
        <w:tab/>
        <w:t xml:space="preserve">the person has submitted to the scheme water supplier a written notice in an approved form — </w:t>
      </w:r>
    </w:p>
    <w:p>
      <w:pPr>
        <w:pStyle w:val="nzIndenti"/>
      </w:pPr>
      <w:r>
        <w:tab/>
        <w:t>(i)</w:t>
      </w:r>
      <w:r>
        <w:tab/>
        <w:t>confirming the circumstances in paragraph (a); and</w:t>
      </w:r>
    </w:p>
    <w:p>
      <w:pPr>
        <w:pStyle w:val="nzIndenti"/>
      </w:pPr>
      <w:r>
        <w:tab/>
        <w:t>(ii)</w:t>
      </w:r>
      <w:r>
        <w:tab/>
        <w:t>stating that the person does not intend to use 20 ML or more of water in the consumption year in which the approval is due to expire.</w:t>
      </w:r>
    </w:p>
    <w:p>
      <w:pPr>
        <w:pStyle w:val="nzHeading5"/>
        <w:outlineLvl w:val="0"/>
      </w:pPr>
      <w:bookmarkStart w:id="499" w:name="_Toc177869936"/>
      <w:bookmarkStart w:id="500" w:name="_Toc248218231"/>
      <w:bookmarkStart w:id="501" w:name="_Toc254333768"/>
      <w:r>
        <w:rPr>
          <w:rStyle w:val="CharSectno"/>
        </w:rPr>
        <w:t>27</w:t>
      </w:r>
      <w:r>
        <w:t>.</w:t>
      </w:r>
      <w:r>
        <w:tab/>
        <w:t>Scheme water supplier may require revised scheme water efficiency management plans</w:t>
      </w:r>
      <w:bookmarkEnd w:id="499"/>
      <w:bookmarkEnd w:id="500"/>
      <w:bookmarkEnd w:id="501"/>
    </w:p>
    <w:p>
      <w:pPr>
        <w:pStyle w:val="nzSubsection"/>
      </w:pPr>
      <w:r>
        <w:tab/>
        <w:t>(1)</w:t>
      </w:r>
      <w:r>
        <w:tab/>
        <w:t>In addition to by</w:t>
      </w:r>
      <w:r>
        <w:noBreakHyphen/>
        <w:t>law 26, the scheme water supplier may, by notice in writing at any time during the period that the approval remains in force under by</w:t>
      </w:r>
      <w:r>
        <w:noBreakHyphen/>
        <w:t xml:space="preserve">law 24, require the person to prepare and submit for approval to the scheme water supplier a revised scheme water efficiency management plan if — </w:t>
      </w:r>
    </w:p>
    <w:p>
      <w:pPr>
        <w:pStyle w:val="nzIndenta"/>
      </w:pPr>
      <w:r>
        <w:tab/>
        <w:t>(a)</w:t>
      </w:r>
      <w:r>
        <w:tab/>
        <w:t xml:space="preserve">there has been a significant change in — </w:t>
      </w:r>
    </w:p>
    <w:p>
      <w:pPr>
        <w:pStyle w:val="nzIndenti"/>
      </w:pPr>
      <w:r>
        <w:tab/>
        <w:t>(i)</w:t>
      </w:r>
      <w:r>
        <w:tab/>
        <w:t>the use of water supplied to the lot; or</w:t>
      </w:r>
    </w:p>
    <w:p>
      <w:pPr>
        <w:pStyle w:val="nzIndenti"/>
      </w:pPr>
      <w:r>
        <w:tab/>
        <w:t>(ii)</w:t>
      </w:r>
      <w:r>
        <w:tab/>
        <w:t>the quantity of water available for supply to the lot,</w:t>
      </w:r>
    </w:p>
    <w:p>
      <w:pPr>
        <w:pStyle w:val="nzIndenta"/>
      </w:pPr>
      <w:r>
        <w:tab/>
      </w:r>
      <w:r>
        <w:tab/>
        <w:t>since the approval was given; or</w:t>
      </w:r>
    </w:p>
    <w:p>
      <w:pPr>
        <w:pStyle w:val="nzIndenta"/>
      </w:pPr>
      <w:r>
        <w:tab/>
        <w:t>(b)</w:t>
      </w:r>
      <w:r>
        <w:tab/>
        <w:t>otherwise where the scheme water supplier thinks it is necessary on the basis of a report under by</w:t>
      </w:r>
      <w:r>
        <w:noBreakHyphen/>
        <w:t>law 29.</w:t>
      </w:r>
    </w:p>
    <w:p>
      <w:pPr>
        <w:pStyle w:val="nzSubsection"/>
      </w:pPr>
      <w:r>
        <w:tab/>
        <w:t>(2)</w:t>
      </w:r>
      <w:r>
        <w:tab/>
        <w:t>The notice may specify measures to be included in the revised plan, including timeframes for implementing each of those measures.</w:t>
      </w:r>
    </w:p>
    <w:p>
      <w:pPr>
        <w:pStyle w:val="nzSubsection"/>
      </w:pPr>
      <w:r>
        <w:tab/>
        <w:t>(3)</w:t>
      </w:r>
      <w:r>
        <w:tab/>
        <w:t>A person who is served with a notice under sub</w:t>
      </w:r>
      <w:r>
        <w:noBreakHyphen/>
        <w:t>bylaw (1) must prepare the revised plan and submit it for approval to the scheme water supplier within 60 days after the notice is served on the person.</w:t>
      </w:r>
    </w:p>
    <w:p>
      <w:pPr>
        <w:pStyle w:val="nzPenstart"/>
      </w:pPr>
      <w:r>
        <w:tab/>
        <w:t>Penalty: a fine of $2 000.</w:t>
      </w:r>
    </w:p>
    <w:p>
      <w:pPr>
        <w:pStyle w:val="nzHeading5"/>
        <w:outlineLvl w:val="0"/>
      </w:pPr>
      <w:bookmarkStart w:id="502" w:name="_Toc177869938"/>
      <w:bookmarkStart w:id="503" w:name="_Toc248218233"/>
      <w:bookmarkStart w:id="504" w:name="_Toc254333769"/>
      <w:bookmarkStart w:id="505" w:name="_Toc176349344"/>
      <w:bookmarkStart w:id="506" w:name="_Toc176365941"/>
      <w:bookmarkStart w:id="507" w:name="_Toc176366603"/>
      <w:bookmarkStart w:id="508" w:name="_Toc176403147"/>
      <w:bookmarkStart w:id="509" w:name="_Toc176409159"/>
      <w:bookmarkStart w:id="510" w:name="_Toc176410515"/>
      <w:bookmarkStart w:id="511" w:name="_Toc176411258"/>
      <w:bookmarkStart w:id="512" w:name="_Toc176411564"/>
      <w:bookmarkStart w:id="513" w:name="_Toc176411804"/>
      <w:bookmarkStart w:id="514" w:name="_Toc176579513"/>
      <w:bookmarkStart w:id="515" w:name="_Toc176587800"/>
      <w:bookmarkStart w:id="516" w:name="_Toc176588407"/>
      <w:bookmarkStart w:id="517" w:name="_Toc176759313"/>
      <w:bookmarkStart w:id="518" w:name="_Toc176759767"/>
      <w:bookmarkStart w:id="519" w:name="_Toc176760556"/>
      <w:r>
        <w:rPr>
          <w:rStyle w:val="CharSectno"/>
        </w:rPr>
        <w:t>28</w:t>
      </w:r>
      <w:r>
        <w:t>.</w:t>
      </w:r>
      <w:r>
        <w:tab/>
        <w:t xml:space="preserve">Scheme water supplier may revoke approval of </w:t>
      </w:r>
      <w:bookmarkEnd w:id="502"/>
      <w:bookmarkEnd w:id="503"/>
      <w:r>
        <w:t>scheme water efficiency management plan</w:t>
      </w:r>
      <w:bookmarkEnd w:id="504"/>
    </w:p>
    <w:p>
      <w:pPr>
        <w:pStyle w:val="nzSubsection"/>
      </w:pPr>
      <w:r>
        <w:tab/>
        <w:t>(1)</w:t>
      </w:r>
      <w:r>
        <w:tab/>
        <w:t>The person may, in an approved form, make an application for the scheme water supplier to revoke the scheme water supplier’s approval of the scheme water efficiency management plan.</w:t>
      </w:r>
    </w:p>
    <w:p>
      <w:pPr>
        <w:pStyle w:val="nzSubsection"/>
      </w:pPr>
      <w:r>
        <w:tab/>
        <w:t>(2)</w:t>
      </w:r>
      <w:r>
        <w:tab/>
        <w:t>On an application under sub</w:t>
      </w:r>
      <w:r>
        <w:noBreakHyphen/>
        <w:t xml:space="preserve">bylaw (1) the scheme water supplier may revoke its approval if the scheme water supplier is satisfied that — </w:t>
      </w:r>
    </w:p>
    <w:p>
      <w:pPr>
        <w:pStyle w:val="nzIndenta"/>
      </w:pPr>
      <w:r>
        <w:tab/>
        <w:t>(a)</w:t>
      </w:r>
      <w:r>
        <w:tab/>
        <w:t>the lot was supplied with less than 20 ML of water in the consumption year immediately before the consumption year in which the application was made; and</w:t>
      </w:r>
    </w:p>
    <w:p>
      <w:pPr>
        <w:pStyle w:val="nzIndenta"/>
      </w:pPr>
      <w:r>
        <w:tab/>
        <w:t>(b)</w:t>
      </w:r>
      <w:r>
        <w:tab/>
        <w:t>the person does not intend to use 20 ML or more of water in the consumption year in which the application was made.</w:t>
      </w:r>
    </w:p>
    <w:p>
      <w:pPr>
        <w:pStyle w:val="nzHeading5"/>
        <w:outlineLvl w:val="0"/>
      </w:pPr>
      <w:bookmarkStart w:id="520" w:name="_Toc177869937"/>
      <w:bookmarkStart w:id="521" w:name="_Toc248218232"/>
      <w:bookmarkStart w:id="522" w:name="_Toc254333770"/>
      <w:bookmarkStart w:id="523" w:name="_Toc176762042"/>
      <w:bookmarkStart w:id="524" w:name="_Toc176763417"/>
      <w:bookmarkStart w:id="525" w:name="_Toc176764418"/>
      <w:bookmarkStart w:id="526" w:name="_Toc176861287"/>
      <w:bookmarkStart w:id="527" w:name="_Toc176861353"/>
      <w:bookmarkStart w:id="528" w:name="_Toc177624813"/>
      <w:bookmarkStart w:id="529" w:name="_Toc177624861"/>
      <w:bookmarkStart w:id="530" w:name="_Toc177625459"/>
      <w:bookmarkStart w:id="531" w:name="_Toc177625832"/>
      <w:bookmarkStart w:id="532" w:name="_Toc177626208"/>
      <w:bookmarkStart w:id="533" w:name="_Toc177626773"/>
      <w:bookmarkStart w:id="534" w:name="_Toc177627607"/>
      <w:bookmarkStart w:id="535" w:name="_Toc177784008"/>
      <w:bookmarkStart w:id="536" w:name="_Toc177786602"/>
      <w:bookmarkStart w:id="537" w:name="_Toc177788461"/>
      <w:bookmarkStart w:id="538" w:name="_Toc177788499"/>
      <w:bookmarkStart w:id="539" w:name="_Toc177792389"/>
      <w:bookmarkStart w:id="540" w:name="_Toc177793492"/>
      <w:bookmarkStart w:id="541" w:name="_Toc177793763"/>
      <w:bookmarkStart w:id="542" w:name="_Toc177794841"/>
      <w:bookmarkStart w:id="543" w:name="_Toc177797303"/>
      <w:bookmarkStart w:id="544" w:name="_Toc177799406"/>
      <w:bookmarkStart w:id="545" w:name="_Toc177799670"/>
      <w:bookmarkStart w:id="546" w:name="_Toc177800083"/>
      <w:bookmarkStart w:id="547" w:name="_Toc177800156"/>
      <w:bookmarkStart w:id="548" w:name="_Toc177809212"/>
      <w:bookmarkStart w:id="549" w:name="_Toc177809302"/>
      <w:bookmarkStart w:id="550" w:name="_Toc177811588"/>
      <w:bookmarkStart w:id="551" w:name="_Toc177812259"/>
      <w:bookmarkStart w:id="552" w:name="_Toc177812297"/>
      <w:bookmarkStart w:id="553" w:name="_Toc177869939"/>
      <w:bookmarkStart w:id="554" w:name="_Toc178659566"/>
      <w:bookmarkStart w:id="555" w:name="_Toc178661930"/>
      <w:bookmarkStart w:id="556" w:name="_Toc178741891"/>
      <w:bookmarkStart w:id="557" w:name="_Toc178756191"/>
      <w:bookmarkStart w:id="558" w:name="_Toc179340886"/>
      <w:bookmarkStart w:id="559" w:name="_Toc248218234"/>
      <w:r>
        <w:rPr>
          <w:rStyle w:val="CharSectno"/>
        </w:rPr>
        <w:t>29</w:t>
      </w:r>
      <w:r>
        <w:t>.</w:t>
      </w:r>
      <w:r>
        <w:tab/>
        <w:t>Annual reports on scheme water efficiency management plans</w:t>
      </w:r>
      <w:bookmarkEnd w:id="520"/>
      <w:bookmarkEnd w:id="521"/>
      <w:bookmarkEnd w:id="522"/>
    </w:p>
    <w:p>
      <w:pPr>
        <w:pStyle w:val="nzSubsection"/>
      </w:pPr>
      <w:r>
        <w:tab/>
        <w:t>(1)</w:t>
      </w:r>
      <w:r>
        <w:tab/>
        <w:t>During the period that the approval remains in force under by</w:t>
      </w:r>
      <w:r>
        <w:noBreakHyphen/>
        <w:t>law 24 the person must, within 30 days after each anniversary of the approval, prepare and submit to the scheme water supplier a report on the efficacy of the scheme water efficiency management plan.</w:t>
      </w:r>
    </w:p>
    <w:p>
      <w:pPr>
        <w:pStyle w:val="nzPenstart"/>
      </w:pPr>
      <w:r>
        <w:tab/>
        <w:t>Penalty: a fine of $2 000.</w:t>
      </w:r>
    </w:p>
    <w:p>
      <w:pPr>
        <w:pStyle w:val="nzSubsection"/>
      </w:pPr>
      <w:r>
        <w:tab/>
        <w:t>(2)</w:t>
      </w:r>
      <w:r>
        <w:tab/>
        <w:t xml:space="preserve">The report must be in an approved form and must — </w:t>
      </w:r>
    </w:p>
    <w:p>
      <w:pPr>
        <w:pStyle w:val="nzIndenta"/>
      </w:pPr>
      <w:r>
        <w:tab/>
        <w:t>(a)</w:t>
      </w:r>
      <w:r>
        <w:tab/>
        <w:t>compare the use of water supplied to the property during the period to which the report relates against the estimated savings in water use under the plan for that period; and</w:t>
      </w:r>
    </w:p>
    <w:p>
      <w:pPr>
        <w:pStyle w:val="nzIndenta"/>
      </w:pPr>
      <w:r>
        <w:tab/>
        <w:t>(b)</w:t>
      </w:r>
      <w:r>
        <w:tab/>
        <w:t xml:space="preserve">contain such other information relating to the efficacy of the plan as the scheme water supplier reasonably requires, as specified in — </w:t>
      </w:r>
    </w:p>
    <w:p>
      <w:pPr>
        <w:pStyle w:val="nzIndenti"/>
      </w:pPr>
      <w:r>
        <w:tab/>
        <w:t>(i)</w:t>
      </w:r>
      <w:r>
        <w:tab/>
        <w:t>any notice under by</w:t>
      </w:r>
      <w:r>
        <w:noBreakHyphen/>
        <w:t>law 20(2), 21(2) or 27(1); or</w:t>
      </w:r>
    </w:p>
    <w:p>
      <w:pPr>
        <w:pStyle w:val="nzIndenti"/>
      </w:pPr>
      <w:r>
        <w:tab/>
        <w:t>(ii)</w:t>
      </w:r>
      <w:r>
        <w:tab/>
        <w:t>any other written notice served on the person for the purposes of this paragraph.</w:t>
      </w:r>
    </w:p>
    <w:p>
      <w:pPr>
        <w:pStyle w:val="nzSubsection"/>
      </w:pPr>
      <w:r>
        <w:tab/>
        <w:t>(3)</w:t>
      </w:r>
      <w:r>
        <w:tab/>
        <w:t>The scheme water supplier may, by notice in writing served on the person within 90 days after the report is received by the scheme water supplier, request such further information from the person relating to the efficacy of the plan as the scheme water supplier reasonably requires.</w:t>
      </w:r>
    </w:p>
    <w:p>
      <w:pPr>
        <w:pStyle w:val="nzSubsection"/>
      </w:pPr>
      <w:r>
        <w:tab/>
        <w:t>(4)</w:t>
      </w:r>
      <w:r>
        <w:tab/>
        <w:t>A person who is served with a notice under sub</w:t>
      </w:r>
      <w:r>
        <w:noBreakHyphen/>
        <w:t>bylaw (3) must provide the information in an approved form and submit it to the scheme water supplier within 30 days after the notice is served on the person.</w:t>
      </w:r>
    </w:p>
    <w:p>
      <w:pPr>
        <w:pStyle w:val="nzPenstart"/>
      </w:pPr>
      <w:r>
        <w:tab/>
        <w:t>Penalty: a fine of $2 000.</w:t>
      </w:r>
    </w:p>
    <w:p>
      <w:pPr>
        <w:pStyle w:val="nzHeading2"/>
        <w:outlineLvl w:val="0"/>
      </w:pPr>
      <w:bookmarkStart w:id="560" w:name="_Toc253407975"/>
      <w:bookmarkStart w:id="561" w:name="_Toc253409384"/>
      <w:bookmarkStart w:id="562" w:name="_Toc253409451"/>
      <w:bookmarkStart w:id="563" w:name="_Toc253409842"/>
      <w:bookmarkStart w:id="564" w:name="_Toc253409928"/>
      <w:bookmarkStart w:id="565" w:name="_Toc253411518"/>
      <w:bookmarkStart w:id="566" w:name="_Toc253412813"/>
      <w:bookmarkStart w:id="567" w:name="_Toc253412867"/>
      <w:bookmarkStart w:id="568" w:name="_Toc253472333"/>
      <w:bookmarkStart w:id="569" w:name="_Toc253482356"/>
      <w:bookmarkStart w:id="570" w:name="_Toc253729624"/>
      <w:bookmarkStart w:id="571" w:name="_Toc253729677"/>
      <w:bookmarkStart w:id="572" w:name="_Toc253730846"/>
      <w:bookmarkStart w:id="573" w:name="_Toc253730899"/>
      <w:bookmarkStart w:id="574" w:name="_Toc253730952"/>
      <w:bookmarkStart w:id="575" w:name="_Toc254182198"/>
      <w:bookmarkStart w:id="576" w:name="_Toc254182503"/>
      <w:bookmarkStart w:id="577" w:name="_Toc254183076"/>
      <w:bookmarkStart w:id="578" w:name="_Toc254183179"/>
      <w:bookmarkStart w:id="579" w:name="_Toc254190553"/>
      <w:bookmarkStart w:id="580" w:name="_Toc254263046"/>
      <w:bookmarkStart w:id="581" w:name="_Toc254263623"/>
      <w:bookmarkStart w:id="582" w:name="_Toc254333771"/>
      <w:r>
        <w:rPr>
          <w:rStyle w:val="CharPartNo"/>
        </w:rPr>
        <w:t>Part 4</w:t>
      </w:r>
      <w:r>
        <w:rPr>
          <w:rStyle w:val="CharDivNo"/>
        </w:rPr>
        <w:t> </w:t>
      </w:r>
      <w:r>
        <w:t>—</w:t>
      </w:r>
      <w:r>
        <w:rPr>
          <w:rStyle w:val="CharDivText"/>
        </w:rPr>
        <w:t> </w:t>
      </w:r>
      <w:r>
        <w:rPr>
          <w:rStyle w:val="CharPartText"/>
        </w:rPr>
        <w:t>Repeal, saving and transitional</w:t>
      </w:r>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p>
    <w:p>
      <w:pPr>
        <w:pStyle w:val="nzHeading5"/>
        <w:outlineLvl w:val="0"/>
      </w:pPr>
      <w:bookmarkStart w:id="583" w:name="_Toc177869940"/>
      <w:bookmarkStart w:id="584" w:name="_Toc248218235"/>
      <w:bookmarkStart w:id="585" w:name="_Toc254333772"/>
      <w:bookmarkEnd w:id="367"/>
      <w:bookmarkEnd w:id="368"/>
      <w:bookmarkEnd w:id="369"/>
      <w:bookmarkEnd w:id="495"/>
      <w:bookmarkEnd w:id="496"/>
      <w:bookmarkEnd w:id="497"/>
      <w:bookmarkEnd w:id="498"/>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r>
        <w:rPr>
          <w:rStyle w:val="CharSectno"/>
        </w:rPr>
        <w:t>30</w:t>
      </w:r>
      <w:r>
        <w:t>.</w:t>
      </w:r>
      <w:r>
        <w:tab/>
        <w:t>Repeal</w:t>
      </w:r>
      <w:bookmarkEnd w:id="583"/>
      <w:bookmarkEnd w:id="584"/>
      <w:bookmarkEnd w:id="585"/>
    </w:p>
    <w:p>
      <w:pPr>
        <w:pStyle w:val="nzSubsection"/>
      </w:pPr>
      <w:r>
        <w:tab/>
      </w:r>
      <w:r>
        <w:tab/>
        <w:t xml:space="preserve">The </w:t>
      </w:r>
      <w:r>
        <w:rPr>
          <w:i/>
        </w:rPr>
        <w:t>Water Agencies (Water Use) By</w:t>
      </w:r>
      <w:r>
        <w:rPr>
          <w:i/>
        </w:rPr>
        <w:noBreakHyphen/>
        <w:t>laws 2007</w:t>
      </w:r>
      <w:r>
        <w:t xml:space="preserve"> are repealed.</w:t>
      </w:r>
    </w:p>
    <w:p>
      <w:pPr>
        <w:pStyle w:val="nzHeading5"/>
        <w:outlineLvl w:val="0"/>
      </w:pPr>
      <w:bookmarkStart w:id="586" w:name="_Toc177869941"/>
      <w:bookmarkStart w:id="587" w:name="_Toc248218236"/>
      <w:bookmarkStart w:id="588" w:name="_Toc254333773"/>
      <w:r>
        <w:rPr>
          <w:rStyle w:val="CharSectno"/>
        </w:rPr>
        <w:t>31</w:t>
      </w:r>
      <w:r>
        <w:t>.</w:t>
      </w:r>
      <w:r>
        <w:tab/>
      </w:r>
      <w:r>
        <w:rPr>
          <w:rStyle w:val="CharSDivText"/>
        </w:rPr>
        <w:t xml:space="preserve">Saving and transitional provisions for the </w:t>
      </w:r>
      <w:r>
        <w:rPr>
          <w:rStyle w:val="CharSDivText"/>
          <w:i/>
        </w:rPr>
        <w:t>Water Agencies (Water Use) By</w:t>
      </w:r>
      <w:r>
        <w:rPr>
          <w:rStyle w:val="CharSDivText"/>
          <w:i/>
        </w:rPr>
        <w:noBreakHyphen/>
        <w:t>laws </w:t>
      </w:r>
      <w:bookmarkEnd w:id="586"/>
      <w:bookmarkEnd w:id="587"/>
      <w:r>
        <w:rPr>
          <w:rStyle w:val="CharSDivText"/>
          <w:i/>
        </w:rPr>
        <w:t>2007</w:t>
      </w:r>
      <w:bookmarkEnd w:id="588"/>
    </w:p>
    <w:p>
      <w:pPr>
        <w:pStyle w:val="nzSubsection"/>
      </w:pPr>
      <w:r>
        <w:tab/>
        <w:t>(1)</w:t>
      </w:r>
      <w:r>
        <w:tab/>
        <w:t>In this by</w:t>
      </w:r>
      <w:r>
        <w:noBreakHyphen/>
        <w:t>law —</w:t>
      </w:r>
    </w:p>
    <w:p>
      <w:pPr>
        <w:pStyle w:val="nzDefstart"/>
      </w:pPr>
      <w:r>
        <w:tab/>
      </w:r>
      <w:r>
        <w:rPr>
          <w:rStyle w:val="CharDefText"/>
        </w:rPr>
        <w:t>commencement day</w:t>
      </w:r>
      <w:r>
        <w:t xml:space="preserve"> means the day on which these by</w:t>
      </w:r>
      <w:r>
        <w:noBreakHyphen/>
        <w:t>laws, other than by</w:t>
      </w:r>
      <w:r>
        <w:noBreakHyphen/>
        <w:t>laws 1 and 2, come into operation;</w:t>
      </w:r>
    </w:p>
    <w:p>
      <w:pPr>
        <w:pStyle w:val="nzDefstart"/>
      </w:pPr>
      <w:r>
        <w:tab/>
      </w:r>
      <w:r>
        <w:rPr>
          <w:rStyle w:val="CharDefText"/>
        </w:rPr>
        <w:t>former plan</w:t>
      </w:r>
      <w:r>
        <w:t xml:space="preserve"> means a water efficiency management plan submitted and approved under the </w:t>
      </w:r>
      <w:r>
        <w:rPr>
          <w:i/>
          <w:iCs/>
        </w:rPr>
        <w:t>Water Agencies (Water Use) By</w:t>
      </w:r>
      <w:r>
        <w:rPr>
          <w:i/>
          <w:iCs/>
        </w:rPr>
        <w:noBreakHyphen/>
        <w:t xml:space="preserve">laws 2007 </w:t>
      </w:r>
      <w:r>
        <w:t>Part 3;</w:t>
      </w:r>
    </w:p>
    <w:p>
      <w:pPr>
        <w:pStyle w:val="nzDefstart"/>
      </w:pPr>
      <w:r>
        <w:tab/>
      </w:r>
      <w:r>
        <w:rPr>
          <w:rStyle w:val="CharDefText"/>
        </w:rPr>
        <w:t>restriction notice</w:t>
      </w:r>
      <w:r>
        <w:t xml:space="preserve"> means a notice under by</w:t>
      </w:r>
      <w:r>
        <w:noBreakHyphen/>
        <w:t>law 9;</w:t>
      </w:r>
    </w:p>
    <w:p>
      <w:pPr>
        <w:pStyle w:val="nzDefstart"/>
      </w:pPr>
      <w:r>
        <w:tab/>
      </w:r>
      <w:r>
        <w:rPr>
          <w:rStyle w:val="CharDefText"/>
        </w:rPr>
        <w:t>specified day</w:t>
      </w:r>
      <w:r>
        <w:t>, in a restriction notice, means the day from which a stage of restrictions applies under the notice.</w:t>
      </w:r>
    </w:p>
    <w:p>
      <w:pPr>
        <w:pStyle w:val="nzSubsection"/>
      </w:pPr>
      <w:r>
        <w:tab/>
        <w:t>(2)</w:t>
      </w:r>
      <w:r>
        <w:tab/>
        <w:t>Despite by</w:t>
      </w:r>
      <w:r>
        <w:noBreakHyphen/>
        <w:t xml:space="preserve">law 9(2), the specified day in the first restriction notice made in relation to an Area may be a day that is the later of — </w:t>
      </w:r>
    </w:p>
    <w:p>
      <w:pPr>
        <w:pStyle w:val="nzIndenta"/>
      </w:pPr>
      <w:r>
        <w:tab/>
        <w:t>(a)</w:t>
      </w:r>
      <w:r>
        <w:tab/>
        <w:t>1 April 2010; or</w:t>
      </w:r>
    </w:p>
    <w:p>
      <w:pPr>
        <w:pStyle w:val="nzIndenta"/>
      </w:pPr>
      <w:r>
        <w:tab/>
        <w:t>(b)</w:t>
      </w:r>
      <w:r>
        <w:tab/>
        <w:t xml:space="preserve">the day of the publication of the notice in the </w:t>
      </w:r>
      <w:r>
        <w:rPr>
          <w:i/>
          <w:iCs/>
        </w:rPr>
        <w:t>Gazette</w:t>
      </w:r>
      <w:r>
        <w:t>.</w:t>
      </w:r>
    </w:p>
    <w:p>
      <w:pPr>
        <w:pStyle w:val="nzSubsection"/>
      </w:pPr>
      <w:r>
        <w:tab/>
        <w:t>(3)</w:t>
      </w:r>
      <w:r>
        <w:tab/>
        <w:t>A former plan is, on and after the commencement day, to be taken to be a scheme water efficiency management plan submitted and approved under Part 3.</w:t>
      </w:r>
    </w:p>
    <w:p>
      <w:pPr>
        <w:pStyle w:val="nzHeading2"/>
        <w:outlineLvl w:val="0"/>
      </w:pPr>
      <w:bookmarkStart w:id="589" w:name="_Toc253407978"/>
      <w:bookmarkStart w:id="590" w:name="_Toc253409387"/>
      <w:bookmarkStart w:id="591" w:name="_Toc253409454"/>
      <w:bookmarkStart w:id="592" w:name="_Toc253409845"/>
      <w:bookmarkStart w:id="593" w:name="_Toc253409931"/>
      <w:bookmarkStart w:id="594" w:name="_Toc253411521"/>
      <w:bookmarkStart w:id="595" w:name="_Toc253412816"/>
      <w:bookmarkStart w:id="596" w:name="_Toc253412870"/>
      <w:bookmarkStart w:id="597" w:name="_Toc253472336"/>
      <w:bookmarkStart w:id="598" w:name="_Toc253482359"/>
      <w:bookmarkStart w:id="599" w:name="_Toc253729627"/>
      <w:bookmarkStart w:id="600" w:name="_Toc253729680"/>
      <w:bookmarkStart w:id="601" w:name="_Toc253730849"/>
      <w:bookmarkStart w:id="602" w:name="_Toc253730902"/>
      <w:bookmarkStart w:id="603" w:name="_Toc253730955"/>
      <w:bookmarkStart w:id="604" w:name="_Toc254182201"/>
      <w:bookmarkStart w:id="605" w:name="_Toc254182506"/>
      <w:bookmarkStart w:id="606" w:name="_Toc254183079"/>
      <w:bookmarkStart w:id="607" w:name="_Toc254183182"/>
      <w:bookmarkStart w:id="608" w:name="_Toc254190556"/>
      <w:bookmarkStart w:id="609" w:name="_Toc254263049"/>
      <w:bookmarkStart w:id="610" w:name="_Toc254263626"/>
      <w:bookmarkStart w:id="611" w:name="_Toc254333774"/>
      <w:r>
        <w:rPr>
          <w:rStyle w:val="CharSchNo"/>
        </w:rPr>
        <w:t>Schedule 1</w:t>
      </w:r>
      <w:r>
        <w:rPr>
          <w:rStyle w:val="CharSDivNo"/>
        </w:rPr>
        <w:t> </w:t>
      </w:r>
      <w:r>
        <w:t>—</w:t>
      </w:r>
      <w:bookmarkStart w:id="612" w:name="AutoSch"/>
      <w:bookmarkEnd w:id="612"/>
      <w:r>
        <w:rPr>
          <w:rStyle w:val="CharSDivText"/>
        </w:rPr>
        <w:t> </w:t>
      </w:r>
      <w:r>
        <w:rPr>
          <w:rStyle w:val="CharSchText"/>
        </w:rPr>
        <w:t>Maps showing Areas 1, 2, 3 and 4</w:t>
      </w:r>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p>
    <w:p>
      <w:pPr>
        <w:pStyle w:val="nzMiscellaneousBody"/>
        <w:jc w:val="right"/>
      </w:pPr>
      <w:r>
        <w:t>[bl. 3]</w:t>
      </w:r>
    </w:p>
    <w:p>
      <w:pPr>
        <w:pStyle w:val="ByCommand"/>
        <w:jc w:val="center"/>
      </w:pPr>
      <w:r>
        <w:rPr>
          <w:noProof/>
          <w:lang w:eastAsia="en-AU"/>
        </w:rPr>
        <w:drawing>
          <wp:inline distT="0" distB="0" distL="0" distR="0">
            <wp:extent cx="3962400" cy="5721350"/>
            <wp:effectExtent l="0" t="0" r="0" b="0"/>
            <wp:docPr id="1" name="Picture 1" descr="WCStag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CStage6.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962400" cy="5721350"/>
                    </a:xfrm>
                    <a:prstGeom prst="rect">
                      <a:avLst/>
                    </a:prstGeom>
                    <a:noFill/>
                    <a:ln>
                      <a:noFill/>
                    </a:ln>
                  </pic:spPr>
                </pic:pic>
              </a:graphicData>
            </a:graphic>
          </wp:inline>
        </w:drawing>
      </w:r>
    </w:p>
    <w:p>
      <w:pPr>
        <w:pStyle w:val="ByCommand"/>
        <w:jc w:val="center"/>
      </w:pPr>
      <w:r>
        <w:rPr>
          <w:noProof/>
          <w:lang w:eastAsia="en-AU"/>
        </w:rPr>
        <w:drawing>
          <wp:inline distT="0" distB="0" distL="0" distR="0">
            <wp:extent cx="3943350" cy="5670550"/>
            <wp:effectExtent l="0" t="0" r="0" b="6350"/>
            <wp:docPr id="2" name="Picture 2" descr="WCStage6_SW3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CStage6_SW3_4.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943350" cy="5670550"/>
                    </a:xfrm>
                    <a:prstGeom prst="rect">
                      <a:avLst/>
                    </a:prstGeom>
                    <a:noFill/>
                    <a:ln>
                      <a:noFill/>
                    </a:ln>
                  </pic:spPr>
                </pic:pic>
              </a:graphicData>
            </a:graphic>
          </wp:inline>
        </w:drawing>
      </w:r>
    </w:p>
    <w:p>
      <w:pPr>
        <w:pStyle w:val="nzHeading2"/>
        <w:outlineLvl w:val="0"/>
      </w:pPr>
      <w:bookmarkStart w:id="613" w:name="_Toc254182202"/>
      <w:bookmarkStart w:id="614" w:name="_Toc254182507"/>
      <w:bookmarkStart w:id="615" w:name="_Toc254183080"/>
      <w:bookmarkStart w:id="616" w:name="_Toc254183183"/>
      <w:bookmarkStart w:id="617" w:name="_Toc254190557"/>
      <w:bookmarkStart w:id="618" w:name="_Toc254263050"/>
      <w:bookmarkStart w:id="619" w:name="_Toc254263627"/>
      <w:bookmarkStart w:id="620" w:name="_Toc254333775"/>
      <w:r>
        <w:rPr>
          <w:rStyle w:val="CharSchNo"/>
        </w:rPr>
        <w:t>Schedule 2</w:t>
      </w:r>
      <w:r>
        <w:rPr>
          <w:rStyle w:val="CharSDivNo"/>
        </w:rPr>
        <w:t> </w:t>
      </w:r>
      <w:r>
        <w:t>—</w:t>
      </w:r>
      <w:r>
        <w:rPr>
          <w:rStyle w:val="CharSDivText"/>
        </w:rPr>
        <w:t> </w:t>
      </w:r>
      <w:r>
        <w:rPr>
          <w:rStyle w:val="CharSchText"/>
        </w:rPr>
        <w:t>Stages of restrictions</w:t>
      </w:r>
      <w:bookmarkEnd w:id="613"/>
      <w:bookmarkEnd w:id="614"/>
      <w:bookmarkEnd w:id="615"/>
      <w:bookmarkEnd w:id="616"/>
      <w:bookmarkEnd w:id="617"/>
      <w:bookmarkEnd w:id="618"/>
      <w:bookmarkEnd w:id="619"/>
      <w:bookmarkEnd w:id="620"/>
    </w:p>
    <w:p>
      <w:pPr>
        <w:pStyle w:val="nzMiscellaneousBody"/>
        <w:jc w:val="right"/>
      </w:pPr>
      <w:r>
        <w:t>[bl. 3]</w:t>
      </w:r>
    </w:p>
    <w:p>
      <w:pPr>
        <w:pStyle w:val="nzHeading5"/>
      </w:pPr>
      <w:bookmarkStart w:id="621" w:name="_Toc254333776"/>
      <w:r>
        <w:rPr>
          <w:rStyle w:val="CharSClsNo"/>
        </w:rPr>
        <w:t>1</w:t>
      </w:r>
      <w:r>
        <w:t>.</w:t>
      </w:r>
      <w:r>
        <w:tab/>
        <w:t>Stage 1</w:t>
      </w:r>
      <w:bookmarkEnd w:id="621"/>
    </w:p>
    <w:p>
      <w:pPr>
        <w:pStyle w:val="nzSubsection"/>
      </w:pPr>
      <w:r>
        <w:tab/>
        <w:t>(1)</w:t>
      </w:r>
      <w:r>
        <w:tab/>
        <w:t>A person must not water a lawn, garden or grass</w:t>
      </w:r>
      <w:r>
        <w:noBreakHyphen/>
        <w:t>covered sporting ground except by —</w:t>
      </w:r>
    </w:p>
    <w:p>
      <w:pPr>
        <w:pStyle w:val="nzIndenta"/>
      </w:pPr>
      <w:r>
        <w:tab/>
        <w:t>(a)</w:t>
      </w:r>
      <w:r>
        <w:tab/>
        <w:t>reticulation during either, but not both, the morning period or the evening period on a particular day; or</w:t>
      </w:r>
    </w:p>
    <w:p>
      <w:pPr>
        <w:pStyle w:val="nzIndenta"/>
      </w:pPr>
      <w:r>
        <w:tab/>
        <w:t>(b)</w:t>
      </w:r>
      <w:r>
        <w:tab/>
        <w:t>a handheld hose with one outlet; or</w:t>
      </w:r>
    </w:p>
    <w:p>
      <w:pPr>
        <w:pStyle w:val="nzIndenta"/>
      </w:pPr>
      <w:r>
        <w:tab/>
        <w:t>(c)</w:t>
      </w:r>
      <w:r>
        <w:tab/>
        <w:t>a handheld watering can.</w:t>
      </w:r>
    </w:p>
    <w:p>
      <w:pPr>
        <w:pStyle w:val="nzSubsection"/>
      </w:pPr>
      <w:r>
        <w:tab/>
        <w:t>(2)</w:t>
      </w:r>
      <w:r>
        <w:tab/>
        <w:t>A person must not water a synthetic sporting ground except for 10 minutes or less before a sport is played or practised on the sporting ground.</w:t>
      </w:r>
    </w:p>
    <w:p>
      <w:pPr>
        <w:pStyle w:val="nzHeading5"/>
      </w:pPr>
      <w:bookmarkStart w:id="622" w:name="_Toc177869945"/>
      <w:bookmarkStart w:id="623" w:name="_Toc248218240"/>
      <w:bookmarkStart w:id="624" w:name="_Toc254333777"/>
      <w:r>
        <w:rPr>
          <w:rStyle w:val="CharSClsNo"/>
        </w:rPr>
        <w:t>2</w:t>
      </w:r>
      <w:r>
        <w:t>.</w:t>
      </w:r>
      <w:r>
        <w:tab/>
        <w:t>Stage 2</w:t>
      </w:r>
      <w:bookmarkEnd w:id="622"/>
      <w:bookmarkEnd w:id="623"/>
      <w:bookmarkEnd w:id="624"/>
    </w:p>
    <w:p>
      <w:pPr>
        <w:pStyle w:val="nzSubsection"/>
      </w:pPr>
      <w:r>
        <w:tab/>
        <w:t>(1)</w:t>
      </w:r>
      <w:r>
        <w:tab/>
        <w:t>A person must not water a lawn, garden or grass</w:t>
      </w:r>
      <w:r>
        <w:noBreakHyphen/>
        <w:t>covered sporting ground except by —</w:t>
      </w:r>
    </w:p>
    <w:p>
      <w:pPr>
        <w:pStyle w:val="nzIndenta"/>
      </w:pPr>
      <w:r>
        <w:tab/>
        <w:t>(a)</w:t>
      </w:r>
      <w:r>
        <w:tab/>
        <w:t>reticulation during either, but not both, the morning period or the evening period —</w:t>
      </w:r>
    </w:p>
    <w:p>
      <w:pPr>
        <w:pStyle w:val="nzIndenti"/>
      </w:pPr>
      <w:r>
        <w:tab/>
        <w:t>(i)</w:t>
      </w:r>
      <w:r>
        <w:tab/>
        <w:t>on any even numbered day of the month if the relevant property has an even street number or, where there is no street number, an even lot number; or</w:t>
      </w:r>
    </w:p>
    <w:p>
      <w:pPr>
        <w:pStyle w:val="nzIndenti"/>
      </w:pPr>
      <w:r>
        <w:tab/>
        <w:t>(ii)</w:t>
      </w:r>
      <w:r>
        <w:tab/>
        <w:t>on any odd numbered day of the month if the relevant property has an odd street number or, where there is no street number, an odd lot number;</w:t>
      </w:r>
    </w:p>
    <w:p>
      <w:pPr>
        <w:pStyle w:val="nzIndenta"/>
      </w:pPr>
      <w:r>
        <w:tab/>
      </w:r>
      <w:r>
        <w:tab/>
        <w:t>or</w:t>
      </w:r>
    </w:p>
    <w:p>
      <w:pPr>
        <w:pStyle w:val="nzIndenta"/>
      </w:pPr>
      <w:r>
        <w:tab/>
        <w:t>(b)</w:t>
      </w:r>
      <w:r>
        <w:tab/>
        <w:t>a handheld hose with one outlet; or</w:t>
      </w:r>
    </w:p>
    <w:p>
      <w:pPr>
        <w:pStyle w:val="nzIndenta"/>
      </w:pPr>
      <w:r>
        <w:tab/>
        <w:t>(c)</w:t>
      </w:r>
      <w:r>
        <w:tab/>
        <w:t>a handheld watering can.</w:t>
      </w:r>
    </w:p>
    <w:p>
      <w:pPr>
        <w:pStyle w:val="nzSubsection"/>
      </w:pPr>
      <w:r>
        <w:tab/>
        <w:t>(2)</w:t>
      </w:r>
      <w:r>
        <w:tab/>
        <w:t>A person must not spray a building, building site, demolition site (including vacant land resulting from a demolition), path, paved area or road except —</w:t>
      </w:r>
    </w:p>
    <w:p>
      <w:pPr>
        <w:pStyle w:val="nzIndenta"/>
      </w:pPr>
      <w:r>
        <w:tab/>
        <w:t>(a)</w:t>
      </w:r>
      <w:r>
        <w:tab/>
        <w:t xml:space="preserve">with — </w:t>
      </w:r>
    </w:p>
    <w:p>
      <w:pPr>
        <w:pStyle w:val="nzIndenti"/>
      </w:pPr>
      <w:r>
        <w:tab/>
        <w:t>(i)</w:t>
      </w:r>
      <w:r>
        <w:tab/>
        <w:t xml:space="preserve">a high pressure water cleaner; or </w:t>
      </w:r>
    </w:p>
    <w:p>
      <w:pPr>
        <w:pStyle w:val="nzIndenti"/>
      </w:pPr>
      <w:r>
        <w:tab/>
        <w:t>(ii)</w:t>
      </w:r>
      <w:r>
        <w:tab/>
        <w:t>a handheld hose with one outlet,</w:t>
      </w:r>
    </w:p>
    <w:p>
      <w:pPr>
        <w:pStyle w:val="nzIndenta"/>
      </w:pPr>
      <w:r>
        <w:tab/>
      </w:r>
      <w:r>
        <w:tab/>
        <w:t>to the minimum extent necessary for the cleaning of the building, building site, demolition site (including vacant land resulting from a demolition), path, paved area or road so as to avoid a threat to public health or safety; or</w:t>
      </w:r>
    </w:p>
    <w:p>
      <w:pPr>
        <w:pStyle w:val="nzIndenta"/>
      </w:pPr>
      <w:r>
        <w:tab/>
        <w:t>(b)</w:t>
      </w:r>
      <w:r>
        <w:tab/>
        <w:t>with a handheld hose with one outlet to the minimum extent necessary for purposes related to the construction, demolition or repair of the building, path, paved area or road.</w:t>
      </w:r>
    </w:p>
    <w:p>
      <w:pPr>
        <w:pStyle w:val="nzSubsection"/>
      </w:pPr>
      <w:bookmarkStart w:id="625" w:name="_Toc177869946"/>
      <w:bookmarkStart w:id="626" w:name="_Toc248218241"/>
      <w:r>
        <w:tab/>
        <w:t>(3)</w:t>
      </w:r>
      <w:r>
        <w:tab/>
        <w:t>A person must not water a synthetic sporting ground except for 10 minutes or less before a sport is played or practised on the sporting ground.</w:t>
      </w:r>
    </w:p>
    <w:p>
      <w:pPr>
        <w:pStyle w:val="nzHeading5"/>
      </w:pPr>
      <w:bookmarkStart w:id="627" w:name="_Toc177869947"/>
      <w:bookmarkStart w:id="628" w:name="_Toc248218242"/>
      <w:bookmarkStart w:id="629" w:name="_Toc254333778"/>
      <w:bookmarkEnd w:id="625"/>
      <w:bookmarkEnd w:id="626"/>
      <w:r>
        <w:rPr>
          <w:rStyle w:val="CharSClsNo"/>
        </w:rPr>
        <w:t>3</w:t>
      </w:r>
      <w:r>
        <w:t>.</w:t>
      </w:r>
      <w:r>
        <w:tab/>
        <w:t xml:space="preserve">Stage </w:t>
      </w:r>
      <w:bookmarkEnd w:id="627"/>
      <w:bookmarkEnd w:id="628"/>
      <w:r>
        <w:t>3</w:t>
      </w:r>
      <w:bookmarkEnd w:id="629"/>
    </w:p>
    <w:p>
      <w:pPr>
        <w:pStyle w:val="nzSubsection"/>
      </w:pPr>
      <w:r>
        <w:tab/>
        <w:t>(1)</w:t>
      </w:r>
      <w:r>
        <w:tab/>
        <w:t>A person must not water a lawn, garden or grass</w:t>
      </w:r>
      <w:r>
        <w:noBreakHyphen/>
        <w:t>covered sporting ground except by —</w:t>
      </w:r>
    </w:p>
    <w:p>
      <w:pPr>
        <w:pStyle w:val="nzIndenta"/>
      </w:pPr>
      <w:r>
        <w:tab/>
        <w:t>(a)</w:t>
      </w:r>
      <w:r>
        <w:tab/>
        <w:t>reticulation during either, but not both, the morning period or the evening period on one or more of 3 days of the week specified in relation to the relevant property in Schedule 3 Division 1; or</w:t>
      </w:r>
    </w:p>
    <w:p>
      <w:pPr>
        <w:pStyle w:val="nzIndenta"/>
      </w:pPr>
      <w:r>
        <w:tab/>
        <w:t>(b)</w:t>
      </w:r>
      <w:r>
        <w:tab/>
        <w:t>a handheld hose with one outlet; or</w:t>
      </w:r>
    </w:p>
    <w:p>
      <w:pPr>
        <w:pStyle w:val="nzIndenta"/>
      </w:pPr>
      <w:r>
        <w:tab/>
        <w:t>(c)</w:t>
      </w:r>
      <w:r>
        <w:tab/>
        <w:t>a handheld watering can.</w:t>
      </w:r>
    </w:p>
    <w:p>
      <w:pPr>
        <w:pStyle w:val="nzSubsection"/>
      </w:pPr>
      <w:r>
        <w:tab/>
        <w:t>(2)</w:t>
      </w:r>
      <w:r>
        <w:tab/>
        <w:t>A person must not spray a building, building site, demolition site (including vacant land resulting from a demolition), path, paved area or road except —</w:t>
      </w:r>
    </w:p>
    <w:p>
      <w:pPr>
        <w:pStyle w:val="nzIndenta"/>
      </w:pPr>
      <w:r>
        <w:tab/>
        <w:t>(a)</w:t>
      </w:r>
      <w:r>
        <w:tab/>
        <w:t xml:space="preserve">with — </w:t>
      </w:r>
    </w:p>
    <w:p>
      <w:pPr>
        <w:pStyle w:val="nzIndenti"/>
      </w:pPr>
      <w:r>
        <w:tab/>
        <w:t>(i)</w:t>
      </w:r>
      <w:r>
        <w:tab/>
        <w:t>a high pressure water cleaner; or</w:t>
      </w:r>
    </w:p>
    <w:p>
      <w:pPr>
        <w:pStyle w:val="nzIndenti"/>
      </w:pPr>
      <w:r>
        <w:tab/>
        <w:t>(ii)</w:t>
      </w:r>
      <w:r>
        <w:tab/>
        <w:t>a handheld hose with one outlet,</w:t>
      </w:r>
    </w:p>
    <w:p>
      <w:pPr>
        <w:pStyle w:val="nzIndenta"/>
      </w:pPr>
      <w:r>
        <w:tab/>
      </w:r>
      <w:r>
        <w:tab/>
        <w:t>to the minimum extent necessary for the cleaning of the building, building site, demolition site (including vacant land resulting from a demolition), path, paved area or road so as to avoid a threat to public health or safety; or</w:t>
      </w:r>
    </w:p>
    <w:p>
      <w:pPr>
        <w:pStyle w:val="nzIndenta"/>
      </w:pPr>
      <w:r>
        <w:tab/>
        <w:t>(b)</w:t>
      </w:r>
      <w:r>
        <w:tab/>
        <w:t>with a handheld hose with one outlet to the minimum extent necessary for purposes related to the construction, demolition or repair of the building, path, paved area or road.</w:t>
      </w:r>
    </w:p>
    <w:p>
      <w:pPr>
        <w:pStyle w:val="nzSubsection"/>
      </w:pPr>
      <w:bookmarkStart w:id="630" w:name="_Toc177869948"/>
      <w:bookmarkStart w:id="631" w:name="_Toc248218243"/>
      <w:r>
        <w:tab/>
        <w:t>(3)</w:t>
      </w:r>
      <w:r>
        <w:tab/>
        <w:t>A person must not water a synthetic sporting ground except for 10 minutes or less before a sport is played or practised on the sporting ground.</w:t>
      </w:r>
    </w:p>
    <w:p>
      <w:pPr>
        <w:pStyle w:val="nzHeading5"/>
      </w:pPr>
      <w:bookmarkStart w:id="632" w:name="_Toc254333779"/>
      <w:r>
        <w:rPr>
          <w:rStyle w:val="CharSClsNo"/>
        </w:rPr>
        <w:t>4</w:t>
      </w:r>
      <w:r>
        <w:t>.</w:t>
      </w:r>
      <w:r>
        <w:tab/>
        <w:t>Stage 4</w:t>
      </w:r>
      <w:bookmarkEnd w:id="632"/>
    </w:p>
    <w:p>
      <w:pPr>
        <w:pStyle w:val="nzSubsection"/>
      </w:pPr>
      <w:r>
        <w:tab/>
        <w:t>(1)</w:t>
      </w:r>
      <w:r>
        <w:tab/>
        <w:t>A person must not water a lawn or garden except by —</w:t>
      </w:r>
    </w:p>
    <w:p>
      <w:pPr>
        <w:pStyle w:val="nzIndenta"/>
      </w:pPr>
      <w:r>
        <w:tab/>
        <w:t>(a)</w:t>
      </w:r>
      <w:r>
        <w:tab/>
        <w:t>reticulation during either, but not both, the morning period or the evening period on one or both of 2 days of the week specified in relation to the relevant property in Schedule 3 Division 2; or</w:t>
      </w:r>
    </w:p>
    <w:p>
      <w:pPr>
        <w:pStyle w:val="nzIndenta"/>
      </w:pPr>
      <w:r>
        <w:tab/>
        <w:t>(b)</w:t>
      </w:r>
      <w:r>
        <w:tab/>
        <w:t>a handheld hose with one outlet; or</w:t>
      </w:r>
    </w:p>
    <w:p>
      <w:pPr>
        <w:pStyle w:val="nzIndenta"/>
      </w:pPr>
      <w:r>
        <w:tab/>
        <w:t>(c)</w:t>
      </w:r>
      <w:r>
        <w:tab/>
        <w:t>a handheld watering can.</w:t>
      </w:r>
    </w:p>
    <w:p>
      <w:pPr>
        <w:pStyle w:val="nzSubsection"/>
      </w:pPr>
      <w:r>
        <w:tab/>
        <w:t>(2)</w:t>
      </w:r>
      <w:r>
        <w:tab/>
        <w:t>A person must not water a grass</w:t>
      </w:r>
      <w:r>
        <w:noBreakHyphen/>
        <w:t>covered sporting ground except by —</w:t>
      </w:r>
    </w:p>
    <w:p>
      <w:pPr>
        <w:pStyle w:val="nzIndenta"/>
      </w:pPr>
      <w:r>
        <w:tab/>
        <w:t>(a)</w:t>
      </w:r>
      <w:r>
        <w:tab/>
        <w:t>reticulation during either, but not both, the morning period or the evening period on one or more of 3 days of the week specified in relation to the relevant property in Schedule 3 Division 1; or</w:t>
      </w:r>
    </w:p>
    <w:p>
      <w:pPr>
        <w:pStyle w:val="nzIndenta"/>
      </w:pPr>
      <w:r>
        <w:tab/>
        <w:t>(b)</w:t>
      </w:r>
      <w:r>
        <w:tab/>
        <w:t>a handheld hose with one outlet; or</w:t>
      </w:r>
    </w:p>
    <w:p>
      <w:pPr>
        <w:pStyle w:val="nzIndenta"/>
      </w:pPr>
      <w:r>
        <w:tab/>
        <w:t>(c)</w:t>
      </w:r>
      <w:r>
        <w:tab/>
        <w:t>a handheld watering can.</w:t>
      </w:r>
    </w:p>
    <w:p>
      <w:pPr>
        <w:pStyle w:val="nzSubsection"/>
      </w:pPr>
      <w:r>
        <w:tab/>
        <w:t>(3)</w:t>
      </w:r>
      <w:r>
        <w:tab/>
        <w:t>A person must not spray a building, building site, demolition site (including vacant land resulting from a demolition), path, paved area or road except —</w:t>
      </w:r>
    </w:p>
    <w:p>
      <w:pPr>
        <w:pStyle w:val="nzIndenta"/>
      </w:pPr>
      <w:r>
        <w:tab/>
        <w:t>(a)</w:t>
      </w:r>
      <w:r>
        <w:tab/>
        <w:t xml:space="preserve">with — </w:t>
      </w:r>
    </w:p>
    <w:p>
      <w:pPr>
        <w:pStyle w:val="nzIndenti"/>
      </w:pPr>
      <w:r>
        <w:tab/>
        <w:t>(i)</w:t>
      </w:r>
      <w:r>
        <w:tab/>
        <w:t>a high pressure water cleaner; or</w:t>
      </w:r>
    </w:p>
    <w:p>
      <w:pPr>
        <w:pStyle w:val="nzIndenti"/>
      </w:pPr>
      <w:r>
        <w:tab/>
        <w:t>(ii)</w:t>
      </w:r>
      <w:r>
        <w:tab/>
        <w:t>a handheld hose with one outlet,</w:t>
      </w:r>
    </w:p>
    <w:p>
      <w:pPr>
        <w:pStyle w:val="nzIndenta"/>
      </w:pPr>
      <w:r>
        <w:tab/>
      </w:r>
      <w:r>
        <w:tab/>
        <w:t>to the minimum extent necessary for the cleaning of the building, building site, demolition site (including vacant land resulting from a demolition), path, paved area or road so as to avoid a threat to public health or safety; or</w:t>
      </w:r>
    </w:p>
    <w:p>
      <w:pPr>
        <w:pStyle w:val="nzIndenta"/>
      </w:pPr>
      <w:r>
        <w:tab/>
        <w:t>(b)</w:t>
      </w:r>
      <w:r>
        <w:tab/>
        <w:t>with a handheld hose with one outlet to the minimum extent necessary for purposes related to the construction, demolition or repair of the building, path, paved area or road.</w:t>
      </w:r>
    </w:p>
    <w:p>
      <w:pPr>
        <w:pStyle w:val="nzSubsection"/>
      </w:pPr>
      <w:r>
        <w:tab/>
        <w:t>(4)</w:t>
      </w:r>
      <w:r>
        <w:tab/>
        <w:t>A person must not water a synthetic sporting ground except for 10 minutes or less before a sport is played or practised on the sporting ground.</w:t>
      </w:r>
    </w:p>
    <w:p>
      <w:pPr>
        <w:pStyle w:val="nzHeading5"/>
      </w:pPr>
      <w:bookmarkStart w:id="633" w:name="_Toc254333780"/>
      <w:r>
        <w:rPr>
          <w:rStyle w:val="CharSClsNo"/>
        </w:rPr>
        <w:t>5</w:t>
      </w:r>
      <w:r>
        <w:t>.</w:t>
      </w:r>
      <w:r>
        <w:tab/>
        <w:t xml:space="preserve">Stage </w:t>
      </w:r>
      <w:bookmarkEnd w:id="630"/>
      <w:bookmarkEnd w:id="631"/>
      <w:r>
        <w:t>5</w:t>
      </w:r>
      <w:bookmarkEnd w:id="633"/>
    </w:p>
    <w:p>
      <w:pPr>
        <w:pStyle w:val="nzSubsection"/>
      </w:pPr>
      <w:r>
        <w:tab/>
        <w:t>(1)</w:t>
      </w:r>
      <w:r>
        <w:tab/>
        <w:t>A person must not water a lawn or garden except by —</w:t>
      </w:r>
    </w:p>
    <w:p>
      <w:pPr>
        <w:pStyle w:val="nzIndenta"/>
      </w:pPr>
      <w:r>
        <w:tab/>
        <w:t>(a)</w:t>
      </w:r>
      <w:r>
        <w:tab/>
        <w:t>reticulation during either, but not both, the morning period or the evening period on one day of the week specified in relation to the relevant property in Schedule 3 Division 3; or</w:t>
      </w:r>
    </w:p>
    <w:p>
      <w:pPr>
        <w:pStyle w:val="nzIndenta"/>
      </w:pPr>
      <w:r>
        <w:tab/>
        <w:t>(b)</w:t>
      </w:r>
      <w:r>
        <w:tab/>
        <w:t>a handheld hose with one outlet; or</w:t>
      </w:r>
    </w:p>
    <w:p>
      <w:pPr>
        <w:pStyle w:val="nzIndenta"/>
      </w:pPr>
      <w:r>
        <w:tab/>
        <w:t>(c)</w:t>
      </w:r>
      <w:r>
        <w:tab/>
        <w:t>a handheld watering can.</w:t>
      </w:r>
    </w:p>
    <w:p>
      <w:pPr>
        <w:pStyle w:val="nzSubsection"/>
      </w:pPr>
      <w:r>
        <w:tab/>
        <w:t>(2)</w:t>
      </w:r>
      <w:r>
        <w:tab/>
        <w:t>A person must not water a grass</w:t>
      </w:r>
      <w:r>
        <w:noBreakHyphen/>
        <w:t>covered sporting ground except by —</w:t>
      </w:r>
    </w:p>
    <w:p>
      <w:pPr>
        <w:pStyle w:val="nzIndenta"/>
      </w:pPr>
      <w:r>
        <w:tab/>
        <w:t>(a)</w:t>
      </w:r>
      <w:r>
        <w:tab/>
        <w:t>reticulation during either, but not both, the morning period or the evening period on one or more of 3 days of the week specified in relation to the relevant property in Schedule 3 Division 1; or</w:t>
      </w:r>
    </w:p>
    <w:p>
      <w:pPr>
        <w:pStyle w:val="nzIndenta"/>
      </w:pPr>
      <w:r>
        <w:tab/>
        <w:t>(b)</w:t>
      </w:r>
      <w:r>
        <w:tab/>
        <w:t>a handheld hose with one outlet; or</w:t>
      </w:r>
    </w:p>
    <w:p>
      <w:pPr>
        <w:pStyle w:val="nzIndenta"/>
      </w:pPr>
      <w:r>
        <w:tab/>
        <w:t>(c)</w:t>
      </w:r>
      <w:r>
        <w:tab/>
        <w:t>a handheld watering can.</w:t>
      </w:r>
    </w:p>
    <w:p>
      <w:pPr>
        <w:pStyle w:val="nzSubsection"/>
      </w:pPr>
      <w:r>
        <w:tab/>
        <w:t>(3)</w:t>
      </w:r>
      <w:r>
        <w:tab/>
        <w:t>A person must not spray a building, building site, demolition site (including vacant land resulting from a demolition), path, paved area or road except —</w:t>
      </w:r>
    </w:p>
    <w:p>
      <w:pPr>
        <w:pStyle w:val="nzIndenta"/>
      </w:pPr>
      <w:r>
        <w:tab/>
        <w:t>(a)</w:t>
      </w:r>
      <w:r>
        <w:tab/>
        <w:t xml:space="preserve">with — </w:t>
      </w:r>
    </w:p>
    <w:p>
      <w:pPr>
        <w:pStyle w:val="nzIndenti"/>
      </w:pPr>
      <w:r>
        <w:tab/>
        <w:t>(i)</w:t>
      </w:r>
      <w:r>
        <w:tab/>
        <w:t>a high pressure water cleaner; or</w:t>
      </w:r>
    </w:p>
    <w:p>
      <w:pPr>
        <w:pStyle w:val="nzIndenti"/>
      </w:pPr>
      <w:r>
        <w:tab/>
        <w:t>(ii)</w:t>
      </w:r>
      <w:r>
        <w:tab/>
        <w:t>a handheld hose with one outlet,</w:t>
      </w:r>
    </w:p>
    <w:p>
      <w:pPr>
        <w:pStyle w:val="nzIndenta"/>
      </w:pPr>
      <w:r>
        <w:tab/>
      </w:r>
      <w:r>
        <w:tab/>
        <w:t>to the minimum extent necessary for the cleaning of the building, building site, demolition site (including vacant land resulting from a demolition), path, paved area or road so as to avoid a threat to public health or safety; or</w:t>
      </w:r>
    </w:p>
    <w:p>
      <w:pPr>
        <w:pStyle w:val="nzIndenta"/>
      </w:pPr>
      <w:r>
        <w:tab/>
        <w:t>(b)</w:t>
      </w:r>
      <w:r>
        <w:tab/>
        <w:t>with a handheld hose with one outlet to the minimum extent necessary for purposes related to the construction, demolition or repair of the building, path, paved area or road.</w:t>
      </w:r>
    </w:p>
    <w:p>
      <w:pPr>
        <w:pStyle w:val="nzSubsection"/>
      </w:pPr>
      <w:bookmarkStart w:id="634" w:name="_Toc177869949"/>
      <w:bookmarkStart w:id="635" w:name="_Toc248218244"/>
      <w:r>
        <w:tab/>
        <w:t>(4)</w:t>
      </w:r>
      <w:r>
        <w:tab/>
        <w:t>A person must not water a synthetic sporting ground except for 10 minutes or less before a sport is played or practised on the sporting ground.</w:t>
      </w:r>
    </w:p>
    <w:p>
      <w:pPr>
        <w:pStyle w:val="nzHeading5"/>
      </w:pPr>
      <w:bookmarkStart w:id="636" w:name="_Toc254333781"/>
      <w:r>
        <w:rPr>
          <w:rStyle w:val="CharSClsNo"/>
        </w:rPr>
        <w:t>6</w:t>
      </w:r>
      <w:r>
        <w:t>.</w:t>
      </w:r>
      <w:r>
        <w:tab/>
        <w:t xml:space="preserve">Stage </w:t>
      </w:r>
      <w:bookmarkEnd w:id="634"/>
      <w:bookmarkEnd w:id="635"/>
      <w:r>
        <w:t>6</w:t>
      </w:r>
      <w:bookmarkEnd w:id="636"/>
    </w:p>
    <w:p>
      <w:pPr>
        <w:pStyle w:val="nzSubsection"/>
      </w:pPr>
      <w:r>
        <w:tab/>
        <w:t>(1)</w:t>
      </w:r>
      <w:r>
        <w:tab/>
        <w:t>A person must not water a lawn or garden except by —</w:t>
      </w:r>
    </w:p>
    <w:p>
      <w:pPr>
        <w:pStyle w:val="nzIndenta"/>
      </w:pPr>
      <w:r>
        <w:tab/>
        <w:t>(a)</w:t>
      </w:r>
      <w:r>
        <w:tab/>
        <w:t>a handheld hose with one outlet; or</w:t>
      </w:r>
    </w:p>
    <w:p>
      <w:pPr>
        <w:pStyle w:val="nzIndenta"/>
      </w:pPr>
      <w:r>
        <w:tab/>
        <w:t>(b)</w:t>
      </w:r>
      <w:r>
        <w:tab/>
        <w:t>a handheld watering can.</w:t>
      </w:r>
    </w:p>
    <w:p>
      <w:pPr>
        <w:pStyle w:val="nzSubsection"/>
      </w:pPr>
      <w:r>
        <w:tab/>
        <w:t>(2)</w:t>
      </w:r>
      <w:r>
        <w:tab/>
        <w:t>A person must not water a grass</w:t>
      </w:r>
      <w:r>
        <w:noBreakHyphen/>
        <w:t>covered sporting ground except by —</w:t>
      </w:r>
    </w:p>
    <w:p>
      <w:pPr>
        <w:pStyle w:val="nzIndenta"/>
      </w:pPr>
      <w:r>
        <w:tab/>
        <w:t>(a)</w:t>
      </w:r>
      <w:r>
        <w:tab/>
        <w:t>reticulation during either, but not both, the morning period or the evening period on one or more of 3 days of the week specified in relation to the relevant property in Schedule 3 Division 1; or</w:t>
      </w:r>
    </w:p>
    <w:p>
      <w:pPr>
        <w:pStyle w:val="nzIndenta"/>
      </w:pPr>
      <w:r>
        <w:tab/>
        <w:t>(b)</w:t>
      </w:r>
      <w:r>
        <w:tab/>
        <w:t>a handheld hose with one outlet; or</w:t>
      </w:r>
    </w:p>
    <w:p>
      <w:pPr>
        <w:pStyle w:val="nzIndenta"/>
      </w:pPr>
      <w:r>
        <w:tab/>
        <w:t>(c)</w:t>
      </w:r>
      <w:r>
        <w:tab/>
        <w:t>a handheld watering can.</w:t>
      </w:r>
    </w:p>
    <w:p>
      <w:pPr>
        <w:pStyle w:val="nzSubsection"/>
      </w:pPr>
      <w:r>
        <w:tab/>
        <w:t>(3)</w:t>
      </w:r>
      <w:r>
        <w:tab/>
        <w:t>A person must not spray a building, building site, demolition site (including vacant land resulting from a demolition), path, paved area or road except —</w:t>
      </w:r>
    </w:p>
    <w:p>
      <w:pPr>
        <w:pStyle w:val="nzIndenta"/>
      </w:pPr>
      <w:r>
        <w:tab/>
        <w:t>(a)</w:t>
      </w:r>
      <w:r>
        <w:tab/>
        <w:t xml:space="preserve">with — </w:t>
      </w:r>
    </w:p>
    <w:p>
      <w:pPr>
        <w:pStyle w:val="nzIndenti"/>
      </w:pPr>
      <w:r>
        <w:tab/>
        <w:t>(i)</w:t>
      </w:r>
      <w:r>
        <w:tab/>
        <w:t>a high pressure water cleaner; or</w:t>
      </w:r>
    </w:p>
    <w:p>
      <w:pPr>
        <w:pStyle w:val="nzIndenti"/>
      </w:pPr>
      <w:r>
        <w:tab/>
        <w:t>(ii)</w:t>
      </w:r>
      <w:r>
        <w:tab/>
        <w:t>a handheld hose with one outlet,</w:t>
      </w:r>
    </w:p>
    <w:p>
      <w:pPr>
        <w:pStyle w:val="nzIndenta"/>
      </w:pPr>
      <w:r>
        <w:tab/>
      </w:r>
      <w:r>
        <w:tab/>
        <w:t>to the minimum extent necessary for the cleaning of the building, building site, demolition site (including vacant land resulting from a demolition), path, paved area or road so as to avoid a threat to public health or safety; or</w:t>
      </w:r>
    </w:p>
    <w:p>
      <w:pPr>
        <w:pStyle w:val="nzIndenta"/>
      </w:pPr>
      <w:r>
        <w:tab/>
        <w:t>(b)</w:t>
      </w:r>
      <w:r>
        <w:tab/>
        <w:t>with a handheld hose with one outlet to the minimum extent necessary for purposes related to the construction, demolition or repair of the building, path, paved area or road.</w:t>
      </w:r>
    </w:p>
    <w:p>
      <w:pPr>
        <w:pStyle w:val="nzSubsection"/>
      </w:pPr>
      <w:r>
        <w:tab/>
        <w:t>(4)</w:t>
      </w:r>
      <w:r>
        <w:tab/>
        <w:t>A person must not fill a swimming pool except —</w:t>
      </w:r>
    </w:p>
    <w:p>
      <w:pPr>
        <w:pStyle w:val="nzIndenta"/>
      </w:pPr>
      <w:r>
        <w:tab/>
        <w:t>(a)</w:t>
      </w:r>
      <w:r>
        <w:tab/>
        <w:t>to replace water lost from the pool through evaporation or ordinary use; and</w:t>
      </w:r>
    </w:p>
    <w:p>
      <w:pPr>
        <w:pStyle w:val="nzIndenta"/>
      </w:pPr>
      <w:r>
        <w:tab/>
        <w:t>(b)</w:t>
      </w:r>
      <w:r>
        <w:tab/>
        <w:t>to the minimum extent necessary for the proper functioning of the pool.</w:t>
      </w:r>
    </w:p>
    <w:p>
      <w:pPr>
        <w:pStyle w:val="nzSubsection"/>
      </w:pPr>
      <w:bookmarkStart w:id="637" w:name="_Toc177869950"/>
      <w:bookmarkStart w:id="638" w:name="_Toc248218245"/>
      <w:r>
        <w:tab/>
        <w:t>(5)</w:t>
      </w:r>
      <w:r>
        <w:tab/>
        <w:t>A person must not water a synthetic sporting ground except for 10 minutes or less before a sport is played or practised on the sporting ground.</w:t>
      </w:r>
    </w:p>
    <w:p>
      <w:pPr>
        <w:pStyle w:val="nzHeading5"/>
      </w:pPr>
      <w:bookmarkStart w:id="639" w:name="_Toc254333782"/>
      <w:r>
        <w:rPr>
          <w:rStyle w:val="CharSClsNo"/>
        </w:rPr>
        <w:t>7</w:t>
      </w:r>
      <w:r>
        <w:t>.</w:t>
      </w:r>
      <w:r>
        <w:tab/>
        <w:t xml:space="preserve">Stage </w:t>
      </w:r>
      <w:bookmarkEnd w:id="637"/>
      <w:bookmarkEnd w:id="638"/>
      <w:r>
        <w:t>7</w:t>
      </w:r>
      <w:bookmarkEnd w:id="639"/>
    </w:p>
    <w:p>
      <w:pPr>
        <w:pStyle w:val="nzSubsection"/>
      </w:pPr>
      <w:r>
        <w:tab/>
        <w:t>(1)</w:t>
      </w:r>
      <w:r>
        <w:tab/>
        <w:t>A person must not water a lawn, garden, grass</w:t>
      </w:r>
      <w:r>
        <w:noBreakHyphen/>
        <w:t>covered sporting ground or synthetic sporting ground except by a handheld watering can.</w:t>
      </w:r>
    </w:p>
    <w:p>
      <w:pPr>
        <w:pStyle w:val="nzSubsection"/>
      </w:pPr>
      <w:r>
        <w:tab/>
        <w:t>(2)</w:t>
      </w:r>
      <w:r>
        <w:tab/>
        <w:t>A person must not spray a building, building site, demolition site (including vacant land resulting from a demolition), path, paved area or road except —</w:t>
      </w:r>
    </w:p>
    <w:p>
      <w:pPr>
        <w:pStyle w:val="nzIndenta"/>
      </w:pPr>
      <w:r>
        <w:tab/>
        <w:t>(a)</w:t>
      </w:r>
      <w:r>
        <w:tab/>
        <w:t xml:space="preserve">with — </w:t>
      </w:r>
    </w:p>
    <w:p>
      <w:pPr>
        <w:pStyle w:val="nzIndenti"/>
      </w:pPr>
      <w:r>
        <w:tab/>
        <w:t>(i)</w:t>
      </w:r>
      <w:r>
        <w:tab/>
        <w:t>a high pressure water cleaner; or</w:t>
      </w:r>
    </w:p>
    <w:p>
      <w:pPr>
        <w:pStyle w:val="nzIndenti"/>
      </w:pPr>
      <w:r>
        <w:tab/>
        <w:t>(ii)</w:t>
      </w:r>
      <w:r>
        <w:tab/>
        <w:t>a handheld hose with one outlet,</w:t>
      </w:r>
    </w:p>
    <w:p>
      <w:pPr>
        <w:pStyle w:val="nzIndenta"/>
      </w:pPr>
      <w:r>
        <w:tab/>
      </w:r>
      <w:r>
        <w:tab/>
        <w:t>to the minimum extent necessary for the cleaning of the building, building site, demolition site (including vacant land resulting from a demolition), path, paved area or road so as to avoid a threat to public health or safety; or</w:t>
      </w:r>
    </w:p>
    <w:p>
      <w:pPr>
        <w:pStyle w:val="nzIndenta"/>
      </w:pPr>
      <w:r>
        <w:tab/>
        <w:t>(b)</w:t>
      </w:r>
      <w:r>
        <w:tab/>
        <w:t>with a handheld hose with one outlet to the minimum extent necessary for purposes related to the construction, demolition or repair of the building, path, paved area or road.</w:t>
      </w:r>
    </w:p>
    <w:p>
      <w:pPr>
        <w:pStyle w:val="nzSubsection"/>
      </w:pPr>
      <w:r>
        <w:tab/>
        <w:t>(3)</w:t>
      </w:r>
      <w:r>
        <w:tab/>
        <w:t>A person must not fill a swimming pool.</w:t>
      </w:r>
    </w:p>
    <w:p>
      <w:pPr>
        <w:pStyle w:val="nzSubsection"/>
      </w:pPr>
      <w:r>
        <w:tab/>
        <w:t>(4)</w:t>
      </w:r>
      <w:r>
        <w:tab/>
        <w:t xml:space="preserve">A person must not wash a motor vehicle except — </w:t>
      </w:r>
    </w:p>
    <w:p>
      <w:pPr>
        <w:pStyle w:val="nzIndenta"/>
      </w:pPr>
      <w:r>
        <w:tab/>
        <w:t>(a)</w:t>
      </w:r>
      <w:r>
        <w:tab/>
        <w:t>to the minimum extent necessary to enable the vehicle to be driven safely; and</w:t>
      </w:r>
    </w:p>
    <w:p>
      <w:pPr>
        <w:pStyle w:val="nzIndenta"/>
      </w:pPr>
      <w:r>
        <w:tab/>
        <w:t>(b)</w:t>
      </w:r>
      <w:r>
        <w:tab/>
        <w:t>by using a bucket of water and a cloth.</w:t>
      </w:r>
    </w:p>
    <w:p>
      <w:pPr>
        <w:pStyle w:val="nzHeading2"/>
      </w:pPr>
      <w:bookmarkStart w:id="640" w:name="_Toc254183088"/>
      <w:bookmarkStart w:id="641" w:name="_Toc254183191"/>
      <w:bookmarkStart w:id="642" w:name="_Toc254190565"/>
      <w:bookmarkStart w:id="643" w:name="_Toc254263058"/>
      <w:bookmarkStart w:id="644" w:name="_Toc254263635"/>
      <w:bookmarkStart w:id="645" w:name="_Toc254333783"/>
      <w:r>
        <w:rPr>
          <w:rStyle w:val="CharSchNo"/>
        </w:rPr>
        <w:t>Schedule 3</w:t>
      </w:r>
      <w:r>
        <w:t> — </w:t>
      </w:r>
      <w:r>
        <w:rPr>
          <w:rStyle w:val="CharSchText"/>
        </w:rPr>
        <w:t>Specified days for watering by reticulation</w:t>
      </w:r>
      <w:bookmarkEnd w:id="640"/>
      <w:bookmarkEnd w:id="641"/>
      <w:bookmarkEnd w:id="642"/>
      <w:bookmarkEnd w:id="643"/>
      <w:bookmarkEnd w:id="644"/>
      <w:bookmarkEnd w:id="645"/>
    </w:p>
    <w:p>
      <w:pPr>
        <w:pStyle w:val="nzMiscellaneousBody"/>
        <w:jc w:val="right"/>
      </w:pPr>
      <w:r>
        <w:t>[bl. 3, 6, Sch. 2 cl. 3, 4, 5 and 6]</w:t>
      </w:r>
    </w:p>
    <w:p>
      <w:pPr>
        <w:pStyle w:val="nzHeading3"/>
      </w:pPr>
      <w:bookmarkStart w:id="646" w:name="_Toc254182211"/>
      <w:bookmarkStart w:id="647" w:name="_Toc254182516"/>
      <w:bookmarkStart w:id="648" w:name="_Toc254183089"/>
      <w:bookmarkStart w:id="649" w:name="_Toc254183192"/>
      <w:bookmarkStart w:id="650" w:name="_Toc254190566"/>
      <w:bookmarkStart w:id="651" w:name="_Toc254263059"/>
      <w:bookmarkStart w:id="652" w:name="_Toc254263636"/>
      <w:bookmarkStart w:id="653" w:name="_Toc254333784"/>
      <w:r>
        <w:rPr>
          <w:rStyle w:val="CharSDivNo"/>
        </w:rPr>
        <w:t>Division 1</w:t>
      </w:r>
      <w:r>
        <w:t> — </w:t>
      </w:r>
      <w:r>
        <w:rPr>
          <w:rStyle w:val="CharSDivText"/>
        </w:rPr>
        <w:t>Specified days for Schedule 2 clauses 3(1)(a), 4(2)(a), 5(2)(a) and 6(2)(a)</w:t>
      </w:r>
      <w:bookmarkEnd w:id="646"/>
      <w:bookmarkEnd w:id="647"/>
      <w:bookmarkEnd w:id="648"/>
      <w:bookmarkEnd w:id="649"/>
      <w:bookmarkEnd w:id="650"/>
      <w:bookmarkEnd w:id="651"/>
      <w:bookmarkEnd w:id="652"/>
      <w:bookmarkEnd w:id="653"/>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3402"/>
        <w:gridCol w:w="3402"/>
      </w:tblGrid>
      <w:tr>
        <w:trPr>
          <w:tblHeader/>
        </w:trPr>
        <w:tc>
          <w:tcPr>
            <w:tcW w:w="3402" w:type="dxa"/>
            <w:tcBorders>
              <w:left w:val="nil"/>
              <w:bottom w:val="single" w:sz="4" w:space="0" w:color="auto"/>
            </w:tcBorders>
          </w:tcPr>
          <w:p>
            <w:pPr>
              <w:pStyle w:val="yTableNAm"/>
              <w:jc w:val="center"/>
              <w:rPr>
                <w:b/>
                <w:bCs/>
                <w:sz w:val="20"/>
              </w:rPr>
            </w:pPr>
            <w:r>
              <w:rPr>
                <w:b/>
                <w:bCs/>
                <w:sz w:val="20"/>
              </w:rPr>
              <w:t>Last digit of property’s street number or, where there is no street number, lot number</w:t>
            </w:r>
          </w:p>
        </w:tc>
        <w:tc>
          <w:tcPr>
            <w:tcW w:w="3402" w:type="dxa"/>
            <w:tcBorders>
              <w:bottom w:val="single" w:sz="4" w:space="0" w:color="auto"/>
              <w:right w:val="nil"/>
            </w:tcBorders>
          </w:tcPr>
          <w:p>
            <w:pPr>
              <w:pStyle w:val="yTableNAm"/>
              <w:jc w:val="center"/>
              <w:rPr>
                <w:b/>
                <w:bCs/>
                <w:sz w:val="20"/>
              </w:rPr>
            </w:pPr>
            <w:r>
              <w:rPr>
                <w:b/>
                <w:bCs/>
                <w:sz w:val="20"/>
              </w:rPr>
              <w:t>Days for watering by reticulation</w:t>
            </w:r>
          </w:p>
        </w:tc>
      </w:tr>
      <w:tr>
        <w:tc>
          <w:tcPr>
            <w:tcW w:w="3402" w:type="dxa"/>
            <w:tcBorders>
              <w:left w:val="nil"/>
              <w:bottom w:val="nil"/>
            </w:tcBorders>
          </w:tcPr>
          <w:p>
            <w:pPr>
              <w:pStyle w:val="yTableNAm"/>
              <w:jc w:val="center"/>
              <w:rPr>
                <w:sz w:val="20"/>
              </w:rPr>
            </w:pPr>
            <w:r>
              <w:rPr>
                <w:sz w:val="20"/>
              </w:rPr>
              <w:t>1</w:t>
            </w:r>
          </w:p>
        </w:tc>
        <w:tc>
          <w:tcPr>
            <w:tcW w:w="3402" w:type="dxa"/>
            <w:tcBorders>
              <w:bottom w:val="nil"/>
              <w:right w:val="nil"/>
            </w:tcBorders>
          </w:tcPr>
          <w:p>
            <w:pPr>
              <w:pStyle w:val="yTableNAm"/>
              <w:rPr>
                <w:sz w:val="20"/>
              </w:rPr>
            </w:pPr>
            <w:r>
              <w:rPr>
                <w:sz w:val="20"/>
              </w:rPr>
              <w:t>Monday, Wednesday and Saturday</w:t>
            </w:r>
          </w:p>
        </w:tc>
      </w:tr>
      <w:tr>
        <w:tc>
          <w:tcPr>
            <w:tcW w:w="3402" w:type="dxa"/>
            <w:tcBorders>
              <w:top w:val="nil"/>
              <w:left w:val="nil"/>
              <w:bottom w:val="nil"/>
            </w:tcBorders>
          </w:tcPr>
          <w:p>
            <w:pPr>
              <w:pStyle w:val="yTableNAm"/>
              <w:jc w:val="center"/>
              <w:rPr>
                <w:sz w:val="20"/>
              </w:rPr>
            </w:pPr>
            <w:r>
              <w:rPr>
                <w:sz w:val="20"/>
              </w:rPr>
              <w:t>2</w:t>
            </w:r>
          </w:p>
        </w:tc>
        <w:tc>
          <w:tcPr>
            <w:tcW w:w="3402" w:type="dxa"/>
            <w:tcBorders>
              <w:top w:val="nil"/>
              <w:bottom w:val="nil"/>
              <w:right w:val="nil"/>
            </w:tcBorders>
          </w:tcPr>
          <w:p>
            <w:pPr>
              <w:pStyle w:val="yTableNAm"/>
              <w:rPr>
                <w:sz w:val="20"/>
              </w:rPr>
            </w:pPr>
            <w:r>
              <w:rPr>
                <w:sz w:val="20"/>
              </w:rPr>
              <w:t>Sunday, Tuesday and Thursday</w:t>
            </w:r>
          </w:p>
        </w:tc>
      </w:tr>
      <w:tr>
        <w:tc>
          <w:tcPr>
            <w:tcW w:w="3402" w:type="dxa"/>
            <w:tcBorders>
              <w:top w:val="nil"/>
              <w:left w:val="nil"/>
              <w:bottom w:val="nil"/>
            </w:tcBorders>
          </w:tcPr>
          <w:p>
            <w:pPr>
              <w:pStyle w:val="yTableNAm"/>
              <w:jc w:val="center"/>
              <w:rPr>
                <w:sz w:val="20"/>
              </w:rPr>
            </w:pPr>
            <w:r>
              <w:rPr>
                <w:sz w:val="20"/>
              </w:rPr>
              <w:t>3</w:t>
            </w:r>
          </w:p>
        </w:tc>
        <w:tc>
          <w:tcPr>
            <w:tcW w:w="3402" w:type="dxa"/>
            <w:tcBorders>
              <w:top w:val="nil"/>
              <w:bottom w:val="nil"/>
              <w:right w:val="nil"/>
            </w:tcBorders>
          </w:tcPr>
          <w:p>
            <w:pPr>
              <w:pStyle w:val="yTableNAm"/>
              <w:rPr>
                <w:sz w:val="20"/>
              </w:rPr>
            </w:pPr>
            <w:r>
              <w:rPr>
                <w:sz w:val="20"/>
              </w:rPr>
              <w:t xml:space="preserve">Monday, Wednesday and Friday </w:t>
            </w:r>
          </w:p>
        </w:tc>
      </w:tr>
      <w:tr>
        <w:tc>
          <w:tcPr>
            <w:tcW w:w="3402" w:type="dxa"/>
            <w:tcBorders>
              <w:top w:val="nil"/>
              <w:left w:val="nil"/>
              <w:bottom w:val="nil"/>
            </w:tcBorders>
          </w:tcPr>
          <w:p>
            <w:pPr>
              <w:pStyle w:val="yTableNAm"/>
              <w:jc w:val="center"/>
              <w:rPr>
                <w:sz w:val="20"/>
              </w:rPr>
            </w:pPr>
            <w:r>
              <w:rPr>
                <w:sz w:val="20"/>
              </w:rPr>
              <w:t>4</w:t>
            </w:r>
          </w:p>
        </w:tc>
        <w:tc>
          <w:tcPr>
            <w:tcW w:w="3402" w:type="dxa"/>
            <w:tcBorders>
              <w:top w:val="nil"/>
              <w:bottom w:val="nil"/>
              <w:right w:val="nil"/>
            </w:tcBorders>
          </w:tcPr>
          <w:p>
            <w:pPr>
              <w:pStyle w:val="yTableNAm"/>
              <w:rPr>
                <w:sz w:val="20"/>
              </w:rPr>
            </w:pPr>
            <w:r>
              <w:rPr>
                <w:sz w:val="20"/>
              </w:rPr>
              <w:t>Tuesday, Thursday and Saturday</w:t>
            </w:r>
          </w:p>
        </w:tc>
      </w:tr>
      <w:tr>
        <w:tc>
          <w:tcPr>
            <w:tcW w:w="3402" w:type="dxa"/>
            <w:tcBorders>
              <w:top w:val="nil"/>
              <w:left w:val="nil"/>
              <w:bottom w:val="nil"/>
            </w:tcBorders>
          </w:tcPr>
          <w:p>
            <w:pPr>
              <w:pStyle w:val="yTableNAm"/>
              <w:jc w:val="center"/>
              <w:rPr>
                <w:sz w:val="20"/>
              </w:rPr>
            </w:pPr>
            <w:r>
              <w:rPr>
                <w:sz w:val="20"/>
              </w:rPr>
              <w:t>5</w:t>
            </w:r>
          </w:p>
        </w:tc>
        <w:tc>
          <w:tcPr>
            <w:tcW w:w="3402" w:type="dxa"/>
            <w:tcBorders>
              <w:top w:val="nil"/>
              <w:bottom w:val="nil"/>
              <w:right w:val="nil"/>
            </w:tcBorders>
          </w:tcPr>
          <w:p>
            <w:pPr>
              <w:pStyle w:val="yTableNAm"/>
              <w:rPr>
                <w:sz w:val="20"/>
              </w:rPr>
            </w:pPr>
            <w:r>
              <w:rPr>
                <w:sz w:val="20"/>
              </w:rPr>
              <w:t>Sunday, Wednesday and Friday</w:t>
            </w:r>
          </w:p>
        </w:tc>
      </w:tr>
      <w:tr>
        <w:tc>
          <w:tcPr>
            <w:tcW w:w="3402" w:type="dxa"/>
            <w:tcBorders>
              <w:top w:val="nil"/>
              <w:left w:val="nil"/>
              <w:bottom w:val="nil"/>
            </w:tcBorders>
          </w:tcPr>
          <w:p>
            <w:pPr>
              <w:pStyle w:val="yTableNAm"/>
              <w:jc w:val="center"/>
              <w:rPr>
                <w:sz w:val="20"/>
              </w:rPr>
            </w:pPr>
            <w:r>
              <w:rPr>
                <w:sz w:val="20"/>
              </w:rPr>
              <w:t>6</w:t>
            </w:r>
          </w:p>
        </w:tc>
        <w:tc>
          <w:tcPr>
            <w:tcW w:w="3402" w:type="dxa"/>
            <w:tcBorders>
              <w:top w:val="nil"/>
              <w:bottom w:val="nil"/>
              <w:right w:val="nil"/>
            </w:tcBorders>
          </w:tcPr>
          <w:p>
            <w:pPr>
              <w:pStyle w:val="yTableNAm"/>
              <w:rPr>
                <w:sz w:val="20"/>
              </w:rPr>
            </w:pPr>
            <w:r>
              <w:rPr>
                <w:sz w:val="20"/>
              </w:rPr>
              <w:t>Monday, Thursday and Saturday</w:t>
            </w:r>
          </w:p>
        </w:tc>
      </w:tr>
      <w:tr>
        <w:tc>
          <w:tcPr>
            <w:tcW w:w="3402" w:type="dxa"/>
            <w:tcBorders>
              <w:top w:val="nil"/>
              <w:left w:val="nil"/>
              <w:bottom w:val="nil"/>
            </w:tcBorders>
          </w:tcPr>
          <w:p>
            <w:pPr>
              <w:pStyle w:val="yTableNAm"/>
              <w:jc w:val="center"/>
              <w:rPr>
                <w:sz w:val="20"/>
              </w:rPr>
            </w:pPr>
            <w:r>
              <w:rPr>
                <w:sz w:val="20"/>
              </w:rPr>
              <w:t>7</w:t>
            </w:r>
          </w:p>
        </w:tc>
        <w:tc>
          <w:tcPr>
            <w:tcW w:w="3402" w:type="dxa"/>
            <w:tcBorders>
              <w:top w:val="nil"/>
              <w:bottom w:val="nil"/>
              <w:right w:val="nil"/>
            </w:tcBorders>
          </w:tcPr>
          <w:p>
            <w:pPr>
              <w:pStyle w:val="yTableNAm"/>
              <w:rPr>
                <w:sz w:val="20"/>
              </w:rPr>
            </w:pPr>
            <w:r>
              <w:rPr>
                <w:sz w:val="20"/>
              </w:rPr>
              <w:t>Sunday, Tuesday and Friday</w:t>
            </w:r>
          </w:p>
        </w:tc>
      </w:tr>
      <w:tr>
        <w:tc>
          <w:tcPr>
            <w:tcW w:w="3402" w:type="dxa"/>
            <w:tcBorders>
              <w:top w:val="nil"/>
              <w:left w:val="nil"/>
              <w:bottom w:val="nil"/>
            </w:tcBorders>
          </w:tcPr>
          <w:p>
            <w:pPr>
              <w:pStyle w:val="yTableNAm"/>
              <w:jc w:val="center"/>
              <w:rPr>
                <w:sz w:val="20"/>
              </w:rPr>
            </w:pPr>
            <w:r>
              <w:rPr>
                <w:sz w:val="20"/>
              </w:rPr>
              <w:t>8</w:t>
            </w:r>
          </w:p>
        </w:tc>
        <w:tc>
          <w:tcPr>
            <w:tcW w:w="3402" w:type="dxa"/>
            <w:tcBorders>
              <w:top w:val="nil"/>
              <w:bottom w:val="nil"/>
              <w:right w:val="nil"/>
            </w:tcBorders>
          </w:tcPr>
          <w:p>
            <w:pPr>
              <w:pStyle w:val="yTableNAm"/>
              <w:rPr>
                <w:sz w:val="20"/>
              </w:rPr>
            </w:pPr>
            <w:r>
              <w:rPr>
                <w:sz w:val="20"/>
              </w:rPr>
              <w:t>Monday, Wednesday and Saturday</w:t>
            </w:r>
          </w:p>
        </w:tc>
      </w:tr>
      <w:tr>
        <w:tc>
          <w:tcPr>
            <w:tcW w:w="3402" w:type="dxa"/>
            <w:tcBorders>
              <w:top w:val="nil"/>
              <w:left w:val="nil"/>
              <w:bottom w:val="nil"/>
            </w:tcBorders>
          </w:tcPr>
          <w:p>
            <w:pPr>
              <w:pStyle w:val="yTableNAm"/>
              <w:jc w:val="center"/>
              <w:rPr>
                <w:sz w:val="20"/>
              </w:rPr>
            </w:pPr>
            <w:r>
              <w:rPr>
                <w:sz w:val="20"/>
              </w:rPr>
              <w:t>9</w:t>
            </w:r>
          </w:p>
        </w:tc>
        <w:tc>
          <w:tcPr>
            <w:tcW w:w="3402" w:type="dxa"/>
            <w:tcBorders>
              <w:top w:val="nil"/>
              <w:bottom w:val="nil"/>
              <w:right w:val="nil"/>
            </w:tcBorders>
          </w:tcPr>
          <w:p>
            <w:pPr>
              <w:pStyle w:val="yTableNAm"/>
              <w:rPr>
                <w:sz w:val="20"/>
              </w:rPr>
            </w:pPr>
            <w:r>
              <w:rPr>
                <w:sz w:val="20"/>
              </w:rPr>
              <w:t>Sunday, Tuesday and Thursday</w:t>
            </w:r>
          </w:p>
        </w:tc>
      </w:tr>
      <w:tr>
        <w:tc>
          <w:tcPr>
            <w:tcW w:w="3402" w:type="dxa"/>
            <w:tcBorders>
              <w:top w:val="nil"/>
              <w:left w:val="nil"/>
            </w:tcBorders>
          </w:tcPr>
          <w:p>
            <w:pPr>
              <w:pStyle w:val="yTableNAm"/>
              <w:jc w:val="center"/>
              <w:rPr>
                <w:sz w:val="20"/>
              </w:rPr>
            </w:pPr>
            <w:r>
              <w:rPr>
                <w:sz w:val="20"/>
              </w:rPr>
              <w:t>0</w:t>
            </w:r>
          </w:p>
        </w:tc>
        <w:tc>
          <w:tcPr>
            <w:tcW w:w="3402" w:type="dxa"/>
            <w:tcBorders>
              <w:top w:val="nil"/>
              <w:right w:val="nil"/>
            </w:tcBorders>
          </w:tcPr>
          <w:p>
            <w:pPr>
              <w:pStyle w:val="yTableNAm"/>
              <w:rPr>
                <w:sz w:val="20"/>
              </w:rPr>
            </w:pPr>
            <w:r>
              <w:rPr>
                <w:sz w:val="20"/>
              </w:rPr>
              <w:t>Monday, Wednesday and Friday</w:t>
            </w:r>
          </w:p>
        </w:tc>
      </w:tr>
    </w:tbl>
    <w:p>
      <w:pPr>
        <w:pStyle w:val="nzHeading3"/>
      </w:pPr>
      <w:bookmarkStart w:id="654" w:name="_Toc253407989"/>
      <w:bookmarkStart w:id="655" w:name="_Toc253409398"/>
      <w:bookmarkStart w:id="656" w:name="_Toc253409465"/>
      <w:bookmarkStart w:id="657" w:name="_Toc253409856"/>
      <w:bookmarkStart w:id="658" w:name="_Toc253409942"/>
      <w:bookmarkStart w:id="659" w:name="_Toc253411532"/>
      <w:bookmarkStart w:id="660" w:name="_Toc253412827"/>
      <w:bookmarkStart w:id="661" w:name="_Toc253412881"/>
      <w:bookmarkStart w:id="662" w:name="_Toc253472347"/>
      <w:bookmarkStart w:id="663" w:name="_Toc253482370"/>
      <w:bookmarkStart w:id="664" w:name="_Toc253729638"/>
      <w:bookmarkStart w:id="665" w:name="_Toc253729691"/>
      <w:bookmarkStart w:id="666" w:name="_Toc253730860"/>
      <w:bookmarkStart w:id="667" w:name="_Toc253730913"/>
      <w:bookmarkStart w:id="668" w:name="_Toc253730966"/>
      <w:bookmarkStart w:id="669" w:name="_Toc254182212"/>
      <w:bookmarkStart w:id="670" w:name="_Toc254182517"/>
      <w:bookmarkStart w:id="671" w:name="_Toc254183090"/>
      <w:bookmarkStart w:id="672" w:name="_Toc254183193"/>
      <w:bookmarkStart w:id="673" w:name="_Toc254190567"/>
      <w:bookmarkStart w:id="674" w:name="_Toc254263060"/>
      <w:bookmarkStart w:id="675" w:name="_Toc254263637"/>
      <w:bookmarkStart w:id="676" w:name="_Toc254333785"/>
      <w:r>
        <w:rPr>
          <w:rStyle w:val="CharSDivNo"/>
        </w:rPr>
        <w:t>Division 2</w:t>
      </w:r>
      <w:r>
        <w:t> — </w:t>
      </w:r>
      <w:r>
        <w:rPr>
          <w:rStyle w:val="CharSDivText"/>
        </w:rPr>
        <w:t>Specified days for Schedule 2 clause 4(1)(a)</w:t>
      </w:r>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p>
    <w:tbl>
      <w:tblPr>
        <w:tblW w:w="0" w:type="auto"/>
        <w:tblInd w:w="250" w:type="dxa"/>
        <w:tblBorders>
          <w:top w:val="single" w:sz="4" w:space="0" w:color="auto"/>
          <w:bottom w:val="single" w:sz="4" w:space="0" w:color="auto"/>
          <w:insideV w:val="single" w:sz="4" w:space="0" w:color="auto"/>
        </w:tblBorders>
        <w:tblLayout w:type="fixed"/>
        <w:tblCellMar>
          <w:bottom w:w="113" w:type="dxa"/>
        </w:tblCellMar>
        <w:tblLook w:val="0000" w:firstRow="0" w:lastRow="0" w:firstColumn="0" w:lastColumn="0" w:noHBand="0" w:noVBand="0"/>
      </w:tblPr>
      <w:tblGrid>
        <w:gridCol w:w="3402"/>
        <w:gridCol w:w="3402"/>
      </w:tblGrid>
      <w:tr>
        <w:trPr>
          <w:tblHeader/>
        </w:trPr>
        <w:tc>
          <w:tcPr>
            <w:tcW w:w="3402" w:type="dxa"/>
            <w:tcBorders>
              <w:top w:val="single" w:sz="4" w:space="0" w:color="auto"/>
              <w:bottom w:val="single" w:sz="4" w:space="0" w:color="auto"/>
            </w:tcBorders>
          </w:tcPr>
          <w:p>
            <w:pPr>
              <w:pStyle w:val="yTableNAm"/>
              <w:jc w:val="center"/>
              <w:rPr>
                <w:b/>
                <w:bCs/>
                <w:sz w:val="20"/>
              </w:rPr>
            </w:pPr>
            <w:r>
              <w:rPr>
                <w:b/>
                <w:bCs/>
                <w:sz w:val="20"/>
              </w:rPr>
              <w:t>Last digit of property’s street number or, where there is no street number, lot number</w:t>
            </w:r>
          </w:p>
        </w:tc>
        <w:tc>
          <w:tcPr>
            <w:tcW w:w="3402" w:type="dxa"/>
            <w:tcBorders>
              <w:top w:val="single" w:sz="4" w:space="0" w:color="auto"/>
              <w:bottom w:val="single" w:sz="4" w:space="0" w:color="auto"/>
            </w:tcBorders>
          </w:tcPr>
          <w:p>
            <w:pPr>
              <w:pStyle w:val="yTableNAm"/>
              <w:jc w:val="center"/>
              <w:rPr>
                <w:b/>
                <w:bCs/>
                <w:sz w:val="20"/>
              </w:rPr>
            </w:pPr>
            <w:r>
              <w:rPr>
                <w:b/>
                <w:bCs/>
                <w:sz w:val="20"/>
              </w:rPr>
              <w:t>Days for watering by reticulation</w:t>
            </w:r>
          </w:p>
        </w:tc>
      </w:tr>
      <w:tr>
        <w:tc>
          <w:tcPr>
            <w:tcW w:w="3402" w:type="dxa"/>
            <w:tcBorders>
              <w:top w:val="single" w:sz="4" w:space="0" w:color="auto"/>
            </w:tcBorders>
          </w:tcPr>
          <w:p>
            <w:pPr>
              <w:pStyle w:val="yTableNAm"/>
              <w:jc w:val="center"/>
              <w:rPr>
                <w:sz w:val="20"/>
              </w:rPr>
            </w:pPr>
            <w:r>
              <w:rPr>
                <w:sz w:val="20"/>
              </w:rPr>
              <w:t>1</w:t>
            </w:r>
          </w:p>
        </w:tc>
        <w:tc>
          <w:tcPr>
            <w:tcW w:w="3402" w:type="dxa"/>
            <w:tcBorders>
              <w:top w:val="single" w:sz="4" w:space="0" w:color="auto"/>
            </w:tcBorders>
          </w:tcPr>
          <w:p>
            <w:pPr>
              <w:pStyle w:val="yTableNAm"/>
              <w:rPr>
                <w:sz w:val="20"/>
              </w:rPr>
            </w:pPr>
            <w:r>
              <w:rPr>
                <w:sz w:val="20"/>
              </w:rPr>
              <w:t>Wednesday and Saturday</w:t>
            </w:r>
          </w:p>
        </w:tc>
      </w:tr>
      <w:tr>
        <w:tc>
          <w:tcPr>
            <w:tcW w:w="3402" w:type="dxa"/>
          </w:tcPr>
          <w:p>
            <w:pPr>
              <w:pStyle w:val="yTableNAm"/>
              <w:jc w:val="center"/>
              <w:rPr>
                <w:sz w:val="20"/>
              </w:rPr>
            </w:pPr>
            <w:r>
              <w:rPr>
                <w:sz w:val="20"/>
              </w:rPr>
              <w:t>2</w:t>
            </w:r>
          </w:p>
        </w:tc>
        <w:tc>
          <w:tcPr>
            <w:tcW w:w="3402" w:type="dxa"/>
          </w:tcPr>
          <w:p>
            <w:pPr>
              <w:pStyle w:val="yTableNAm"/>
              <w:rPr>
                <w:sz w:val="20"/>
              </w:rPr>
            </w:pPr>
            <w:r>
              <w:rPr>
                <w:sz w:val="20"/>
              </w:rPr>
              <w:t>Sunday and Thursday</w:t>
            </w:r>
          </w:p>
        </w:tc>
      </w:tr>
      <w:tr>
        <w:tc>
          <w:tcPr>
            <w:tcW w:w="3402" w:type="dxa"/>
          </w:tcPr>
          <w:p>
            <w:pPr>
              <w:pStyle w:val="yTableNAm"/>
              <w:jc w:val="center"/>
              <w:rPr>
                <w:sz w:val="20"/>
              </w:rPr>
            </w:pPr>
            <w:r>
              <w:rPr>
                <w:sz w:val="20"/>
              </w:rPr>
              <w:t>3</w:t>
            </w:r>
          </w:p>
        </w:tc>
        <w:tc>
          <w:tcPr>
            <w:tcW w:w="3402" w:type="dxa"/>
          </w:tcPr>
          <w:p>
            <w:pPr>
              <w:pStyle w:val="yTableNAm"/>
              <w:rPr>
                <w:sz w:val="20"/>
              </w:rPr>
            </w:pPr>
            <w:r>
              <w:rPr>
                <w:sz w:val="20"/>
              </w:rPr>
              <w:t>Monday and Friday</w:t>
            </w:r>
          </w:p>
        </w:tc>
      </w:tr>
      <w:tr>
        <w:tc>
          <w:tcPr>
            <w:tcW w:w="3402" w:type="dxa"/>
          </w:tcPr>
          <w:p>
            <w:pPr>
              <w:pStyle w:val="yTableNAm"/>
              <w:jc w:val="center"/>
              <w:rPr>
                <w:sz w:val="20"/>
              </w:rPr>
            </w:pPr>
            <w:r>
              <w:rPr>
                <w:sz w:val="20"/>
              </w:rPr>
              <w:t>4</w:t>
            </w:r>
          </w:p>
        </w:tc>
        <w:tc>
          <w:tcPr>
            <w:tcW w:w="3402" w:type="dxa"/>
          </w:tcPr>
          <w:p>
            <w:pPr>
              <w:pStyle w:val="yTableNAm"/>
              <w:rPr>
                <w:sz w:val="20"/>
              </w:rPr>
            </w:pPr>
            <w:r>
              <w:rPr>
                <w:sz w:val="20"/>
              </w:rPr>
              <w:t>Tuesday and Saturday</w:t>
            </w:r>
          </w:p>
        </w:tc>
      </w:tr>
      <w:tr>
        <w:tc>
          <w:tcPr>
            <w:tcW w:w="3402" w:type="dxa"/>
          </w:tcPr>
          <w:p>
            <w:pPr>
              <w:pStyle w:val="yTableNAm"/>
              <w:jc w:val="center"/>
              <w:rPr>
                <w:sz w:val="20"/>
              </w:rPr>
            </w:pPr>
            <w:r>
              <w:rPr>
                <w:sz w:val="20"/>
              </w:rPr>
              <w:t>5</w:t>
            </w:r>
          </w:p>
        </w:tc>
        <w:tc>
          <w:tcPr>
            <w:tcW w:w="3402" w:type="dxa"/>
          </w:tcPr>
          <w:p>
            <w:pPr>
              <w:pStyle w:val="yTableNAm"/>
              <w:rPr>
                <w:sz w:val="20"/>
              </w:rPr>
            </w:pPr>
            <w:r>
              <w:rPr>
                <w:sz w:val="20"/>
              </w:rPr>
              <w:t>Sunday and Wednesday</w:t>
            </w:r>
          </w:p>
        </w:tc>
      </w:tr>
      <w:tr>
        <w:tc>
          <w:tcPr>
            <w:tcW w:w="3402" w:type="dxa"/>
          </w:tcPr>
          <w:p>
            <w:pPr>
              <w:pStyle w:val="yTableNAm"/>
              <w:jc w:val="center"/>
              <w:rPr>
                <w:sz w:val="20"/>
              </w:rPr>
            </w:pPr>
            <w:r>
              <w:rPr>
                <w:sz w:val="20"/>
              </w:rPr>
              <w:t>6</w:t>
            </w:r>
          </w:p>
        </w:tc>
        <w:tc>
          <w:tcPr>
            <w:tcW w:w="3402" w:type="dxa"/>
          </w:tcPr>
          <w:p>
            <w:pPr>
              <w:pStyle w:val="yTableNAm"/>
              <w:rPr>
                <w:sz w:val="20"/>
              </w:rPr>
            </w:pPr>
            <w:r>
              <w:rPr>
                <w:sz w:val="20"/>
              </w:rPr>
              <w:t>Monday and Thursday</w:t>
            </w:r>
          </w:p>
        </w:tc>
      </w:tr>
      <w:tr>
        <w:tc>
          <w:tcPr>
            <w:tcW w:w="3402" w:type="dxa"/>
          </w:tcPr>
          <w:p>
            <w:pPr>
              <w:pStyle w:val="yTableNAm"/>
              <w:jc w:val="center"/>
              <w:rPr>
                <w:sz w:val="20"/>
              </w:rPr>
            </w:pPr>
            <w:r>
              <w:rPr>
                <w:sz w:val="20"/>
              </w:rPr>
              <w:t>7</w:t>
            </w:r>
          </w:p>
        </w:tc>
        <w:tc>
          <w:tcPr>
            <w:tcW w:w="3402" w:type="dxa"/>
          </w:tcPr>
          <w:p>
            <w:pPr>
              <w:pStyle w:val="yTableNAm"/>
              <w:rPr>
                <w:sz w:val="20"/>
              </w:rPr>
            </w:pPr>
            <w:r>
              <w:rPr>
                <w:sz w:val="20"/>
              </w:rPr>
              <w:t>Tuesday and Friday</w:t>
            </w:r>
          </w:p>
        </w:tc>
      </w:tr>
      <w:tr>
        <w:tc>
          <w:tcPr>
            <w:tcW w:w="3402" w:type="dxa"/>
          </w:tcPr>
          <w:p>
            <w:pPr>
              <w:pStyle w:val="yTableNAm"/>
              <w:jc w:val="center"/>
              <w:rPr>
                <w:sz w:val="20"/>
              </w:rPr>
            </w:pPr>
            <w:r>
              <w:rPr>
                <w:sz w:val="20"/>
              </w:rPr>
              <w:t>8</w:t>
            </w:r>
          </w:p>
        </w:tc>
        <w:tc>
          <w:tcPr>
            <w:tcW w:w="3402" w:type="dxa"/>
          </w:tcPr>
          <w:p>
            <w:pPr>
              <w:pStyle w:val="yTableNAm"/>
              <w:rPr>
                <w:sz w:val="20"/>
              </w:rPr>
            </w:pPr>
            <w:r>
              <w:rPr>
                <w:sz w:val="20"/>
              </w:rPr>
              <w:t>Wednesday and Saturday</w:t>
            </w:r>
          </w:p>
        </w:tc>
      </w:tr>
      <w:tr>
        <w:tc>
          <w:tcPr>
            <w:tcW w:w="3402" w:type="dxa"/>
          </w:tcPr>
          <w:p>
            <w:pPr>
              <w:pStyle w:val="yTableNAm"/>
              <w:jc w:val="center"/>
              <w:rPr>
                <w:sz w:val="20"/>
              </w:rPr>
            </w:pPr>
            <w:r>
              <w:rPr>
                <w:sz w:val="20"/>
              </w:rPr>
              <w:t>9</w:t>
            </w:r>
          </w:p>
        </w:tc>
        <w:tc>
          <w:tcPr>
            <w:tcW w:w="3402" w:type="dxa"/>
          </w:tcPr>
          <w:p>
            <w:pPr>
              <w:pStyle w:val="yTableNAm"/>
              <w:rPr>
                <w:sz w:val="20"/>
              </w:rPr>
            </w:pPr>
            <w:r>
              <w:rPr>
                <w:sz w:val="20"/>
              </w:rPr>
              <w:t>Sunday and Thursday</w:t>
            </w:r>
          </w:p>
        </w:tc>
      </w:tr>
      <w:tr>
        <w:tc>
          <w:tcPr>
            <w:tcW w:w="3402" w:type="dxa"/>
          </w:tcPr>
          <w:p>
            <w:pPr>
              <w:pStyle w:val="yTableNAm"/>
              <w:jc w:val="center"/>
              <w:rPr>
                <w:sz w:val="20"/>
              </w:rPr>
            </w:pPr>
            <w:r>
              <w:rPr>
                <w:sz w:val="20"/>
              </w:rPr>
              <w:t>0</w:t>
            </w:r>
          </w:p>
        </w:tc>
        <w:tc>
          <w:tcPr>
            <w:tcW w:w="3402" w:type="dxa"/>
          </w:tcPr>
          <w:p>
            <w:pPr>
              <w:pStyle w:val="yTableNAm"/>
              <w:rPr>
                <w:sz w:val="20"/>
              </w:rPr>
            </w:pPr>
            <w:r>
              <w:rPr>
                <w:sz w:val="20"/>
              </w:rPr>
              <w:t>Monday and Friday</w:t>
            </w:r>
          </w:p>
        </w:tc>
      </w:tr>
    </w:tbl>
    <w:p>
      <w:pPr>
        <w:pStyle w:val="nzHeading3"/>
      </w:pPr>
      <w:bookmarkStart w:id="677" w:name="_Toc253407990"/>
      <w:bookmarkStart w:id="678" w:name="_Toc253409399"/>
      <w:bookmarkStart w:id="679" w:name="_Toc253409466"/>
      <w:bookmarkStart w:id="680" w:name="_Toc253409857"/>
      <w:bookmarkStart w:id="681" w:name="_Toc253409943"/>
      <w:bookmarkStart w:id="682" w:name="_Toc253411533"/>
      <w:bookmarkStart w:id="683" w:name="_Toc253412828"/>
      <w:bookmarkStart w:id="684" w:name="_Toc253412882"/>
      <w:bookmarkStart w:id="685" w:name="_Toc253472348"/>
      <w:bookmarkStart w:id="686" w:name="_Toc253482371"/>
      <w:bookmarkStart w:id="687" w:name="_Toc253729639"/>
      <w:bookmarkStart w:id="688" w:name="_Toc253729692"/>
      <w:bookmarkStart w:id="689" w:name="_Toc253730861"/>
      <w:bookmarkStart w:id="690" w:name="_Toc253730914"/>
      <w:bookmarkStart w:id="691" w:name="_Toc253730967"/>
      <w:bookmarkStart w:id="692" w:name="_Toc254182213"/>
      <w:bookmarkStart w:id="693" w:name="_Toc254182518"/>
      <w:bookmarkStart w:id="694" w:name="_Toc254183091"/>
      <w:bookmarkStart w:id="695" w:name="_Toc254183194"/>
      <w:bookmarkStart w:id="696" w:name="_Toc254190568"/>
      <w:bookmarkStart w:id="697" w:name="_Toc254263061"/>
      <w:bookmarkStart w:id="698" w:name="_Toc254263638"/>
      <w:bookmarkStart w:id="699" w:name="_Toc254333786"/>
      <w:r>
        <w:rPr>
          <w:rStyle w:val="CharSDivNo"/>
        </w:rPr>
        <w:t>Division 3</w:t>
      </w:r>
      <w:r>
        <w:t> — </w:t>
      </w:r>
      <w:r>
        <w:rPr>
          <w:rStyle w:val="CharSDivText"/>
        </w:rPr>
        <w:t>Specified days for Schedule 2 clause 5(1)(a)</w:t>
      </w:r>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p>
    <w:tbl>
      <w:tblPr>
        <w:tblW w:w="0" w:type="auto"/>
        <w:tblInd w:w="250" w:type="dxa"/>
        <w:tblBorders>
          <w:top w:val="single" w:sz="4" w:space="0" w:color="auto"/>
          <w:bottom w:val="single" w:sz="4" w:space="0" w:color="auto"/>
          <w:insideV w:val="single" w:sz="4" w:space="0" w:color="auto"/>
        </w:tblBorders>
        <w:tblLayout w:type="fixed"/>
        <w:tblCellMar>
          <w:bottom w:w="113" w:type="dxa"/>
        </w:tblCellMar>
        <w:tblLook w:val="0000" w:firstRow="0" w:lastRow="0" w:firstColumn="0" w:lastColumn="0" w:noHBand="0" w:noVBand="0"/>
      </w:tblPr>
      <w:tblGrid>
        <w:gridCol w:w="3402"/>
        <w:gridCol w:w="3402"/>
      </w:tblGrid>
      <w:tr>
        <w:trPr>
          <w:tblHeader/>
        </w:trPr>
        <w:tc>
          <w:tcPr>
            <w:tcW w:w="3402" w:type="dxa"/>
            <w:tcBorders>
              <w:top w:val="single" w:sz="4" w:space="0" w:color="auto"/>
              <w:bottom w:val="single" w:sz="4" w:space="0" w:color="auto"/>
            </w:tcBorders>
          </w:tcPr>
          <w:p>
            <w:pPr>
              <w:pStyle w:val="yTableNAm"/>
              <w:jc w:val="center"/>
              <w:rPr>
                <w:b/>
                <w:bCs/>
                <w:sz w:val="20"/>
              </w:rPr>
            </w:pPr>
            <w:r>
              <w:rPr>
                <w:b/>
                <w:bCs/>
                <w:sz w:val="20"/>
              </w:rPr>
              <w:t>Last digit of property’s street number or, where there is no street number, lot number</w:t>
            </w:r>
          </w:p>
        </w:tc>
        <w:tc>
          <w:tcPr>
            <w:tcW w:w="3402" w:type="dxa"/>
            <w:tcBorders>
              <w:top w:val="single" w:sz="4" w:space="0" w:color="auto"/>
              <w:bottom w:val="single" w:sz="4" w:space="0" w:color="auto"/>
            </w:tcBorders>
          </w:tcPr>
          <w:p>
            <w:pPr>
              <w:pStyle w:val="yTableNAm"/>
              <w:jc w:val="center"/>
              <w:rPr>
                <w:b/>
                <w:bCs/>
                <w:sz w:val="20"/>
              </w:rPr>
            </w:pPr>
            <w:r>
              <w:rPr>
                <w:b/>
                <w:bCs/>
                <w:sz w:val="20"/>
              </w:rPr>
              <w:t>Day for watering by reticulation</w:t>
            </w:r>
          </w:p>
        </w:tc>
      </w:tr>
      <w:tr>
        <w:tc>
          <w:tcPr>
            <w:tcW w:w="3402" w:type="dxa"/>
            <w:tcBorders>
              <w:top w:val="single" w:sz="4" w:space="0" w:color="auto"/>
            </w:tcBorders>
          </w:tcPr>
          <w:p>
            <w:pPr>
              <w:pStyle w:val="yTableNAm"/>
              <w:jc w:val="center"/>
              <w:rPr>
                <w:sz w:val="20"/>
              </w:rPr>
            </w:pPr>
            <w:r>
              <w:rPr>
                <w:sz w:val="20"/>
              </w:rPr>
              <w:t>1</w:t>
            </w:r>
          </w:p>
        </w:tc>
        <w:tc>
          <w:tcPr>
            <w:tcW w:w="3402" w:type="dxa"/>
            <w:tcBorders>
              <w:top w:val="single" w:sz="4" w:space="0" w:color="auto"/>
            </w:tcBorders>
          </w:tcPr>
          <w:p>
            <w:pPr>
              <w:pStyle w:val="yTableNAm"/>
              <w:rPr>
                <w:sz w:val="20"/>
              </w:rPr>
            </w:pPr>
            <w:r>
              <w:rPr>
                <w:sz w:val="20"/>
              </w:rPr>
              <w:t>Monday</w:t>
            </w:r>
          </w:p>
        </w:tc>
      </w:tr>
      <w:tr>
        <w:tc>
          <w:tcPr>
            <w:tcW w:w="3402" w:type="dxa"/>
          </w:tcPr>
          <w:p>
            <w:pPr>
              <w:pStyle w:val="yTableNAm"/>
              <w:jc w:val="center"/>
              <w:rPr>
                <w:sz w:val="20"/>
              </w:rPr>
            </w:pPr>
            <w:r>
              <w:rPr>
                <w:sz w:val="20"/>
              </w:rPr>
              <w:t>2</w:t>
            </w:r>
          </w:p>
        </w:tc>
        <w:tc>
          <w:tcPr>
            <w:tcW w:w="3402" w:type="dxa"/>
          </w:tcPr>
          <w:p>
            <w:pPr>
              <w:pStyle w:val="yTableNAm"/>
              <w:rPr>
                <w:sz w:val="20"/>
              </w:rPr>
            </w:pPr>
            <w:r>
              <w:rPr>
                <w:sz w:val="20"/>
              </w:rPr>
              <w:t>Tuesday</w:t>
            </w:r>
          </w:p>
        </w:tc>
      </w:tr>
      <w:tr>
        <w:tc>
          <w:tcPr>
            <w:tcW w:w="3402" w:type="dxa"/>
          </w:tcPr>
          <w:p>
            <w:pPr>
              <w:pStyle w:val="yTableNAm"/>
              <w:jc w:val="center"/>
              <w:rPr>
                <w:sz w:val="20"/>
              </w:rPr>
            </w:pPr>
            <w:r>
              <w:rPr>
                <w:sz w:val="20"/>
              </w:rPr>
              <w:t>3</w:t>
            </w:r>
          </w:p>
        </w:tc>
        <w:tc>
          <w:tcPr>
            <w:tcW w:w="3402" w:type="dxa"/>
          </w:tcPr>
          <w:p>
            <w:pPr>
              <w:pStyle w:val="yTableNAm"/>
              <w:rPr>
                <w:sz w:val="20"/>
              </w:rPr>
            </w:pPr>
            <w:r>
              <w:rPr>
                <w:sz w:val="20"/>
              </w:rPr>
              <w:t>Wednesday</w:t>
            </w:r>
          </w:p>
        </w:tc>
      </w:tr>
      <w:tr>
        <w:tc>
          <w:tcPr>
            <w:tcW w:w="3402" w:type="dxa"/>
          </w:tcPr>
          <w:p>
            <w:pPr>
              <w:pStyle w:val="yTableNAm"/>
              <w:jc w:val="center"/>
              <w:rPr>
                <w:sz w:val="20"/>
              </w:rPr>
            </w:pPr>
            <w:r>
              <w:rPr>
                <w:sz w:val="20"/>
              </w:rPr>
              <w:t>4</w:t>
            </w:r>
          </w:p>
        </w:tc>
        <w:tc>
          <w:tcPr>
            <w:tcW w:w="3402" w:type="dxa"/>
          </w:tcPr>
          <w:p>
            <w:pPr>
              <w:pStyle w:val="yTableNAm"/>
              <w:rPr>
                <w:sz w:val="20"/>
              </w:rPr>
            </w:pPr>
            <w:r>
              <w:rPr>
                <w:sz w:val="20"/>
              </w:rPr>
              <w:t>Thursday</w:t>
            </w:r>
          </w:p>
        </w:tc>
      </w:tr>
      <w:tr>
        <w:tc>
          <w:tcPr>
            <w:tcW w:w="3402" w:type="dxa"/>
          </w:tcPr>
          <w:p>
            <w:pPr>
              <w:pStyle w:val="yTableNAm"/>
              <w:jc w:val="center"/>
              <w:rPr>
                <w:sz w:val="20"/>
              </w:rPr>
            </w:pPr>
            <w:r>
              <w:rPr>
                <w:sz w:val="20"/>
              </w:rPr>
              <w:t>5</w:t>
            </w:r>
          </w:p>
        </w:tc>
        <w:tc>
          <w:tcPr>
            <w:tcW w:w="3402" w:type="dxa"/>
          </w:tcPr>
          <w:p>
            <w:pPr>
              <w:pStyle w:val="yTableNAm"/>
              <w:rPr>
                <w:sz w:val="20"/>
              </w:rPr>
            </w:pPr>
            <w:r>
              <w:rPr>
                <w:sz w:val="20"/>
              </w:rPr>
              <w:t>Friday</w:t>
            </w:r>
          </w:p>
        </w:tc>
      </w:tr>
      <w:tr>
        <w:tc>
          <w:tcPr>
            <w:tcW w:w="3402" w:type="dxa"/>
          </w:tcPr>
          <w:p>
            <w:pPr>
              <w:pStyle w:val="yTableNAm"/>
              <w:jc w:val="center"/>
              <w:rPr>
                <w:sz w:val="20"/>
              </w:rPr>
            </w:pPr>
            <w:r>
              <w:rPr>
                <w:sz w:val="20"/>
              </w:rPr>
              <w:t>6</w:t>
            </w:r>
          </w:p>
        </w:tc>
        <w:tc>
          <w:tcPr>
            <w:tcW w:w="3402" w:type="dxa"/>
          </w:tcPr>
          <w:p>
            <w:pPr>
              <w:pStyle w:val="yTableNAm"/>
              <w:rPr>
                <w:sz w:val="20"/>
              </w:rPr>
            </w:pPr>
            <w:r>
              <w:rPr>
                <w:sz w:val="20"/>
              </w:rPr>
              <w:t>Saturday</w:t>
            </w:r>
          </w:p>
        </w:tc>
      </w:tr>
      <w:tr>
        <w:tc>
          <w:tcPr>
            <w:tcW w:w="3402" w:type="dxa"/>
          </w:tcPr>
          <w:p>
            <w:pPr>
              <w:pStyle w:val="yTableNAm"/>
              <w:jc w:val="center"/>
              <w:rPr>
                <w:sz w:val="20"/>
              </w:rPr>
            </w:pPr>
            <w:r>
              <w:rPr>
                <w:sz w:val="20"/>
              </w:rPr>
              <w:t>7</w:t>
            </w:r>
          </w:p>
        </w:tc>
        <w:tc>
          <w:tcPr>
            <w:tcW w:w="3402" w:type="dxa"/>
          </w:tcPr>
          <w:p>
            <w:pPr>
              <w:pStyle w:val="yTableNAm"/>
              <w:rPr>
                <w:sz w:val="20"/>
              </w:rPr>
            </w:pPr>
            <w:r>
              <w:rPr>
                <w:sz w:val="20"/>
              </w:rPr>
              <w:t>Sunday</w:t>
            </w:r>
          </w:p>
        </w:tc>
      </w:tr>
      <w:tr>
        <w:tc>
          <w:tcPr>
            <w:tcW w:w="3402" w:type="dxa"/>
          </w:tcPr>
          <w:p>
            <w:pPr>
              <w:pStyle w:val="yTableNAm"/>
              <w:jc w:val="center"/>
              <w:rPr>
                <w:sz w:val="20"/>
              </w:rPr>
            </w:pPr>
            <w:r>
              <w:rPr>
                <w:sz w:val="20"/>
              </w:rPr>
              <w:t>8</w:t>
            </w:r>
          </w:p>
        </w:tc>
        <w:tc>
          <w:tcPr>
            <w:tcW w:w="3402" w:type="dxa"/>
          </w:tcPr>
          <w:p>
            <w:pPr>
              <w:pStyle w:val="yTableNAm"/>
              <w:rPr>
                <w:sz w:val="20"/>
              </w:rPr>
            </w:pPr>
            <w:r>
              <w:rPr>
                <w:sz w:val="20"/>
              </w:rPr>
              <w:t>Monday</w:t>
            </w:r>
          </w:p>
        </w:tc>
      </w:tr>
      <w:tr>
        <w:tc>
          <w:tcPr>
            <w:tcW w:w="3402" w:type="dxa"/>
          </w:tcPr>
          <w:p>
            <w:pPr>
              <w:pStyle w:val="yTableNAm"/>
              <w:jc w:val="center"/>
              <w:rPr>
                <w:sz w:val="20"/>
              </w:rPr>
            </w:pPr>
            <w:r>
              <w:rPr>
                <w:sz w:val="20"/>
              </w:rPr>
              <w:t>9</w:t>
            </w:r>
          </w:p>
        </w:tc>
        <w:tc>
          <w:tcPr>
            <w:tcW w:w="3402" w:type="dxa"/>
          </w:tcPr>
          <w:p>
            <w:pPr>
              <w:pStyle w:val="yTableNAm"/>
              <w:rPr>
                <w:sz w:val="20"/>
              </w:rPr>
            </w:pPr>
            <w:r>
              <w:rPr>
                <w:sz w:val="20"/>
              </w:rPr>
              <w:t>Tuesday</w:t>
            </w:r>
          </w:p>
        </w:tc>
      </w:tr>
      <w:tr>
        <w:tc>
          <w:tcPr>
            <w:tcW w:w="3402" w:type="dxa"/>
          </w:tcPr>
          <w:p>
            <w:pPr>
              <w:pStyle w:val="yTableNAm"/>
              <w:jc w:val="center"/>
              <w:rPr>
                <w:sz w:val="20"/>
              </w:rPr>
            </w:pPr>
            <w:r>
              <w:rPr>
                <w:sz w:val="20"/>
              </w:rPr>
              <w:t>0</w:t>
            </w:r>
          </w:p>
        </w:tc>
        <w:tc>
          <w:tcPr>
            <w:tcW w:w="3402" w:type="dxa"/>
          </w:tcPr>
          <w:p>
            <w:pPr>
              <w:pStyle w:val="yTableNAm"/>
              <w:rPr>
                <w:sz w:val="20"/>
              </w:rPr>
            </w:pPr>
            <w:r>
              <w:rPr>
                <w:sz w:val="20"/>
              </w:rPr>
              <w:t>Wednesday</w:t>
            </w:r>
          </w:p>
        </w:tc>
      </w:tr>
    </w:tbl>
    <w:p>
      <w:pPr>
        <w:pStyle w:val="BlankClose"/>
      </w:pPr>
    </w:p>
    <w:p/>
    <w:p>
      <w:pPr>
        <w:sectPr>
          <w:headerReference w:type="even" r:id="rId27"/>
          <w:headerReference w:type="default" r:id="rId28"/>
          <w:headerReference w:type="first" r:id="rId29"/>
          <w:endnotePr>
            <w:numFmt w:val="decimal"/>
          </w:endnotePr>
          <w:pgSz w:w="11906" w:h="16838" w:code="9"/>
          <w:pgMar w:top="2376" w:right="2404" w:bottom="3544" w:left="2404" w:header="720" w:footer="3380" w:gutter="0"/>
          <w:cols w:space="720"/>
          <w:noEndnote/>
          <w:docGrid w:linePitch="326"/>
        </w:sectPr>
      </w:pPr>
    </w:p>
    <w:p/>
    <w:sectPr>
      <w:headerReference w:type="even" r:id="rId30"/>
      <w:endnotePr>
        <w:numFmt w:val="decimal"/>
      </w:endnotePr>
      <w:type w:val="continuous"/>
      <w:pgSz w:w="11906" w:h="16838" w:code="9"/>
      <w:pgMar w:top="2376" w:right="2404" w:bottom="3544" w:left="2404" w:header="720" w:footer="3380" w:gutter="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rPr>
          <w:b/>
          <w:sz w:val="28"/>
        </w:rPr>
      </w:pPr>
      <w:r>
        <w:rPr>
          <w:b/>
          <w:sz w:val="28"/>
        </w:rPr>
        <w:t>Endnotes</w:t>
      </w:r>
    </w:p>
    <w:p>
      <w:pPr>
        <w:spacing w:after="240"/>
        <w:rPr>
          <w:rFonts w:ascii="Times" w:hAnsi="Times"/>
          <w:sz w:val="18"/>
        </w:rPr>
      </w:pPr>
      <w:r>
        <w:rPr>
          <w:sz w:val="20"/>
        </w:rPr>
        <w:t>[For ease of reference detach these notes and read them alongside the draft.]</w:t>
      </w:r>
    </w:p>
    <w:p/>
  </w:endnote>
  <w:endnote w:type="continuationSeparator" w:id="0">
    <w:p>
      <w:pPr>
        <w:pStyle w:val="Footer"/>
      </w:pPr>
    </w:p>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NewCenturySchlbk">
    <w:altName w:val="Century Schoolbook"/>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00-a0-02</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16 Mar 2010</w:t>
    </w:r>
    <w:r>
      <w:rPr>
        <w:rFonts w:ascii="Arial" w:hAnsi="Arial" w:cs="Arial"/>
        <w:sz w:val="20"/>
        <w:lang w:val="en-US"/>
      </w:rPr>
      <w:fldChar w:fldCharType="end"/>
    </w:r>
  </w:p>
  <w:p>
    <w:pPr>
      <w:rPr>
        <w:sz w:val="16"/>
      </w:rPr>
    </w:pPr>
    <w:r>
      <w:rPr>
        <w:rFonts w:cs="Arial"/>
        <w:sz w:val="16"/>
        <w:szCs w:val="16"/>
        <w:lang w:val="en-US"/>
      </w:rPr>
      <w:tab/>
      <w:t>Extract from www.slp.wa.gov.au, see that website for further information</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16 Mar 2010</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00-a0-02</w:t>
    </w:r>
    <w:r>
      <w:rPr>
        <w:rFonts w:ascii="Arial" w:hAnsi="Arial" w:cs="Arial"/>
        <w:sz w:val="20"/>
        <w:lang w:val="en-US"/>
      </w:rPr>
      <w:fldChar w:fldCharType="end"/>
    </w:r>
    <w:r>
      <w:rPr>
        <w:rFonts w:ascii="Arial" w:hAnsi="Arial" w:cs="Arial"/>
        <w:sz w:val="20"/>
        <w:lang w:val="en-US"/>
      </w:rPr>
      <w:tab/>
    </w:r>
  </w:p>
  <w:p>
    <w:pPr>
      <w:rPr>
        <w:sz w:val="16"/>
      </w:rPr>
    </w:pPr>
    <w:r>
      <w:rPr>
        <w:rFonts w:cs="Arial"/>
        <w:sz w:val="16"/>
        <w:szCs w:val="16"/>
        <w:lang w:val="en-US"/>
      </w:rPr>
      <w:tab/>
      <w:t>Extract from www.slp.wa.gov.au, see that website for further information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16 Mar 2010</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00-a0-02</w:t>
    </w:r>
    <w:r>
      <w:rPr>
        <w:rFonts w:ascii="Arial" w:hAnsi="Arial" w:cs="Arial"/>
        <w:sz w:val="20"/>
        <w:lang w:val="en-US"/>
      </w:rPr>
      <w:fldChar w:fldCharType="end"/>
    </w:r>
    <w:r>
      <w:rPr>
        <w:rFonts w:ascii="Arial" w:hAnsi="Arial" w:cs="Arial"/>
        <w:sz w:val="20"/>
        <w:lang w:val="en-US"/>
      </w:rPr>
      <w:tab/>
    </w:r>
  </w:p>
  <w:p>
    <w:pPr>
      <w:rPr>
        <w:sz w:val="16"/>
      </w:rPr>
    </w:pPr>
    <w:r>
      <w:rPr>
        <w:rFonts w:cs="Arial"/>
        <w:sz w:val="16"/>
        <w:szCs w:val="16"/>
        <w:lang w:val="en-US"/>
      </w:rPr>
      <w:tab/>
      <w:t>Extract from www.slp.wa.gov.au, see that website for further information</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i</w:t>
    </w:r>
    <w:r>
      <w:rPr>
        <w:rStyle w:val="PageNumber"/>
        <w:rFonts w:ascii="Arial" w:hAnsi="Arial" w:cs="Arial"/>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00-a0-02</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16 Mar 2010</w:t>
    </w:r>
    <w:r>
      <w:rPr>
        <w:rFonts w:ascii="Arial" w:hAnsi="Arial" w:cs="Arial"/>
        <w:sz w:val="20"/>
        <w:lang w:val="en-US"/>
      </w:rPr>
      <w:fldChar w:fldCharType="end"/>
    </w:r>
  </w:p>
  <w:p>
    <w:pPr>
      <w:rPr>
        <w:sz w:val="16"/>
      </w:rPr>
    </w:pPr>
    <w:r>
      <w:rPr>
        <w:rFonts w:cs="Arial"/>
        <w:sz w:val="16"/>
        <w:szCs w:val="16"/>
        <w:lang w:val="en-US"/>
      </w:rPr>
      <w:tab/>
      <w:t>Extract from www.slp.wa.gov.au, see that website for further information</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16 Mar 2010</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00-a0-02</w:t>
    </w:r>
    <w:r>
      <w:rPr>
        <w:rFonts w:ascii="Arial" w:hAnsi="Arial" w:cs="Arial"/>
        <w:sz w:val="20"/>
        <w:lang w:val="en-US"/>
      </w:rPr>
      <w:fldChar w:fldCharType="end"/>
    </w:r>
    <w:r>
      <w:rPr>
        <w:rFonts w:ascii="Arial" w:hAnsi="Arial" w:cs="Arial"/>
        <w:sz w:val="20"/>
        <w:lang w:val="en-US"/>
      </w:rPr>
      <w:tab/>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i</w:t>
    </w:r>
    <w:r>
      <w:rPr>
        <w:rStyle w:val="PageNumber"/>
        <w:rFonts w:ascii="Arial" w:hAnsi="Arial" w:cs="Arial"/>
      </w:rPr>
      <w:fldChar w:fldCharType="end"/>
    </w:r>
  </w:p>
  <w:p>
    <w:pPr>
      <w:rPr>
        <w:sz w:val="16"/>
      </w:rPr>
    </w:pPr>
    <w:r>
      <w:rPr>
        <w:rFonts w:cs="Arial"/>
        <w:sz w:val="16"/>
        <w:szCs w:val="16"/>
        <w:lang w:val="en-US"/>
      </w:rPr>
      <w:tab/>
      <w:t>Extract from www.slp.wa.gov.au, see that website for further information</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16 Mar 2010</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00-a0-02</w:t>
    </w:r>
    <w:r>
      <w:rPr>
        <w:rFonts w:ascii="Arial" w:hAnsi="Arial" w:cs="Arial"/>
        <w:sz w:val="20"/>
        <w:lang w:val="en-US"/>
      </w:rPr>
      <w:fldChar w:fldCharType="end"/>
    </w:r>
    <w:r>
      <w:rPr>
        <w:rFonts w:ascii="Arial" w:hAnsi="Arial" w:cs="Arial"/>
        <w:sz w:val="20"/>
        <w:lang w:val="en-US"/>
      </w:rPr>
      <w:tab/>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i</w:t>
    </w:r>
    <w:r>
      <w:rPr>
        <w:rStyle w:val="PageNumber"/>
        <w:rFonts w:ascii="Arial" w:hAnsi="Arial" w:cs="Arial"/>
      </w:rPr>
      <w:fldChar w:fldCharType="end"/>
    </w:r>
  </w:p>
  <w:p>
    <w:pPr>
      <w:rPr>
        <w:sz w:val="16"/>
      </w:rPr>
    </w:pPr>
    <w:r>
      <w:rPr>
        <w:rFonts w:cs="Arial"/>
        <w:sz w:val="16"/>
        <w:szCs w:val="16"/>
        <w:lang w:val="en-US"/>
      </w:rPr>
      <w:tab/>
      <w:t>Extract from www.slp.wa.gov.au, see that website for further information</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22</w:t>
    </w:r>
    <w:r>
      <w:rPr>
        <w:rStyle w:val="CharPageNo"/>
        <w:rFonts w:ascii="Arial" w:hAnsi="Arial"/>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00-a0-02</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16 Mar 2010</w:t>
    </w:r>
    <w:r>
      <w:rPr>
        <w:rFonts w:ascii="Arial" w:hAnsi="Arial" w:cs="Arial"/>
        <w:sz w:val="20"/>
        <w:lang w:val="en-US"/>
      </w:rPr>
      <w:fldChar w:fldCharType="end"/>
    </w:r>
    <w:r>
      <w:rPr>
        <w:rFonts w:ascii="Arial" w:hAnsi="Arial" w:cs="Arial"/>
        <w:sz w:val="20"/>
        <w:lang w:val="en-US"/>
      </w:rPr>
      <w:t xml:space="preserve"> </w:t>
    </w:r>
  </w:p>
  <w:p>
    <w:pPr>
      <w:rPr>
        <w:sz w:val="16"/>
      </w:rPr>
    </w:pPr>
    <w:r>
      <w:rPr>
        <w:rFonts w:cs="Arial"/>
        <w:sz w:val="16"/>
        <w:szCs w:val="16"/>
        <w:lang w:val="en-US"/>
      </w:rPr>
      <w:tab/>
      <w:t>Extract from www.slp.wa.gov.au, see that website for further information</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16 Mar 2010</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00-a0-02</w:t>
    </w:r>
    <w:r>
      <w:rPr>
        <w:rFonts w:ascii="Arial" w:hAnsi="Arial" w:cs="Arial"/>
        <w:sz w:val="20"/>
        <w:lang w:val="en-US"/>
      </w:rPr>
      <w:fldChar w:fldCharType="end"/>
    </w:r>
    <w:r>
      <w:rPr>
        <w:rFonts w:ascii="Arial" w:hAnsi="Arial" w:cs="Arial"/>
        <w:sz w:val="20"/>
        <w:lang w:val="en-US"/>
      </w:rPr>
      <w:tab/>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21</w:t>
    </w:r>
    <w:r>
      <w:rPr>
        <w:rStyle w:val="CharPageNo"/>
        <w:rFonts w:ascii="Arial" w:hAnsi="Arial"/>
      </w:rPr>
      <w:fldChar w:fldCharType="end"/>
    </w:r>
  </w:p>
  <w:p>
    <w:pPr>
      <w:rPr>
        <w:sz w:val="16"/>
      </w:rPr>
    </w:pPr>
    <w:r>
      <w:rPr>
        <w:rFonts w:cs="Arial"/>
        <w:sz w:val="16"/>
        <w:szCs w:val="16"/>
        <w:lang w:val="en-US"/>
      </w:rPr>
      <w:tab/>
      <w:t>Extract from www.slp.wa.gov.au, see that website for further information</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16 Mar 2010</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00-a0-02</w:t>
    </w:r>
    <w:r>
      <w:rPr>
        <w:rFonts w:ascii="Arial" w:hAnsi="Arial" w:cs="Arial"/>
        <w:sz w:val="20"/>
        <w:lang w:val="en-US"/>
      </w:rPr>
      <w:fldChar w:fldCharType="end"/>
    </w:r>
    <w:r>
      <w:rPr>
        <w:rFonts w:ascii="Arial" w:hAnsi="Arial" w:cs="Arial"/>
        <w:sz w:val="20"/>
        <w:lang w:val="en-US"/>
      </w:rPr>
      <w:tab/>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1</w:t>
    </w:r>
    <w:r>
      <w:rPr>
        <w:rStyle w:val="CharPageNo"/>
        <w:rFonts w:ascii="Arial" w:hAnsi="Arial"/>
      </w:rPr>
      <w:fldChar w:fldCharType="end"/>
    </w:r>
  </w:p>
  <w:p>
    <w:pPr>
      <w:rPr>
        <w:sz w:val="16"/>
      </w:rPr>
    </w:pPr>
    <w:r>
      <w:rPr>
        <w:rFonts w:cs="Arial"/>
        <w:sz w:val="16"/>
        <w:szCs w:val="16"/>
        <w:lang w:val="en-US"/>
      </w:rPr>
      <w:tab/>
      <w:t>Extract from www.slp.wa.gov.au, see that website for further information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partodd"/>
      <w:ind w:left="0" w:firstLine="0"/>
      <w:rPr>
        <w:i/>
      </w:rPr>
    </w:pPr>
    <w:r>
      <w:rPr>
        <w:i/>
      </w:rPr>
      <w:fldChar w:fldCharType="begin"/>
    </w:r>
    <w:r>
      <w:rPr>
        <w:i/>
      </w:rPr>
      <w:instrText xml:space="preserve"> Styleref "Name of Act/Reg" </w:instrText>
    </w:r>
    <w:r>
      <w:rPr>
        <w:i/>
      </w:rPr>
      <w:fldChar w:fldCharType="separate"/>
    </w:r>
    <w:r>
      <w:rPr>
        <w:i/>
        <w:noProof/>
      </w:rPr>
      <w:t>Water Agencies (Water Use) By-laws 2010</w:t>
    </w:r>
    <w:r>
      <w:rPr>
        <w:i/>
      </w:rPr>
      <w:fldChar w:fldCharType="end"/>
    </w:r>
  </w:p>
  <w:p>
    <w:pPr>
      <w:pStyle w:val="headerpartodd"/>
      <w:ind w:left="0" w:firstLine="0"/>
      <w:rPr>
        <w:b w:val="0"/>
        <w:i/>
      </w:rPr>
    </w:pPr>
    <w:r>
      <w:fldChar w:fldCharType="begin"/>
    </w:r>
    <w:r>
      <w:instrText xml:space="preserve"> STYLEREF CharPartNo </w:instrText>
    </w:r>
    <w:r>
      <w:fldChar w:fldCharType="end"/>
    </w:r>
    <w:r>
      <w:rPr>
        <w:b w:val="0"/>
      </w:rPr>
      <w:fldChar w:fldCharType="begin"/>
    </w:r>
    <w:r>
      <w:rPr>
        <w:b w:val="0"/>
      </w:rPr>
      <w:instrText xml:space="preserve"> STYLEREF CharPartText </w:instrText>
    </w:r>
    <w:r>
      <w:rPr>
        <w:b w:val="0"/>
      </w:rPr>
      <w:fldChar w:fldCharType="end"/>
    </w:r>
  </w:p>
  <w:p>
    <w:pPr>
      <w:pStyle w:val="headerpart"/>
    </w:pPr>
    <w:r>
      <w:fldChar w:fldCharType="begin"/>
    </w:r>
    <w:r>
      <w:instrText xml:space="preserve"> STYLEREF CharDivNo </w:instrText>
    </w:r>
    <w:r>
      <w:fldChar w:fldCharType="end"/>
    </w:r>
    <w:r>
      <w:rPr>
        <w:b w:val="0"/>
      </w:rPr>
      <w:fldChar w:fldCharType="begin"/>
    </w:r>
    <w:r>
      <w:rPr>
        <w:b w:val="0"/>
      </w:rPr>
      <w:instrText xml:space="preserve"> STYLEREF CharDivText </w:instrText>
    </w:r>
    <w:r>
      <w:rPr>
        <w:b w:val="0"/>
      </w:rPr>
      <w:fldChar w:fldCharType="end"/>
    </w:r>
  </w:p>
  <w:p>
    <w:pPr>
      <w:pStyle w:val="headerpart"/>
    </w:pPr>
  </w:p>
  <w:p>
    <w:pPr>
      <w:pBdr>
        <w:bottom w:val="single" w:sz="6" w:space="1" w:color="auto"/>
      </w:pBdr>
      <w:rPr>
        <w:b/>
      </w:rPr>
    </w:pPr>
  </w:p>
  <w:p>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58" w:type="dxa"/>
          <w:gridSpan w:val="2"/>
        </w:tcPr>
        <w:p>
          <w:pPr>
            <w:pStyle w:val="HeaderActNameRight"/>
            <w:ind w:right="17"/>
          </w:pPr>
          <w:fldSimple w:instr=" Styleref &quot;Name of Act/Reg&quot; ">
            <w:r>
              <w:rPr>
                <w:noProof/>
              </w:rPr>
              <w:t>Water Agencies (Water Use) By-laws 2010</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pPr>
        </w:p>
      </w:tc>
    </w:tr>
    <w:tr>
      <w:trPr>
        <w:cantSplit/>
      </w:trPr>
      <w:tc>
        <w:tcPr>
          <w:tcW w:w="7258" w:type="dxa"/>
          <w:gridSpan w:val="2"/>
        </w:tcPr>
        <w:p>
          <w:pPr>
            <w:pStyle w:val="HeaderSectionRight"/>
            <w:ind w:right="17"/>
          </w:pPr>
        </w:p>
      </w:tc>
    </w:tr>
  </w:tbl>
  <w:p>
    <w:pPr>
      <w:pStyle w:val="Header"/>
      <w:pBdr>
        <w:top w:val="single" w:sz="4" w:space="1" w:color="auto"/>
      </w:pBd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64"/>
    </w:tblGrid>
    <w:tr>
      <w:trPr>
        <w:cantSplit/>
      </w:trPr>
      <w:tc>
        <w:tcPr>
          <w:tcW w:w="7312" w:type="dxa"/>
          <w:gridSpan w:val="2"/>
        </w:tcPr>
        <w:p>
          <w:pPr>
            <w:pStyle w:val="HeaderActNameLeft"/>
          </w:pPr>
          <w:fldSimple w:instr=" Styleref &quot;Name of Act/Reg&quot; ">
            <w:r>
              <w:rPr>
                <w:noProof/>
              </w:rPr>
              <w:t>Water Agencies (Water Use) By-laws 2010</w:t>
            </w:r>
          </w:fldSimple>
        </w:p>
      </w:tc>
    </w:tr>
    <w:tr>
      <w:tc>
        <w:tcPr>
          <w:tcW w:w="1548" w:type="dxa"/>
        </w:tcPr>
        <w:p>
          <w:pPr>
            <w:pStyle w:val="HeaderNumberLeft"/>
          </w:pPr>
        </w:p>
      </w:tc>
      <w:tc>
        <w:tcPr>
          <w:tcW w:w="5764" w:type="dxa"/>
        </w:tcPr>
        <w:p>
          <w:pPr>
            <w:pStyle w:val="HeaderTextLeft"/>
          </w:pPr>
        </w:p>
      </w:tc>
    </w:tr>
    <w:tr>
      <w:tc>
        <w:tcPr>
          <w:tcW w:w="1548" w:type="dxa"/>
        </w:tcPr>
        <w:p>
          <w:pPr>
            <w:pStyle w:val="HeaderNumberLeft"/>
          </w:pPr>
        </w:p>
      </w:tc>
      <w:tc>
        <w:tcPr>
          <w:tcW w:w="5764" w:type="dxa"/>
        </w:tcPr>
        <w:p>
          <w:pPr>
            <w:pStyle w:val="HeaderTextLeft"/>
          </w:pPr>
        </w:p>
      </w:tc>
    </w:tr>
    <w:tr>
      <w:trPr>
        <w:cantSplit/>
      </w:trPr>
      <w:tc>
        <w:tcPr>
          <w:tcW w:w="7312" w:type="dxa"/>
          <w:gridSpan w:val="2"/>
        </w:tcPr>
        <w:p>
          <w:pPr>
            <w:pStyle w:val="HeaderSectionLeft"/>
          </w:pPr>
        </w:p>
      </w:tc>
    </w:tr>
  </w:tbl>
  <w:p>
    <w:pPr>
      <w:pStyle w:val="Header"/>
      <w:pBdr>
        <w:top w:val="single" w:sz="4" w:space="1"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w:r>
              <w:rPr>
                <w:noProof/>
              </w:rPr>
              <w:t>Water Agencies (Water Use) By-laws 2010</w:t>
            </w:r>
          </w:fldSimple>
        </w:p>
      </w:tc>
    </w:tr>
    <w:tr>
      <w:tc>
        <w:tcPr>
          <w:tcW w:w="1548" w:type="dxa"/>
        </w:tcPr>
        <w:p>
          <w:pPr>
            <w:pStyle w:val="HeaderNumberLeft"/>
          </w:pPr>
        </w:p>
      </w:tc>
      <w:tc>
        <w:tcPr>
          <w:tcW w:w="5715" w:type="dxa"/>
        </w:tcPr>
        <w:p>
          <w:pPr>
            <w:pStyle w:val="HeaderTextLeft"/>
          </w:pPr>
        </w:p>
      </w:tc>
    </w:tr>
    <w:tr>
      <w:tc>
        <w:tcPr>
          <w:tcW w:w="1548" w:type="dxa"/>
        </w:tcPr>
        <w:p>
          <w:pPr>
            <w:pStyle w:val="HeaderNumberLeft"/>
          </w:pPr>
        </w:p>
      </w:tc>
      <w:tc>
        <w:tcPr>
          <w:tcW w:w="5715" w:type="dxa"/>
        </w:tcPr>
        <w:p>
          <w:pPr>
            <w:pStyle w:val="HeaderTextLeft"/>
          </w:pPr>
        </w:p>
      </w:tc>
    </w:tr>
    <w:tr>
      <w:trPr>
        <w:cantSplit/>
      </w:trPr>
      <w:tc>
        <w:tcPr>
          <w:tcW w:w="7258" w:type="dxa"/>
          <w:gridSpan w:val="2"/>
        </w:tcPr>
        <w:p>
          <w:pPr>
            <w:pStyle w:val="HeaderSectionLeft"/>
            <w:rPr>
              <w:b w:val="0"/>
            </w:rPr>
          </w:pPr>
          <w:r>
            <w:rPr>
              <w:b w:val="0"/>
            </w:rPr>
            <w:t>Contents</w:t>
          </w:r>
        </w:p>
      </w:tc>
    </w:tr>
  </w:tbl>
  <w:p>
    <w:pPr>
      <w:pStyle w:val="Header"/>
      <w:pBdr>
        <w:top w:val="single" w:sz="4" w:space="1" w:color="auto"/>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58" w:type="dxa"/>
          <w:gridSpan w:val="2"/>
        </w:tcPr>
        <w:p>
          <w:pPr>
            <w:pStyle w:val="HeaderActNameRight"/>
            <w:ind w:right="17"/>
          </w:pPr>
          <w:fldSimple w:instr=" Styleref &quot;Name of Act/Reg&quot; ">
            <w:r>
              <w:rPr>
                <w:noProof/>
              </w:rPr>
              <w:t>Water Agencies (Water Use) By-laws 2010</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pPr>
        </w:p>
      </w:tc>
    </w:tr>
    <w:tr>
      <w:trPr>
        <w:cantSplit/>
      </w:trPr>
      <w:tc>
        <w:tcPr>
          <w:tcW w:w="7258" w:type="dxa"/>
          <w:gridSpan w:val="2"/>
        </w:tcPr>
        <w:p>
          <w:pPr>
            <w:pStyle w:val="HeaderSectionRight"/>
            <w:ind w:right="17"/>
            <w:rPr>
              <w:b w:val="0"/>
            </w:rPr>
          </w:pPr>
          <w:r>
            <w:rPr>
              <w:b w:val="0"/>
            </w:rPr>
            <w:t>Contents</w:t>
          </w:r>
        </w:p>
      </w:tc>
    </w:tr>
  </w:tbl>
  <w:p>
    <w:pPr>
      <w:pStyle w:val="Header"/>
      <w:pBdr>
        <w:top w:val="single" w:sz="4" w:space="1" w:color="auto"/>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w:r>
              <w:rPr>
                <w:noProof/>
              </w:rPr>
              <w:t>Water Agencies (Water Use) By-laws 2010</w:t>
            </w:r>
          </w:fldSimple>
        </w:p>
      </w:tc>
    </w:tr>
    <w:tr>
      <w:tc>
        <w:tcPr>
          <w:tcW w:w="1548" w:type="dxa"/>
        </w:tcPr>
        <w:p>
          <w:pPr>
            <w:pStyle w:val="HeaderNumberLeft"/>
          </w:pPr>
          <w:r>
            <w:fldChar w:fldCharType="begin"/>
          </w:r>
          <w:r>
            <w:instrText xml:space="preserve"> styleref CharPartNo </w:instrText>
          </w:r>
          <w:r>
            <w:fldChar w:fldCharType="end"/>
          </w:r>
        </w:p>
      </w:tc>
      <w:tc>
        <w:tcPr>
          <w:tcW w:w="5715" w:type="dxa"/>
          <w:vAlign w:val="bottom"/>
        </w:tcPr>
        <w:p>
          <w:pPr>
            <w:pStyle w:val="HeaderTextLeft"/>
          </w:pPr>
          <w:r>
            <w:fldChar w:fldCharType="begin"/>
          </w:r>
          <w:r>
            <w:instrText xml:space="preserve"> styleref CharPartText </w:instrText>
          </w:r>
          <w:r>
            <w:fldChar w:fldCharType="end"/>
          </w:r>
        </w:p>
      </w:tc>
    </w:tr>
    <w:tr>
      <w:tc>
        <w:tcPr>
          <w:tcW w:w="1548" w:type="dxa"/>
        </w:tcPr>
        <w:p>
          <w:pPr>
            <w:pStyle w:val="HeaderNumberLeft"/>
          </w:pPr>
          <w:r>
            <w:fldChar w:fldCharType="begin"/>
          </w:r>
          <w:r>
            <w:instrText xml:space="preserve"> styleref CharDivNo </w:instrText>
          </w:r>
          <w:r>
            <w:fldChar w:fldCharType="end"/>
          </w:r>
        </w:p>
      </w:tc>
      <w:tc>
        <w:tcPr>
          <w:tcW w:w="5715" w:type="dxa"/>
        </w:tcPr>
        <w:p>
          <w:pPr>
            <w:pStyle w:val="HeaderTextLeft"/>
          </w:pPr>
          <w:r>
            <w:fldChar w:fldCharType="begin"/>
          </w:r>
          <w:r>
            <w:instrText xml:space="preserve"> styleref CharDivText </w:instrText>
          </w:r>
          <w:r>
            <w:fldChar w:fldCharType="end"/>
          </w:r>
        </w:p>
      </w:tc>
    </w:tr>
    <w:tr>
      <w:trPr>
        <w:cantSplit/>
      </w:trPr>
      <w:tc>
        <w:tcPr>
          <w:tcW w:w="7258" w:type="dxa"/>
          <w:gridSpan w:val="2"/>
        </w:tcPr>
        <w:p>
          <w:pPr>
            <w:pStyle w:val="HeaderSectionLeft"/>
          </w:pPr>
          <w:r>
            <w:t xml:space="preserve">bl. </w:t>
          </w:r>
          <w:fldSimple w:instr=" styleref CharSectno ">
            <w:r>
              <w:rPr>
                <w:noProof/>
              </w:rPr>
              <w:t>1</w:t>
            </w:r>
          </w:fldSimple>
        </w:p>
      </w:tc>
    </w:tr>
  </w:tbl>
  <w:p>
    <w:pPr>
      <w:pStyle w:val="Header"/>
      <w:pBdr>
        <w:top w:val="single" w:sz="4" w:space="1" w:color="auto"/>
      </w:pBd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58" w:type="dxa"/>
          <w:gridSpan w:val="2"/>
        </w:tcPr>
        <w:p>
          <w:pPr>
            <w:pStyle w:val="HeaderActNameRight"/>
            <w:ind w:right="17"/>
          </w:pPr>
          <w:fldSimple w:instr=" Styleref &quot;Name of Act/Reg&quot; ">
            <w:r>
              <w:rPr>
                <w:noProof/>
              </w:rPr>
              <w:t>Water Agencies (Water Use) By-laws 2010</w:t>
            </w:r>
          </w:fldSimple>
        </w:p>
      </w:tc>
    </w:tr>
    <w:tr>
      <w:tc>
        <w:tcPr>
          <w:tcW w:w="5715" w:type="dxa"/>
        </w:tcPr>
        <w:p>
          <w:pPr>
            <w:pStyle w:val="HeaderTextRight"/>
          </w:pPr>
          <w:r>
            <w:fldChar w:fldCharType="begin"/>
          </w:r>
          <w:r>
            <w:instrText xml:space="preserve"> styleref CharPartText </w:instrText>
          </w:r>
          <w:r>
            <w:fldChar w:fldCharType="end"/>
          </w:r>
        </w:p>
      </w:tc>
      <w:tc>
        <w:tcPr>
          <w:tcW w:w="1548" w:type="dxa"/>
        </w:tcPr>
        <w:p>
          <w:pPr>
            <w:pStyle w:val="HeaderNumberRight"/>
            <w:ind w:right="17"/>
          </w:pPr>
          <w:r>
            <w:fldChar w:fldCharType="begin"/>
          </w:r>
          <w:r>
            <w:instrText xml:space="preserve"> styleref CharPartNo </w:instrText>
          </w:r>
          <w:r>
            <w:fldChar w:fldCharType="end"/>
          </w:r>
        </w:p>
      </w:tc>
    </w:tr>
    <w:tr>
      <w:tc>
        <w:tcPr>
          <w:tcW w:w="5715" w:type="dxa"/>
        </w:tcPr>
        <w:p>
          <w:pPr>
            <w:pStyle w:val="HeaderTextRight"/>
          </w:pPr>
          <w:r>
            <w:fldChar w:fldCharType="begin"/>
          </w:r>
          <w:r>
            <w:instrText xml:space="preserve"> styleref CharDivText </w:instrText>
          </w:r>
          <w:r>
            <w:fldChar w:fldCharType="end"/>
          </w:r>
        </w:p>
      </w:tc>
      <w:tc>
        <w:tcPr>
          <w:tcW w:w="1548" w:type="dxa"/>
        </w:tcPr>
        <w:p>
          <w:pPr>
            <w:pStyle w:val="HeaderNumberRight"/>
            <w:ind w:right="17"/>
          </w:pPr>
          <w:r>
            <w:fldChar w:fldCharType="begin"/>
          </w:r>
          <w:r>
            <w:instrText xml:space="preserve"> styleref CharDivNo </w:instrText>
          </w:r>
          <w:r>
            <w:fldChar w:fldCharType="end"/>
          </w:r>
        </w:p>
      </w:tc>
    </w:tr>
    <w:tr>
      <w:trPr>
        <w:cantSplit/>
      </w:trPr>
      <w:tc>
        <w:tcPr>
          <w:tcW w:w="7258" w:type="dxa"/>
          <w:gridSpan w:val="2"/>
        </w:tcPr>
        <w:p>
          <w:pPr>
            <w:pStyle w:val="HeaderSectionRight"/>
            <w:ind w:right="17"/>
          </w:pPr>
          <w:r>
            <w:t xml:space="preserve">bl. </w:t>
          </w:r>
          <w:fldSimple w:instr=" styleref CharSectno ">
            <w:r>
              <w:rPr>
                <w:noProof/>
              </w:rPr>
              <w:t>1</w:t>
            </w:r>
          </w:fldSimple>
        </w:p>
      </w:tc>
    </w:tr>
  </w:tbl>
  <w:p>
    <w:pPr>
      <w:pStyle w:val="Header"/>
      <w:pBdr>
        <w:top w:val="single" w:sz="4" w:space="1" w:color="auto"/>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w:r>
              <w:rPr>
                <w:noProof/>
              </w:rPr>
              <w:t>Water Agencies (Water Use) By-laws 2010</w:t>
            </w:r>
          </w:fldSimple>
        </w:p>
      </w:tc>
    </w:tr>
    <w:tr>
      <w:tc>
        <w:tcPr>
          <w:tcW w:w="1548" w:type="dxa"/>
        </w:tcPr>
        <w:p>
          <w:pPr>
            <w:pStyle w:val="HeaderNumberLeft"/>
          </w:pPr>
        </w:p>
      </w:tc>
      <w:tc>
        <w:tcPr>
          <w:tcW w:w="5715" w:type="dxa"/>
        </w:tcPr>
        <w:p>
          <w:pPr>
            <w:pStyle w:val="HeaderTextLeft"/>
          </w:pPr>
        </w:p>
      </w:tc>
    </w:tr>
    <w:tr>
      <w:tc>
        <w:tcPr>
          <w:tcW w:w="1548" w:type="dxa"/>
        </w:tcPr>
        <w:p>
          <w:pPr>
            <w:pStyle w:val="HeaderNumberLeft"/>
          </w:pPr>
        </w:p>
      </w:tc>
      <w:tc>
        <w:tcPr>
          <w:tcW w:w="5715" w:type="dxa"/>
        </w:tcPr>
        <w:p>
          <w:pPr>
            <w:pStyle w:val="HeaderTextLeft"/>
          </w:pPr>
        </w:p>
      </w:tc>
    </w:tr>
    <w:tr>
      <w:trPr>
        <w:cantSplit/>
      </w:trPr>
      <w:tc>
        <w:tcPr>
          <w:tcW w:w="7258" w:type="dxa"/>
          <w:gridSpan w:val="2"/>
        </w:tcPr>
        <w:p>
          <w:pPr>
            <w:pStyle w:val="HeaderSectionRight"/>
            <w:ind w:right="17"/>
            <w:jc w:val="left"/>
          </w:pPr>
        </w:p>
      </w:tc>
    </w:tr>
  </w:tbl>
  <w:p>
    <w:pPr>
      <w:pStyle w:val="Header"/>
      <w:pBdr>
        <w:top w:val="single" w:sz="4" w:space="1"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0060B190"/>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A5763948"/>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E342F318"/>
    <w:lvl w:ilvl="0">
      <w:start w:val="1"/>
      <w:numFmt w:val="decimal"/>
      <w:pStyle w:val="ListNumber3"/>
      <w:lvlText w:val="%1."/>
      <w:lvlJc w:val="left"/>
      <w:pPr>
        <w:tabs>
          <w:tab w:val="num" w:pos="926"/>
        </w:tabs>
        <w:ind w:left="926" w:hanging="360"/>
      </w:pPr>
    </w:lvl>
  </w:abstractNum>
  <w:abstractNum w:abstractNumId="3">
    <w:nsid w:val="FFFFFF7F"/>
    <w:multiLevelType w:val="singleLevel"/>
    <w:tmpl w:val="DA36FE14"/>
    <w:lvl w:ilvl="0">
      <w:start w:val="1"/>
      <w:numFmt w:val="decimal"/>
      <w:pStyle w:val="ListNumber2"/>
      <w:lvlText w:val="%1."/>
      <w:lvlJc w:val="left"/>
      <w:pPr>
        <w:tabs>
          <w:tab w:val="num" w:pos="643"/>
        </w:tabs>
        <w:ind w:left="643" w:hanging="360"/>
      </w:pPr>
    </w:lvl>
  </w:abstractNum>
  <w:abstractNum w:abstractNumId="4">
    <w:nsid w:val="FFFFFF80"/>
    <w:multiLevelType w:val="singleLevel"/>
    <w:tmpl w:val="561CDD48"/>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72F45BAC"/>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61A4573E"/>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335E211A"/>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B148B9C8"/>
    <w:lvl w:ilvl="0">
      <w:start w:val="1"/>
      <w:numFmt w:val="decimal"/>
      <w:pStyle w:val="ListNumber"/>
      <w:lvlText w:val="%1."/>
      <w:lvlJc w:val="left"/>
      <w:pPr>
        <w:tabs>
          <w:tab w:val="num" w:pos="360"/>
        </w:tabs>
        <w:ind w:left="360" w:hanging="360"/>
      </w:pPr>
    </w:lvl>
  </w:abstractNum>
  <w:abstractNum w:abstractNumId="9">
    <w:nsid w:val="FFFFFF89"/>
    <w:multiLevelType w:val="singleLevel"/>
    <w:tmpl w:val="A4783B9C"/>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15716D3"/>
    <w:multiLevelType w:val="multilevel"/>
    <w:tmpl w:val="60309F98"/>
    <w:name w:val="ScheduleNumberedItems"/>
    <w:lvl w:ilvl="0">
      <w:start w:val="1"/>
      <w:numFmt w:val="decimal"/>
      <w:suff w:val="nothing"/>
      <w:lvlText w:val="%1"/>
      <w:lvlJc w:val="left"/>
      <w:pPr>
        <w:ind w:left="0" w:firstLine="0"/>
      </w:pPr>
      <w:rPr>
        <w:b w:val="0"/>
        <w:i w:val="0"/>
      </w:rPr>
    </w:lvl>
    <w:lvl w:ilvl="1">
      <w:start w:val="1"/>
      <w:numFmt w:val="lowerLetter"/>
      <w:lvlText w:val="%2)"/>
      <w:lvlJc w:val="left"/>
      <w:pPr>
        <w:tabs>
          <w:tab w:val="num" w:pos="360"/>
        </w:tabs>
        <w:ind w:left="0" w:firstLine="0"/>
      </w:pPr>
    </w:lvl>
    <w:lvl w:ilvl="2">
      <w:start w:val="1"/>
      <w:numFmt w:val="lowerRoman"/>
      <w:lvlText w:val="%3)"/>
      <w:lvlJc w:val="left"/>
      <w:pPr>
        <w:tabs>
          <w:tab w:val="num" w:pos="720"/>
        </w:tabs>
        <w:ind w:left="0" w:firstLine="0"/>
      </w:pPr>
    </w:lvl>
    <w:lvl w:ilvl="3">
      <w:start w:val="1"/>
      <w:numFmt w:val="decimal"/>
      <w:lvlText w:val="(%4)"/>
      <w:lvlJc w:val="left"/>
      <w:pPr>
        <w:tabs>
          <w:tab w:val="num" w:pos="360"/>
        </w:tabs>
        <w:ind w:left="0" w:firstLine="0"/>
      </w:pPr>
    </w:lvl>
    <w:lvl w:ilvl="4">
      <w:start w:val="1"/>
      <w:numFmt w:val="lowerLetter"/>
      <w:lvlText w:val="(%5)"/>
      <w:lvlJc w:val="left"/>
      <w:pPr>
        <w:tabs>
          <w:tab w:val="num" w:pos="360"/>
        </w:tabs>
        <w:ind w:left="0" w:firstLine="0"/>
      </w:pPr>
    </w:lvl>
    <w:lvl w:ilvl="5">
      <w:start w:val="1"/>
      <w:numFmt w:val="lowerRoman"/>
      <w:lvlText w:val="(%6)"/>
      <w:lvlJc w:val="left"/>
      <w:pPr>
        <w:tabs>
          <w:tab w:val="num" w:pos="720"/>
        </w:tabs>
        <w:ind w:left="0" w:firstLine="0"/>
      </w:pPr>
    </w:lvl>
    <w:lvl w:ilvl="6">
      <w:start w:val="1"/>
      <w:numFmt w:val="decimal"/>
      <w:lvlText w:val="%7."/>
      <w:lvlJc w:val="left"/>
      <w:pPr>
        <w:tabs>
          <w:tab w:val="num" w:pos="360"/>
        </w:tabs>
        <w:ind w:left="0" w:firstLine="0"/>
      </w:pPr>
    </w:lvl>
    <w:lvl w:ilvl="7">
      <w:start w:val="1"/>
      <w:numFmt w:val="lowerLetter"/>
      <w:lvlText w:val="%8."/>
      <w:lvlJc w:val="left"/>
      <w:pPr>
        <w:tabs>
          <w:tab w:val="num" w:pos="360"/>
        </w:tabs>
        <w:ind w:left="0" w:firstLine="0"/>
      </w:pPr>
    </w:lvl>
    <w:lvl w:ilvl="8">
      <w:start w:val="1"/>
      <w:numFmt w:val="lowerRoman"/>
      <w:lvlText w:val="%9."/>
      <w:lvlJc w:val="left"/>
      <w:pPr>
        <w:tabs>
          <w:tab w:val="num" w:pos="720"/>
        </w:tabs>
        <w:ind w:left="0" w:firstLine="0"/>
      </w:pPr>
    </w:lvl>
  </w:abstractNum>
  <w:abstractNum w:abstractNumId="11">
    <w:nsid w:val="03E34CD7"/>
    <w:multiLevelType w:val="multilevel"/>
    <w:tmpl w:val="83749112"/>
    <w:name w:val="def"/>
    <w:lvl w:ilvl="0">
      <w:start w:val="1"/>
      <w:numFmt w:val="decimal"/>
      <w:lvlText w:val="%1"/>
      <w:lvlJc w:val="right"/>
      <w:pPr>
        <w:tabs>
          <w:tab w:val="num" w:pos="936"/>
        </w:tabs>
        <w:ind w:left="936" w:hanging="648"/>
      </w:pPr>
      <w:rPr>
        <w:vanish w:val="0"/>
      </w:rPr>
    </w:lvl>
    <w:lvl w:ilvl="1">
      <w:start w:val="1"/>
      <w:numFmt w:val="lowerLetter"/>
      <w:lvlText w:val="(%2)"/>
      <w:lvlJc w:val="right"/>
      <w:pPr>
        <w:tabs>
          <w:tab w:val="num" w:pos="1800"/>
        </w:tabs>
        <w:ind w:left="1800" w:hanging="288"/>
      </w:pPr>
    </w:lvl>
    <w:lvl w:ilvl="2">
      <w:start w:val="1"/>
      <w:numFmt w:val="lowerRoman"/>
      <w:lvlText w:val="(%3)"/>
      <w:lvlJc w:val="right"/>
      <w:pPr>
        <w:tabs>
          <w:tab w:val="num" w:pos="2376"/>
        </w:tabs>
        <w:ind w:left="2376" w:hanging="288"/>
      </w:pPr>
    </w:lvl>
    <w:lvl w:ilvl="3">
      <w:start w:val="1"/>
      <w:numFmt w:val="upperRoman"/>
      <w:lvlText w:val="(%4)"/>
      <w:lvlJc w:val="right"/>
      <w:pPr>
        <w:tabs>
          <w:tab w:val="num" w:pos="2952"/>
        </w:tabs>
        <w:ind w:left="2952" w:hanging="288"/>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nsid w:val="0BB370D7"/>
    <w:multiLevelType w:val="multilevel"/>
    <w:tmpl w:val="B9D6DF1A"/>
    <w:name w:val="SchedulePenalty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3">
    <w:nsid w:val="0F3C3412"/>
    <w:multiLevelType w:val="multilevel"/>
    <w:tmpl w:val="D78487F2"/>
    <w:name w:val="mainnumbers"/>
    <w:lvl w:ilvl="0">
      <w:start w:val="1"/>
      <w:numFmt w:val="none"/>
      <w:lvlText w:val="%1Chapter  - 1"/>
      <w:lvlJc w:val="left"/>
      <w:pPr>
        <w:tabs>
          <w:tab w:val="num" w:pos="1440"/>
        </w:tabs>
        <w:ind w:left="360" w:hanging="360"/>
      </w:pPr>
    </w:lvl>
    <w:lvl w:ilvl="1">
      <w:start w:val="1"/>
      <w:numFmt w:val="decimal"/>
      <w:lvlText w:val="Part - %2"/>
      <w:lvlJc w:val="left"/>
      <w:pPr>
        <w:tabs>
          <w:tab w:val="num" w:pos="1440"/>
        </w:tabs>
        <w:ind w:left="720" w:hanging="360"/>
      </w:pPr>
    </w:lvl>
    <w:lvl w:ilvl="2">
      <w:start w:val="1"/>
      <w:numFmt w:val="decimal"/>
      <w:lvlText w:val="Division - %3"/>
      <w:lvlJc w:val="left"/>
      <w:pPr>
        <w:tabs>
          <w:tab w:val="num" w:pos="1800"/>
        </w:tabs>
        <w:ind w:left="1080" w:hanging="360"/>
      </w:pPr>
    </w:lvl>
    <w:lvl w:ilvl="3">
      <w:start w:val="1"/>
      <w:numFmt w:val="decimal"/>
      <w:lvlText w:val="Subdivision - %4"/>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14">
    <w:nsid w:val="138B63E2"/>
    <w:multiLevelType w:val="multilevel"/>
    <w:tmpl w:val="FB266D58"/>
    <w:name w:val="SectionNumbers"/>
    <w:lvl w:ilvl="0">
      <w:start w:val="1"/>
      <w:numFmt w:val="decimal"/>
      <w:lvlRestart w:val="0"/>
      <w:suff w:val="nothing"/>
      <w:lvlText w:val="%1"/>
      <w:lvlJc w:val="right"/>
      <w:pPr>
        <w:tabs>
          <w:tab w:val="num" w:pos="0"/>
        </w:tabs>
        <w:ind w:left="0" w:firstLine="0"/>
      </w:pPr>
    </w:lvl>
    <w:lvl w:ilvl="1">
      <w:start w:val="1"/>
      <w:numFmt w:val="decimal"/>
      <w:suff w:val="nothing"/>
      <w:lvlText w:val="(%2)"/>
      <w:lvlJc w:val="righ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5">
    <w:nsid w:val="16880C58"/>
    <w:multiLevelType w:val="multilevel"/>
    <w:tmpl w:val="7226A03A"/>
    <w:name w:val="ScheduleDefinition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6">
    <w:nsid w:val="22FF52EB"/>
    <w:multiLevelType w:val="multilevel"/>
    <w:tmpl w:val="8B76CFAC"/>
    <w:name w:val="DefinitionNumbers"/>
    <w:lvl w:ilvl="0">
      <w:start w:val="1"/>
      <w:numFmt w:val="none"/>
      <w:lvlRestart w:val="0"/>
      <w:pStyle w:val="DefinitionNumbers"/>
      <w:suff w:val="nothing"/>
      <w:lvlText w:val=""/>
      <w:lvlJc w:val="left"/>
      <w:pPr>
        <w:tabs>
          <w:tab w:val="num" w:pos="0"/>
        </w:tabs>
        <w:ind w:left="0" w:firstLine="0"/>
      </w:pPr>
      <w:rPr>
        <w:rFonts w:hint="default"/>
      </w:rPr>
    </w:lvl>
    <w:lvl w:ilvl="1">
      <w:start w:val="1"/>
      <w:numFmt w:val="none"/>
      <w:suff w:val="nothing"/>
      <w:lvlText w:val=""/>
      <w:lvlJc w:val="left"/>
      <w:pPr>
        <w:tabs>
          <w:tab w:val="num" w:pos="0"/>
        </w:tabs>
        <w:ind w:left="0" w:firstLine="0"/>
      </w:pPr>
      <w:rPr>
        <w:rFonts w:hint="default"/>
      </w:rPr>
    </w:lvl>
    <w:lvl w:ilvl="2">
      <w:start w:val="1"/>
      <w:numFmt w:val="lowerLetter"/>
      <w:suff w:val="nothing"/>
      <w:lvlText w:val="(%3)"/>
      <w:lvlJc w:val="left"/>
      <w:pPr>
        <w:tabs>
          <w:tab w:val="num" w:pos="0"/>
        </w:tabs>
        <w:ind w:left="0" w:firstLine="0"/>
      </w:pPr>
      <w:rPr>
        <w:rFonts w:hint="default"/>
      </w:rPr>
    </w:lvl>
    <w:lvl w:ilvl="3">
      <w:start w:val="1"/>
      <w:numFmt w:val="lowerRoman"/>
      <w:suff w:val="nothing"/>
      <w:lvlText w:val="(%4)"/>
      <w:lvlJc w:val="left"/>
      <w:pPr>
        <w:tabs>
          <w:tab w:val="num" w:pos="0"/>
        </w:tabs>
        <w:ind w:left="0" w:firstLine="0"/>
      </w:pPr>
      <w:rPr>
        <w:rFonts w:hint="default"/>
      </w:rPr>
    </w:lvl>
    <w:lvl w:ilvl="4">
      <w:start w:val="1"/>
      <w:numFmt w:val="upperRoman"/>
      <w:suff w:val="nothing"/>
      <w:lvlText w:val="(%5)"/>
      <w:lvlJc w:val="left"/>
      <w:pPr>
        <w:tabs>
          <w:tab w:val="num" w:pos="0"/>
        </w:tabs>
        <w:ind w:left="0" w:firstLine="0"/>
      </w:pPr>
      <w:rPr>
        <w:rFonts w:hint="default"/>
      </w:rPr>
    </w:lvl>
    <w:lvl w:ilvl="5">
      <w:start w:val="1"/>
      <w:numFmt w:val="none"/>
      <w:suff w:val="nothing"/>
      <w:lvlText w:val=""/>
      <w:lvlJc w:val="left"/>
      <w:pPr>
        <w:tabs>
          <w:tab w:val="num" w:pos="0"/>
        </w:tabs>
        <w:ind w:left="0" w:firstLine="0"/>
      </w:pPr>
      <w:rPr>
        <w:rFonts w:hint="default"/>
      </w:rPr>
    </w:lvl>
    <w:lvl w:ilvl="6">
      <w:start w:val="1"/>
      <w:numFmt w:val="none"/>
      <w:suff w:val="nothing"/>
      <w:lvlText w:val=""/>
      <w:lvlJc w:val="left"/>
      <w:pPr>
        <w:tabs>
          <w:tab w:val="num" w:pos="0"/>
        </w:tabs>
        <w:ind w:left="0" w:firstLine="0"/>
      </w:pPr>
      <w:rPr>
        <w:rFonts w:hint="default"/>
      </w:rPr>
    </w:lvl>
    <w:lvl w:ilvl="7">
      <w:start w:val="1"/>
      <w:numFmt w:val="none"/>
      <w:suff w:val="nothing"/>
      <w:lvlText w:val=""/>
      <w:lvlJc w:val="left"/>
      <w:pPr>
        <w:tabs>
          <w:tab w:val="num" w:pos="0"/>
        </w:tabs>
        <w:ind w:left="0" w:firstLine="0"/>
      </w:pPr>
      <w:rPr>
        <w:rFonts w:hint="default"/>
      </w:rPr>
    </w:lvl>
    <w:lvl w:ilvl="8">
      <w:start w:val="1"/>
      <w:numFmt w:val="none"/>
      <w:suff w:val="nothing"/>
      <w:lvlText w:val=""/>
      <w:lvlJc w:val="left"/>
      <w:pPr>
        <w:tabs>
          <w:tab w:val="num" w:pos="0"/>
        </w:tabs>
        <w:ind w:left="0" w:firstLine="0"/>
      </w:pPr>
      <w:rPr>
        <w:rFonts w:hint="default"/>
      </w:rPr>
    </w:lvl>
  </w:abstractNum>
  <w:abstractNum w:abstractNumId="17">
    <w:nsid w:val="29E57463"/>
    <w:multiLevelType w:val="multilevel"/>
    <w:tmpl w:val="8B7471A8"/>
    <w:name w:val="defs"/>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nsid w:val="2CE7501A"/>
    <w:multiLevelType w:val="multilevel"/>
    <w:tmpl w:val="011E435C"/>
    <w:name w:val="defs2"/>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nsid w:val="30BF5862"/>
    <w:multiLevelType w:val="multilevel"/>
    <w:tmpl w:val="811EB9CC"/>
    <w:name w:val="headings"/>
    <w:lvl w:ilvl="0">
      <w:start w:val="1"/>
      <w:numFmt w:val="none"/>
      <w:lvlText w:val="%1Chapter  - "/>
      <w:lvlJc w:val="left"/>
      <w:pPr>
        <w:tabs>
          <w:tab w:val="num" w:pos="1080"/>
        </w:tabs>
        <w:ind w:left="360" w:hanging="360"/>
      </w:pPr>
    </w:lvl>
    <w:lvl w:ilvl="1">
      <w:start w:val="1"/>
      <w:numFmt w:val="none"/>
      <w:lvlText w:val="Part - "/>
      <w:lvlJc w:val="left"/>
      <w:pPr>
        <w:tabs>
          <w:tab w:val="num" w:pos="1080"/>
        </w:tabs>
        <w:ind w:left="720" w:hanging="360"/>
      </w:pPr>
    </w:lvl>
    <w:lvl w:ilvl="2">
      <w:start w:val="1"/>
      <w:numFmt w:val="none"/>
      <w:lvlText w:val="Division  - "/>
      <w:lvlJc w:val="left"/>
      <w:pPr>
        <w:tabs>
          <w:tab w:val="num" w:pos="1800"/>
        </w:tabs>
        <w:ind w:left="1080" w:hanging="360"/>
      </w:pPr>
    </w:lvl>
    <w:lvl w:ilvl="3">
      <w:start w:val="1"/>
      <w:numFmt w:val="none"/>
      <w:lvlText w:val="Subdivision - "/>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20">
    <w:nsid w:val="310F4753"/>
    <w:multiLevelType w:val="multilevel"/>
    <w:tmpl w:val="4F04CBBC"/>
    <w:name w:val="SchedulePart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1">
    <w:nsid w:val="351C33A5"/>
    <w:multiLevelType w:val="multilevel"/>
    <w:tmpl w:val="6A7E0364"/>
    <w:name w:val="ScheduleSection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2">
    <w:nsid w:val="359138CB"/>
    <w:multiLevelType w:val="multilevel"/>
    <w:tmpl w:val="C868F7A4"/>
    <w:name w:val="TableNumbers"/>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3">
    <w:nsid w:val="3A396798"/>
    <w:multiLevelType w:val="multilevel"/>
    <w:tmpl w:val="0B425D62"/>
    <w:name w:val="PartNumbers"/>
    <w:lvl w:ilvl="0">
      <w:start w:val="1"/>
      <w:numFmt w:val="decimal"/>
      <w:lvlRestart w:val="0"/>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4">
    <w:nsid w:val="3C2808C0"/>
    <w:multiLevelType w:val="singleLevel"/>
    <w:tmpl w:val="89B20E2A"/>
    <w:lvl w:ilvl="0">
      <w:start w:val="1"/>
      <w:numFmt w:val="bullet"/>
      <w:pStyle w:val="NotesPerm2"/>
      <w:lvlText w:val=""/>
      <w:lvlJc w:val="left"/>
      <w:pPr>
        <w:tabs>
          <w:tab w:val="num" w:pos="1446"/>
        </w:tabs>
        <w:ind w:left="1446" w:hanging="567"/>
      </w:pPr>
      <w:rPr>
        <w:rFonts w:ascii="Symbol" w:hAnsi="Symbol" w:hint="default"/>
      </w:rPr>
    </w:lvl>
  </w:abstractNum>
  <w:abstractNum w:abstractNumId="25">
    <w:nsid w:val="4D9106A5"/>
    <w:multiLevelType w:val="singleLevel"/>
    <w:tmpl w:val="43F8DBCA"/>
    <w:name w:val="headings1"/>
    <w:lvl w:ilvl="0">
      <w:start w:val="1"/>
      <w:numFmt w:val="lowerRoman"/>
      <w:lvlText w:val="(%1)"/>
      <w:lvlJc w:val="right"/>
      <w:pPr>
        <w:tabs>
          <w:tab w:val="num" w:pos="2376"/>
        </w:tabs>
        <w:ind w:left="2376" w:hanging="288"/>
      </w:pPr>
    </w:lvl>
  </w:abstractNum>
  <w:abstractNum w:abstractNumId="26">
    <w:nsid w:val="65D140E9"/>
    <w:multiLevelType w:val="multilevel"/>
    <w:tmpl w:val="EE3E4260"/>
    <w:name w:val="def2"/>
    <w:lvl w:ilvl="0">
      <w:start w:val="1"/>
      <w:numFmt w:val="none"/>
      <w:lvlText w:val=""/>
      <w:lvlJc w:val="right"/>
      <w:pPr>
        <w:tabs>
          <w:tab w:val="num" w:pos="936"/>
        </w:tabs>
        <w:ind w:left="936" w:hanging="648"/>
      </w:pPr>
      <w:rPr>
        <w:vanish w:val="0"/>
      </w:rPr>
    </w:lvl>
    <w:lvl w:ilvl="1">
      <w:start w:val="1"/>
      <w:numFmt w:val="none"/>
      <w:lvlText w:val=""/>
      <w:lvlJc w:val="right"/>
      <w:pPr>
        <w:tabs>
          <w:tab w:val="num" w:pos="1800"/>
        </w:tabs>
        <w:ind w:left="1800" w:hanging="288"/>
      </w:pPr>
      <w:rPr>
        <w:rFonts w:ascii="NewCenturySchlbk" w:hAnsi="NewCenturySchlbk" w:hint="default"/>
        <w:b w:val="0"/>
        <w:i w:val="0"/>
        <w:sz w:val="22"/>
      </w:rPr>
    </w:lvl>
    <w:lvl w:ilvl="2">
      <w:start w:val="1"/>
      <w:numFmt w:val="none"/>
      <w:lvlText w:val=""/>
      <w:lvlJc w:val="right"/>
      <w:pPr>
        <w:tabs>
          <w:tab w:val="num" w:pos="2376"/>
        </w:tabs>
        <w:ind w:left="2376" w:hanging="288"/>
      </w:pPr>
    </w:lvl>
    <w:lvl w:ilvl="3">
      <w:start w:val="1"/>
      <w:numFmt w:val="none"/>
      <w:lvlText w:val=""/>
      <w:lvlJc w:val="right"/>
      <w:pPr>
        <w:tabs>
          <w:tab w:val="num" w:pos="2952"/>
        </w:tabs>
        <w:ind w:left="2952" w:hanging="288"/>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27">
    <w:nsid w:val="69F82C98"/>
    <w:multiLevelType w:val="multilevel"/>
    <w:tmpl w:val="70E21894"/>
    <w:name w:val="Schedule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8">
    <w:nsid w:val="6E4A591E"/>
    <w:multiLevelType w:val="multilevel"/>
    <w:tmpl w:val="76644C80"/>
    <w:name w:val="headings\l7"/>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lowerLetter"/>
      <w:lvlText w:val="(%7)"/>
      <w:lvlJc w:val="right"/>
      <w:pPr>
        <w:tabs>
          <w:tab w:val="num" w:pos="1440"/>
        </w:tabs>
        <w:ind w:left="1440" w:hanging="288"/>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9">
    <w:nsid w:val="6FDE73CC"/>
    <w:multiLevelType w:val="multilevel"/>
    <w:tmpl w:val="04E64ACC"/>
    <w:name w:val="Penalty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16"/>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24"/>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revisionView w:formatting="0"/>
  <w:defaultTabStop w:val="1140"/>
  <w:evenAndOddHeaders/>
  <w:drawingGridHorizontalSpacing w:val="120"/>
  <w:drawingGridVerticalSpacing w:val="163"/>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pos w:val="sectEnd"/>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lang w:eastAsia="en-US"/>
    </w:rPr>
  </w:style>
  <w:style w:type="paragraph" w:styleId="Heading1">
    <w:name w:val="heading 1"/>
    <w:next w:val="Heading2"/>
    <w:qFormat/>
    <w:pPr>
      <w:keepNext/>
      <w:keepLines/>
      <w:pageBreakBefore/>
      <w:spacing w:before="320" w:line="260" w:lineRule="atLeast"/>
      <w:jc w:val="center"/>
      <w:outlineLvl w:val="0"/>
    </w:pPr>
    <w:rPr>
      <w:b/>
      <w:kern w:val="28"/>
      <w:sz w:val="34"/>
      <w:lang w:eastAsia="en-US"/>
    </w:rPr>
  </w:style>
  <w:style w:type="paragraph" w:styleId="Heading2">
    <w:name w:val="heading 2"/>
    <w:next w:val="Heading3"/>
    <w:qFormat/>
    <w:pPr>
      <w:keepNext/>
      <w:pageBreakBefore/>
      <w:spacing w:line="260" w:lineRule="atLeast"/>
      <w:jc w:val="center"/>
      <w:outlineLvl w:val="1"/>
    </w:pPr>
    <w:rPr>
      <w:b/>
      <w:snapToGrid w:val="0"/>
      <w:sz w:val="30"/>
      <w:lang w:eastAsia="en-US"/>
    </w:rPr>
  </w:style>
  <w:style w:type="paragraph" w:styleId="Heading3">
    <w:name w:val="heading 3"/>
    <w:next w:val="Heading4"/>
    <w:qFormat/>
    <w:pPr>
      <w:keepNext/>
      <w:spacing w:before="240" w:line="260" w:lineRule="atLeast"/>
      <w:jc w:val="center"/>
      <w:outlineLvl w:val="2"/>
    </w:pPr>
    <w:rPr>
      <w:b/>
      <w:sz w:val="26"/>
      <w:lang w:eastAsia="en-US"/>
    </w:rPr>
  </w:style>
  <w:style w:type="paragraph" w:styleId="Heading4">
    <w:name w:val="heading 4"/>
    <w:next w:val="Heading5"/>
    <w:qFormat/>
    <w:pPr>
      <w:keepNext/>
      <w:spacing w:before="240"/>
      <w:jc w:val="center"/>
      <w:outlineLvl w:val="3"/>
    </w:pPr>
    <w:rPr>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b/>
      <w:sz w:val="24"/>
      <w:lang w:eastAsia="en-US"/>
    </w:rPr>
  </w:style>
  <w:style w:type="paragraph" w:styleId="Heading6">
    <w:name w:val="heading 6"/>
    <w:next w:val="Normal"/>
    <w:qFormat/>
    <w:pPr>
      <w:keepNext/>
      <w:spacing w:before="240"/>
      <w:jc w:val="center"/>
      <w:outlineLvl w:val="5"/>
    </w:pPr>
    <w:rPr>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leteClose">
    <w:name w:val="DeleteClose"/>
    <w:basedOn w:val="Normal"/>
    <w:pPr>
      <w:keepLines/>
      <w:jc w:val="center"/>
    </w:pPr>
    <w:rPr>
      <w:szCs w:val="24"/>
    </w:rPr>
  </w:style>
  <w:style w:type="paragraph" w:customStyle="1" w:styleId="ABillFor">
    <w:name w:val="ABillFor"/>
    <w:basedOn w:val="Normal"/>
    <w:pPr>
      <w:spacing w:before="240" w:after="600"/>
      <w:jc w:val="center"/>
    </w:pPr>
    <w:rPr>
      <w:b/>
    </w:rPr>
  </w:style>
  <w:style w:type="paragraph" w:customStyle="1" w:styleId="NameofActReg">
    <w:name w:val="Name of Act/Reg"/>
    <w:next w:val="Normal"/>
    <w:pPr>
      <w:spacing w:before="480" w:after="600"/>
      <w:jc w:val="center"/>
    </w:pPr>
    <w:rPr>
      <w:b/>
      <w:snapToGrid w:val="0"/>
      <w:sz w:val="34"/>
      <w:lang w:eastAsia="en-US"/>
    </w:rPr>
  </w:style>
  <w:style w:type="paragraph" w:customStyle="1" w:styleId="Actno">
    <w:name w:val="Actno"/>
    <w:basedOn w:val="NameofActReg"/>
    <w:next w:val="Normal"/>
    <w:autoRedefine/>
    <w:pPr>
      <w:spacing w:before="500"/>
    </w:pPr>
    <w:rPr>
      <w:sz w:val="26"/>
    </w:rPr>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sz w:val="24"/>
      <w:lang w:eastAsia="en-US"/>
    </w:rPr>
  </w:style>
  <w:style w:type="paragraph" w:customStyle="1" w:styleId="AssentNote">
    <w:name w:val="Assent Note"/>
    <w:pPr>
      <w:keepLines/>
      <w:spacing w:before="160" w:after="240"/>
      <w:jc w:val="right"/>
    </w:pPr>
    <w:rPr>
      <w:i/>
      <w:snapToGrid w:val="0"/>
      <w:sz w:val="24"/>
      <w:lang w:eastAsia="en-US"/>
    </w:rPr>
  </w:style>
  <w:style w:type="paragraph" w:styleId="BlockText">
    <w:name w:val="Block Text"/>
    <w:basedOn w:val="Normal"/>
    <w:semiHidden/>
    <w:pPr>
      <w:spacing w:after="120"/>
      <w:ind w:left="1440" w:right="1440"/>
    </w:pPr>
  </w:style>
  <w:style w:type="paragraph" w:styleId="BodyText">
    <w:name w:val="Body Text"/>
    <w:basedOn w:val="Normal"/>
    <w:semiHidden/>
    <w:pPr>
      <w:spacing w:after="120"/>
    </w:pPr>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8"/>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WA">
    <w:name w:val="WA"/>
    <w:pPr>
      <w:spacing w:after="720"/>
      <w:jc w:val="center"/>
    </w:pPr>
    <w:rPr>
      <w:sz w:val="24"/>
      <w:lang w:eastAsia="en-US"/>
    </w:rPr>
  </w:style>
  <w:style w:type="paragraph" w:customStyle="1" w:styleId="Subsection">
    <w:name w:val="Subsection"/>
    <w:pPr>
      <w:tabs>
        <w:tab w:val="right" w:pos="595"/>
        <w:tab w:val="left" w:pos="879"/>
      </w:tabs>
      <w:spacing w:before="160" w:line="260" w:lineRule="atLeast"/>
      <w:ind w:left="879" w:hanging="879"/>
    </w:pPr>
    <w:rPr>
      <w:sz w:val="24"/>
      <w:lang w:eastAsia="en-US"/>
    </w:rPr>
  </w:style>
  <w:style w:type="paragraph" w:styleId="BodyTextIndent3">
    <w:name w:val="Body Text Indent 3"/>
    <w:basedOn w:val="Normal"/>
    <w:semiHidden/>
    <w:pPr>
      <w:spacing w:after="120"/>
      <w:ind w:left="283"/>
    </w:pPr>
    <w:rPr>
      <w:sz w:val="18"/>
    </w:rPr>
  </w:style>
  <w:style w:type="paragraph" w:styleId="Caption">
    <w:name w:val="caption"/>
    <w:basedOn w:val="Normal"/>
    <w:next w:val="Normal"/>
    <w:qFormat/>
    <w:pPr>
      <w:spacing w:before="120" w:after="120"/>
    </w:pPr>
    <w:rPr>
      <w:b/>
    </w:rPr>
  </w:style>
  <w:style w:type="paragraph" w:customStyle="1" w:styleId="CentredBaseLine">
    <w:name w:val="CentredBaseLine"/>
    <w:pPr>
      <w:suppressLineNumbers/>
      <w:spacing w:before="240"/>
    </w:pPr>
    <w:rPr>
      <w:lang w:eastAsia="en-US"/>
    </w:rPr>
  </w:style>
  <w:style w:type="character" w:customStyle="1" w:styleId="CharChapNo">
    <w:name w:val="CharChapNo"/>
    <w:rPr>
      <w:noProof w:val="0"/>
      <w:lang w:val="en-AU"/>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geNo">
    <w:name w:val="CharPageNo"/>
    <w:rPr>
      <w:noProof w:val="0"/>
      <w:sz w:val="2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character" w:customStyle="1" w:styleId="CharProduced">
    <w:name w:val="CharProduced"/>
    <w:rPr>
      <w:noProof w:val="0"/>
      <w:spacing w:val="-3"/>
      <w:lang w:val="en-AU"/>
    </w:rPr>
  </w:style>
  <w:style w:type="character" w:customStyle="1" w:styleId="CharSchNo">
    <w:name w:val="CharSchNo"/>
    <w:rPr>
      <w:noProof w:val="0"/>
      <w:lang w:val="en-AU"/>
    </w:rPr>
  </w:style>
  <w:style w:type="character" w:customStyle="1" w:styleId="CharSectno">
    <w:name w:val="CharSectno"/>
    <w:rPr>
      <w:noProof w:val="0"/>
      <w:lang w:val="en-AU"/>
    </w:rPr>
  </w:style>
  <w:style w:type="paragraph" w:styleId="Closing">
    <w:name w:val="Closing"/>
    <w:basedOn w:val="Normal"/>
    <w:semiHidden/>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emiHidden/>
  </w:style>
  <w:style w:type="paragraph" w:customStyle="1" w:styleId="DefinitionNumbers">
    <w:name w:val="DefinitionNumbers"/>
    <w:basedOn w:val="Normal"/>
    <w:pPr>
      <w:numPr>
        <w:numId w:val="1"/>
      </w:numPr>
    </w:pPr>
  </w:style>
  <w:style w:type="paragraph" w:customStyle="1" w:styleId="Defitem">
    <w:name w:val="Defitem"/>
    <w:pPr>
      <w:tabs>
        <w:tab w:val="right" w:pos="2892"/>
        <w:tab w:val="left" w:pos="3204"/>
      </w:tabs>
      <w:spacing w:before="80" w:line="260" w:lineRule="atLeast"/>
      <w:ind w:left="3204" w:hanging="3204"/>
    </w:pPr>
    <w:rPr>
      <w:sz w:val="24"/>
      <w:lang w:eastAsia="en-US"/>
    </w:rPr>
  </w:style>
  <w:style w:type="paragraph" w:customStyle="1" w:styleId="Defpara">
    <w:name w:val="Defpara"/>
    <w:pPr>
      <w:tabs>
        <w:tab w:val="right" w:pos="1332"/>
        <w:tab w:val="left" w:pos="1616"/>
      </w:tabs>
      <w:spacing w:before="80" w:line="260" w:lineRule="atLeast"/>
      <w:ind w:left="1616" w:hanging="1616"/>
    </w:pPr>
    <w:rPr>
      <w:snapToGrid w:val="0"/>
      <w:sz w:val="24"/>
      <w:lang w:eastAsia="en-US"/>
    </w:rPr>
  </w:style>
  <w:style w:type="paragraph" w:customStyle="1" w:styleId="Defstart">
    <w:name w:val="Defstart"/>
    <w:pPr>
      <w:tabs>
        <w:tab w:val="left" w:pos="879"/>
      </w:tabs>
      <w:spacing w:before="80" w:line="260" w:lineRule="atLeast"/>
      <w:ind w:left="879" w:hanging="879"/>
    </w:pPr>
    <w:rPr>
      <w:snapToGrid w:val="0"/>
      <w:sz w:val="24"/>
      <w:lang w:eastAsia="en-US"/>
    </w:rPr>
  </w:style>
  <w:style w:type="paragraph" w:customStyle="1" w:styleId="Defsubpara">
    <w:name w:val="Defsubpara"/>
    <w:pPr>
      <w:keepLines/>
      <w:tabs>
        <w:tab w:val="right" w:pos="2041"/>
        <w:tab w:val="left" w:pos="2325"/>
      </w:tabs>
      <w:spacing w:before="80" w:line="260" w:lineRule="atLeast"/>
      <w:ind w:left="2325" w:hanging="2325"/>
    </w:pPr>
    <w:rPr>
      <w:sz w:val="24"/>
      <w:lang w:eastAsia="en-US"/>
    </w:rPr>
  </w:style>
  <w:style w:type="character" w:customStyle="1" w:styleId="DraftersNotes">
    <w:name w:val="DraftersNotes"/>
    <w:basedOn w:val="DefaultParagraphFont"/>
    <w:rPr>
      <w:b/>
      <w:i/>
      <w:sz w:val="20"/>
    </w:rPr>
  </w:style>
  <w:style w:type="paragraph" w:customStyle="1" w:styleId="Ednoteitem">
    <w:name w:val="Ednote(item)"/>
    <w:pPr>
      <w:tabs>
        <w:tab w:val="right" w:pos="2765"/>
        <w:tab w:val="left" w:pos="3053"/>
      </w:tabs>
      <w:spacing w:before="80" w:line="260" w:lineRule="atLeast"/>
      <w:ind w:left="3050" w:hanging="3050"/>
    </w:pPr>
    <w:rPr>
      <w:i/>
      <w:sz w:val="24"/>
      <w:lang w:eastAsia="en-US"/>
    </w:rPr>
  </w:style>
  <w:style w:type="paragraph" w:customStyle="1" w:styleId="Ednotedefitem">
    <w:name w:val="Ednote(defitem)"/>
    <w:basedOn w:val="Defitem"/>
  </w:style>
  <w:style w:type="paragraph" w:customStyle="1" w:styleId="Ednotepara">
    <w:name w:val="Ednote(para)"/>
    <w:pPr>
      <w:tabs>
        <w:tab w:val="right" w:pos="1325"/>
        <w:tab w:val="left" w:pos="1613"/>
      </w:tabs>
      <w:spacing w:before="120" w:line="260" w:lineRule="atLeast"/>
      <w:ind w:left="1613" w:hanging="1613"/>
    </w:pPr>
    <w:rPr>
      <w:i/>
      <w:sz w:val="24"/>
      <w:lang w:eastAsia="en-US"/>
    </w:rPr>
  </w:style>
  <w:style w:type="paragraph" w:customStyle="1" w:styleId="Ednotedefpara">
    <w:name w:val="Ednote(defpara)"/>
    <w:basedOn w:val="Defpara"/>
  </w:style>
  <w:style w:type="paragraph" w:customStyle="1" w:styleId="Ednotesubpara">
    <w:name w:val="Ednote(subpara)"/>
    <w:pPr>
      <w:tabs>
        <w:tab w:val="right" w:pos="2047"/>
        <w:tab w:val="left" w:pos="2333"/>
      </w:tabs>
      <w:spacing w:before="80" w:line="260" w:lineRule="atLeast"/>
      <w:ind w:left="2330" w:hanging="2330"/>
    </w:pPr>
    <w:rPr>
      <w:i/>
      <w:sz w:val="24"/>
      <w:lang w:eastAsia="en-US"/>
    </w:rPr>
  </w:style>
  <w:style w:type="paragraph" w:customStyle="1" w:styleId="Ednotedefsubpara">
    <w:name w:val="Ednote(defsubpara)"/>
    <w:basedOn w:val="Defsubpara"/>
  </w:style>
  <w:style w:type="paragraph" w:customStyle="1" w:styleId="Ednotepenitem">
    <w:name w:val="Ednote(penitem)"/>
    <w:basedOn w:val="Ednoteitem"/>
  </w:style>
  <w:style w:type="paragraph" w:customStyle="1" w:styleId="Ednotepenpara">
    <w:name w:val="Ednote(penpara)"/>
    <w:basedOn w:val="Ednotepara"/>
  </w:style>
  <w:style w:type="paragraph" w:customStyle="1" w:styleId="Ednotepensubpara">
    <w:name w:val="Ednote(pensubpara)"/>
    <w:basedOn w:val="Ednotesubpara"/>
  </w:style>
  <w:style w:type="paragraph" w:customStyle="1" w:styleId="Ednotesection">
    <w:name w:val="Ednote(section)"/>
    <w:pPr>
      <w:tabs>
        <w:tab w:val="left" w:pos="893"/>
      </w:tabs>
      <w:spacing w:before="220" w:line="260" w:lineRule="atLeast"/>
      <w:ind w:left="893" w:hanging="893"/>
      <w:outlineLvl w:val="4"/>
    </w:pPr>
    <w:rPr>
      <w:i/>
      <w:snapToGrid w:val="0"/>
      <w:sz w:val="24"/>
      <w:lang w:eastAsia="en-US"/>
    </w:rPr>
  </w:style>
  <w:style w:type="paragraph" w:customStyle="1" w:styleId="Ednotesubitem">
    <w:name w:val="Ednote(subitem)"/>
    <w:pPr>
      <w:tabs>
        <w:tab w:val="right" w:pos="3485"/>
        <w:tab w:val="left" w:pos="3773"/>
      </w:tabs>
      <w:spacing w:before="80" w:line="260" w:lineRule="atLeast"/>
      <w:ind w:left="3771" w:hanging="3771"/>
    </w:pPr>
    <w:rPr>
      <w:i/>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character" w:styleId="Emphasis">
    <w:name w:val="Emphasis"/>
    <w:basedOn w:val="DefaultParagraphFont"/>
    <w:qFormat/>
    <w:rPr>
      <w:i/>
      <w:sz w:val="24"/>
    </w:rPr>
  </w:style>
  <w:style w:type="paragraph" w:customStyle="1" w:styleId="Enactment">
    <w:name w:val="Enactment"/>
    <w:pPr>
      <w:spacing w:before="800"/>
    </w:pPr>
    <w:rPr>
      <w:sz w:val="24"/>
      <w:lang w:eastAsia="en-US"/>
    </w:rPr>
  </w:style>
  <w:style w:type="character" w:styleId="EndnoteReference">
    <w:name w:val="endnote reference"/>
    <w:basedOn w:val="DefaultParagraphFont"/>
    <w:semiHidden/>
    <w:rPr>
      <w:sz w:val="24"/>
      <w:vertAlign w:val="superscript"/>
    </w:rPr>
  </w:style>
  <w:style w:type="paragraph" w:styleId="EndnoteText">
    <w:name w:val="endnote text"/>
    <w:basedOn w:val="Normal"/>
    <w:semiHidden/>
    <w:pPr>
      <w:spacing w:after="40"/>
      <w:ind w:left="397" w:hanging="397"/>
    </w:pPr>
  </w:style>
  <w:style w:type="paragraph" w:styleId="EnvelopeAddress">
    <w:name w:val="envelope address"/>
    <w:basedOn w:val="Normal"/>
    <w:semiHidden/>
    <w:pPr>
      <w:framePr w:w="7920" w:h="1980" w:hRule="exact" w:hSpace="180" w:wrap="auto" w:hAnchor="page" w:xAlign="center" w:yAlign="bottom"/>
      <w:ind w:left="2880"/>
    </w:pPr>
    <w:rPr>
      <w:rFonts w:ascii="Arial" w:hAnsi="Arial"/>
      <w:sz w:val="26"/>
    </w:rPr>
  </w:style>
  <w:style w:type="paragraph" w:styleId="EnvelopeReturn">
    <w:name w:val="envelope return"/>
    <w:basedOn w:val="Normal"/>
    <w:semiHidden/>
    <w:rPr>
      <w:rFonts w:ascii="Arial" w:hAnsi="Arial"/>
    </w:rPr>
  </w:style>
  <w:style w:type="paragraph" w:customStyle="1" w:styleId="Equation">
    <w:name w:val="Equation"/>
    <w:rPr>
      <w:noProof/>
      <w:sz w:val="24"/>
      <w:lang w:eastAsia="en-US"/>
    </w:rPr>
  </w:style>
  <w:style w:type="character" w:styleId="FollowedHyperlink">
    <w:name w:val="FollowedHyperlink"/>
    <w:basedOn w:val="DefaultParagraphFont"/>
    <w:semiHidden/>
    <w:rPr>
      <w:color w:val="800080"/>
      <w:sz w:val="24"/>
      <w:u w:val="single"/>
    </w:rPr>
  </w:style>
  <w:style w:type="paragraph" w:styleId="Footer">
    <w:name w:val="footer"/>
    <w:basedOn w:val="Normal"/>
    <w:semiHidden/>
    <w:pPr>
      <w:tabs>
        <w:tab w:val="center" w:pos="4153"/>
        <w:tab w:val="right" w:pos="8306"/>
      </w:tabs>
      <w:spacing w:line="260" w:lineRule="atLeast"/>
    </w:pPr>
    <w:rPr>
      <w:rFonts w:ascii="Arial" w:hAnsi="Arial"/>
    </w:rPr>
  </w:style>
  <w:style w:type="paragraph" w:customStyle="1" w:styleId="FooterDisclaimer">
    <w:name w:val="Footer.Disclaimer"/>
    <w:pPr>
      <w:jc w:val="center"/>
    </w:pPr>
    <w:rPr>
      <w:rFonts w:ascii="Arial" w:hAnsi="Arial"/>
      <w:i/>
      <w:sz w:val="16"/>
      <w:lang w:eastAsia="en-US"/>
    </w:rPr>
  </w:style>
  <w:style w:type="paragraph" w:customStyle="1" w:styleId="FooterPageLeft">
    <w:name w:val="Footer.Page.Left"/>
    <w:pPr>
      <w:pBdr>
        <w:top w:val="single" w:sz="4" w:space="1" w:color="auto"/>
      </w:pBdr>
    </w:pPr>
    <w:rPr>
      <w:rFonts w:ascii="Arial" w:hAnsi="Arial"/>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styleId="FootnoteReference">
    <w:name w:val="footnote reference"/>
    <w:basedOn w:val="DefaultParagraphFont"/>
    <w:semiHidden/>
    <w:rPr>
      <w:sz w:val="24"/>
      <w:vertAlign w:val="superscript"/>
    </w:rPr>
  </w:style>
  <w:style w:type="paragraph" w:styleId="FootnoteText">
    <w:name w:val="footnote text"/>
    <w:basedOn w:val="Normal"/>
    <w:semiHidden/>
  </w:style>
  <w:style w:type="paragraph" w:customStyle="1" w:styleId="Footnoteheading">
    <w:name w:val="Footnote(heading)"/>
    <w:pPr>
      <w:tabs>
        <w:tab w:val="left" w:pos="879"/>
      </w:tabs>
      <w:spacing w:before="120" w:line="260" w:lineRule="atLeast"/>
      <w:ind w:left="879" w:hanging="879"/>
    </w:pPr>
    <w:rPr>
      <w:i/>
      <w:sz w:val="24"/>
      <w:lang w:eastAsia="en-US"/>
    </w:rPr>
  </w:style>
  <w:style w:type="paragraph" w:customStyle="1" w:styleId="Footnotesection">
    <w:name w:val="Footnote(section)"/>
    <w:pPr>
      <w:keepLines/>
      <w:tabs>
        <w:tab w:val="left" w:pos="893"/>
      </w:tabs>
      <w:spacing w:before="120" w:line="260" w:lineRule="atLeast"/>
      <w:ind w:left="893" w:hanging="893"/>
    </w:pPr>
    <w:rPr>
      <w:i/>
      <w:snapToGrid w:val="0"/>
      <w:sz w:val="24"/>
      <w:lang w:eastAsia="en-US"/>
    </w:rPr>
  </w:style>
  <w:style w:type="paragraph" w:customStyle="1" w:styleId="Graphics">
    <w:name w:val="Graphics"/>
    <w:basedOn w:val="Equation"/>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character" w:styleId="Hyperlink">
    <w:name w:val="Hyperlink"/>
    <w:basedOn w:val="DefaultParagraphFont"/>
    <w:semiHidden/>
    <w:rPr>
      <w:color w:val="0000FF"/>
      <w:sz w:val="24"/>
      <w:u w:val="single"/>
    </w:rPr>
  </w:style>
  <w:style w:type="paragraph" w:customStyle="1" w:styleId="Indenta">
    <w:name w:val="Indent(a)"/>
    <w:pPr>
      <w:tabs>
        <w:tab w:val="right" w:pos="1332"/>
        <w:tab w:val="left" w:pos="1616"/>
      </w:tabs>
      <w:spacing w:before="80" w:line="260" w:lineRule="atLeast"/>
      <w:ind w:left="1616" w:hanging="1616"/>
    </w:pPr>
    <w:rPr>
      <w:sz w:val="24"/>
      <w:lang w:eastAsia="en-US"/>
    </w:rPr>
  </w:style>
  <w:style w:type="paragraph" w:customStyle="1" w:styleId="IndentA0">
    <w:name w:val="Indent(A)"/>
    <w:pPr>
      <w:tabs>
        <w:tab w:val="right" w:pos="3686"/>
        <w:tab w:val="left" w:pos="3969"/>
      </w:tabs>
      <w:spacing w:before="80" w:line="260" w:lineRule="atLeast"/>
      <w:ind w:left="3969" w:hanging="3969"/>
    </w:pPr>
    <w:rPr>
      <w:sz w:val="24"/>
      <w:lang w:eastAsia="en-US"/>
    </w:rPr>
  </w:style>
  <w:style w:type="paragraph" w:customStyle="1" w:styleId="Indenti">
    <w:name w:val="Indent(i)"/>
    <w:pPr>
      <w:tabs>
        <w:tab w:val="right" w:pos="2041"/>
        <w:tab w:val="left" w:pos="2325"/>
      </w:tabs>
      <w:spacing w:before="80" w:line="260" w:lineRule="atLeast"/>
      <w:ind w:left="2325" w:hanging="2325"/>
    </w:pPr>
    <w:rPr>
      <w:sz w:val="24"/>
      <w:lang w:eastAsia="en-US"/>
    </w:rPr>
  </w:style>
  <w:style w:type="paragraph" w:customStyle="1" w:styleId="IndentI0">
    <w:name w:val="Indent(I)"/>
    <w:pPr>
      <w:tabs>
        <w:tab w:val="right" w:pos="2892"/>
        <w:tab w:val="left" w:pos="3204"/>
      </w:tabs>
      <w:spacing w:before="80" w:line="260" w:lineRule="atLeast"/>
      <w:ind w:left="3204" w:hanging="3204"/>
    </w:pPr>
    <w:rPr>
      <w:sz w:val="24"/>
      <w:lang w:eastAsia="en-US"/>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character" w:styleId="LineNumber">
    <w:name w:val="line number"/>
    <w:basedOn w:val="DefaultParagraphFont"/>
    <w:semiHidden/>
    <w:rPr>
      <w:rFonts w:ascii="Arial" w:hAnsi="Arial"/>
      <w:sz w:val="16"/>
    </w:rPr>
  </w:style>
  <w:style w:type="paragraph" w:styleId="List">
    <w:name w:val="List"/>
    <w:basedOn w:val="Normal"/>
    <w:semiHidden/>
    <w:pPr>
      <w:ind w:left="283" w:hanging="283"/>
    </w:p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autoRedefine/>
    <w:semiHidden/>
    <w:pPr>
      <w:numPr>
        <w:numId w:val="2"/>
      </w:numPr>
    </w:pPr>
  </w:style>
  <w:style w:type="paragraph" w:styleId="ListBullet2">
    <w:name w:val="List Bullet 2"/>
    <w:basedOn w:val="Normal"/>
    <w:autoRedefine/>
    <w:semiHidden/>
    <w:pPr>
      <w:numPr>
        <w:numId w:val="3"/>
      </w:numPr>
      <w:tabs>
        <w:tab w:val="clear" w:pos="643"/>
        <w:tab w:val="num" w:pos="720"/>
      </w:tabs>
      <w:ind w:left="720"/>
    </w:pPr>
  </w:style>
  <w:style w:type="paragraph" w:styleId="ListBullet3">
    <w:name w:val="List Bullet 3"/>
    <w:basedOn w:val="Normal"/>
    <w:autoRedefine/>
    <w:semiHidden/>
    <w:pPr>
      <w:numPr>
        <w:numId w:val="4"/>
      </w:numPr>
      <w:tabs>
        <w:tab w:val="clear" w:pos="926"/>
        <w:tab w:val="num" w:pos="1080"/>
      </w:tabs>
      <w:ind w:left="1080"/>
    </w:pPr>
  </w:style>
  <w:style w:type="paragraph" w:styleId="ListBullet4">
    <w:name w:val="List Bullet 4"/>
    <w:basedOn w:val="Normal"/>
    <w:autoRedefine/>
    <w:semiHidden/>
    <w:pPr>
      <w:numPr>
        <w:numId w:val="5"/>
      </w:numPr>
      <w:tabs>
        <w:tab w:val="clear" w:pos="1209"/>
        <w:tab w:val="num" w:pos="1440"/>
      </w:tabs>
      <w:ind w:left="1440"/>
    </w:pPr>
  </w:style>
  <w:style w:type="paragraph" w:styleId="ListBullet5">
    <w:name w:val="List Bullet 5"/>
    <w:basedOn w:val="Normal"/>
    <w:autoRedefine/>
    <w:semiHidden/>
    <w:pPr>
      <w:numPr>
        <w:numId w:val="6"/>
      </w:numPr>
      <w:tabs>
        <w:tab w:val="clear" w:pos="1492"/>
        <w:tab w:val="num" w:pos="1800"/>
      </w:tabs>
      <w:ind w:left="1800"/>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7"/>
      </w:numPr>
    </w:pPr>
  </w:style>
  <w:style w:type="paragraph" w:styleId="ListNumber2">
    <w:name w:val="List Number 2"/>
    <w:basedOn w:val="Normal"/>
    <w:semiHidden/>
    <w:pPr>
      <w:numPr>
        <w:numId w:val="8"/>
      </w:numPr>
      <w:tabs>
        <w:tab w:val="clear" w:pos="643"/>
        <w:tab w:val="num" w:pos="720"/>
      </w:tabs>
      <w:ind w:left="720"/>
    </w:pPr>
  </w:style>
  <w:style w:type="paragraph" w:styleId="ListNumber3">
    <w:name w:val="List Number 3"/>
    <w:basedOn w:val="Normal"/>
    <w:semiHidden/>
    <w:pPr>
      <w:numPr>
        <w:numId w:val="9"/>
      </w:numPr>
      <w:tabs>
        <w:tab w:val="clear" w:pos="926"/>
        <w:tab w:val="num" w:pos="1080"/>
      </w:tabs>
      <w:ind w:left="1080"/>
    </w:pPr>
  </w:style>
  <w:style w:type="paragraph" w:styleId="ListNumber4">
    <w:name w:val="List Number 4"/>
    <w:basedOn w:val="Normal"/>
    <w:semiHidden/>
    <w:pPr>
      <w:numPr>
        <w:numId w:val="10"/>
      </w:numPr>
      <w:tabs>
        <w:tab w:val="clear" w:pos="1209"/>
        <w:tab w:val="num" w:pos="1440"/>
      </w:tabs>
      <w:ind w:left="1440"/>
    </w:pPr>
  </w:style>
  <w:style w:type="paragraph" w:styleId="ListNumber5">
    <w:name w:val="List Number 5"/>
    <w:basedOn w:val="Normal"/>
    <w:semiHidden/>
    <w:pPr>
      <w:numPr>
        <w:numId w:val="11"/>
      </w:numPr>
      <w:tabs>
        <w:tab w:val="clear" w:pos="1492"/>
        <w:tab w:val="num" w:pos="1800"/>
      </w:tabs>
      <w:ind w:left="1800"/>
    </w:pPr>
  </w:style>
  <w:style w:type="paragraph" w:customStyle="1" w:styleId="LongTitle">
    <w:name w:val="Long Title"/>
    <w:rPr>
      <w:b/>
      <w:sz w:val="24"/>
      <w:lang w:eastAsia="en-U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lang w:eastAsia="en-US"/>
    </w:rPr>
  </w:style>
  <w:style w:type="paragraph" w:customStyle="1" w:styleId="MadeBy">
    <w:name w:val="MadeBy"/>
    <w:pPr>
      <w:spacing w:before="600"/>
    </w:pPr>
    <w:rPr>
      <w:sz w:val="24"/>
      <w:lang w:eastAsia="en-US"/>
    </w:rPr>
  </w:style>
  <w:style w:type="paragraph" w:customStyle="1" w:styleId="Mainnumbers">
    <w:name w:val="Mainnumbers"/>
    <w:basedOn w:val="Normal"/>
    <w:pPr>
      <w:tabs>
        <w:tab w:val="num" w:pos="1440"/>
      </w:tabs>
      <w:ind w:left="360" w:hanging="360"/>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customStyle="1" w:styleId="MiscClose">
    <w:name w:val="MiscClose"/>
    <w:basedOn w:val="Normal"/>
    <w:pPr>
      <w:keepLines/>
      <w:tabs>
        <w:tab w:val="left" w:pos="893"/>
      </w:tabs>
      <w:spacing w:line="260" w:lineRule="atLeast"/>
      <w:jc w:val="right"/>
    </w:pPr>
  </w:style>
  <w:style w:type="paragraph" w:customStyle="1" w:styleId="MiscellaneousHeading">
    <w:name w:val="Miscellaneous Heading"/>
    <w:pPr>
      <w:keepNext/>
      <w:spacing w:before="160" w:line="260" w:lineRule="atLeast"/>
      <w:jc w:val="center"/>
    </w:pPr>
    <w:rPr>
      <w:sz w:val="24"/>
      <w:lang w:eastAsia="en-US"/>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MiscOpen">
    <w:name w:val="MiscOpen"/>
    <w:pPr>
      <w:keepNext/>
      <w:keepLines/>
      <w:tabs>
        <w:tab w:val="left" w:pos="893"/>
      </w:tabs>
      <w:spacing w:before="120" w:line="260" w:lineRule="atLeast"/>
    </w:pPr>
    <w:rPr>
      <w:sz w:val="24"/>
      <w:lang w:eastAsia="en-US"/>
    </w:rPr>
  </w:style>
  <w:style w:type="paragraph" w:customStyle="1" w:styleId="NameofActRegPage1">
    <w:name w:val="Name of Act/Reg(Page 1)"/>
    <w:basedOn w:val="NameofActReg"/>
    <w:pPr>
      <w:spacing w:before="0" w:after="720"/>
    </w:pPr>
  </w:style>
  <w:style w:type="paragraph" w:customStyle="1" w:styleId="nDefpara">
    <w:name w:val="nDefpara"/>
    <w:basedOn w:val="Defpara"/>
    <w:pPr>
      <w:spacing w:before="40" w:line="240" w:lineRule="auto"/>
    </w:pPr>
    <w:rPr>
      <w:sz w:val="20"/>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outlineLvl w:val="9"/>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styleId="NormalIndent">
    <w:name w:val="Normal Indent"/>
    <w:basedOn w:val="Normal"/>
    <w:semiHidden/>
    <w:pPr>
      <w:ind w:left="720"/>
    </w:pPr>
  </w:style>
  <w:style w:type="paragraph" w:styleId="NoteHeading">
    <w:name w:val="Note Heading"/>
    <w:basedOn w:val="Normal"/>
    <w:next w:val="Normal"/>
    <w:semiHidden/>
  </w:style>
  <w:style w:type="paragraph" w:customStyle="1" w:styleId="Penpara">
    <w:name w:val="Penpara"/>
    <w:pPr>
      <w:tabs>
        <w:tab w:val="right" w:pos="1616"/>
        <w:tab w:val="left" w:pos="1899"/>
      </w:tabs>
      <w:spacing w:before="80" w:line="260" w:lineRule="atLeast"/>
      <w:ind w:left="1899" w:hanging="1899"/>
    </w:pPr>
    <w:rPr>
      <w:sz w:val="24"/>
      <w:lang w:eastAsia="en-US"/>
    </w:rPr>
  </w:style>
  <w:style w:type="paragraph" w:customStyle="1" w:styleId="nPenpara">
    <w:name w:val="nPenpara"/>
    <w:basedOn w:val="Penpara"/>
    <w:pPr>
      <w:spacing w:before="40" w:line="240" w:lineRule="auto"/>
    </w:pPr>
    <w:rPr>
      <w:sz w:val="20"/>
    </w:rPr>
  </w:style>
  <w:style w:type="paragraph" w:customStyle="1" w:styleId="Penstart">
    <w:name w:val="Penstart"/>
    <w:basedOn w:val="Normal"/>
    <w:pPr>
      <w:tabs>
        <w:tab w:val="left" w:pos="879"/>
      </w:tabs>
      <w:spacing w:before="80" w:line="260" w:lineRule="atLeast"/>
      <w:ind w:left="1332" w:hanging="1332"/>
    </w:pPr>
  </w:style>
  <w:style w:type="paragraph" w:customStyle="1" w:styleId="nPenstart">
    <w:name w:val="nPenstart"/>
    <w:basedOn w:val="Penstart"/>
    <w:pPr>
      <w:spacing w:before="40" w:line="240" w:lineRule="auto"/>
    </w:pPr>
    <w:rPr>
      <w:sz w:val="20"/>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Table">
    <w:name w:val="Table"/>
    <w:aliases w:val="t"/>
    <w:basedOn w:val="Normal"/>
    <w:pPr>
      <w:spacing w:before="60" w:line="240" w:lineRule="atLeast"/>
    </w:pPr>
    <w:rPr>
      <w:sz w:val="22"/>
    </w:rPr>
  </w:style>
  <w:style w:type="paragraph" w:customStyle="1" w:styleId="nTable">
    <w:name w:val="nTable"/>
    <w:basedOn w:val="Table"/>
    <w:pPr>
      <w:spacing w:before="40" w:line="240" w:lineRule="auto"/>
    </w:pPr>
    <w:rPr>
      <w:sz w:val="18"/>
    </w:rPr>
  </w:style>
  <w:style w:type="paragraph" w:customStyle="1" w:styleId="zDefpara">
    <w:name w:val="zDefpara"/>
    <w:basedOn w:val="Normal"/>
    <w:pPr>
      <w:tabs>
        <w:tab w:val="right" w:pos="1899"/>
        <w:tab w:val="left" w:pos="2183"/>
      </w:tabs>
      <w:spacing w:before="80" w:line="260" w:lineRule="atLeast"/>
      <w:ind w:left="2183" w:right="284" w:hanging="851"/>
    </w:pPr>
    <w:rPr>
      <w:snapToGrid w:val="0"/>
    </w:rPr>
  </w:style>
  <w:style w:type="paragraph" w:customStyle="1" w:styleId="nzDefpara">
    <w:name w:val="nzDefpara"/>
    <w:basedOn w:val="zDefpara"/>
    <w:pPr>
      <w:spacing w:before="40" w:line="240" w:lineRule="auto"/>
    </w:pPr>
    <w:rPr>
      <w:sz w:val="20"/>
    </w:rPr>
  </w:style>
  <w:style w:type="paragraph" w:customStyle="1" w:styleId="zDefstart">
    <w:name w:val="zDefstart"/>
    <w:basedOn w:val="Normal"/>
    <w:pPr>
      <w:tabs>
        <w:tab w:val="left" w:pos="312"/>
      </w:tabs>
      <w:spacing w:before="80" w:line="260" w:lineRule="atLeast"/>
      <w:ind w:left="1446" w:right="284" w:hanging="312"/>
    </w:pPr>
    <w:rPr>
      <w:snapToGrid w:val="0"/>
    </w:rPr>
  </w:style>
  <w:style w:type="paragraph" w:customStyle="1" w:styleId="nzDefstart">
    <w:name w:val="nzDefstart"/>
    <w:basedOn w:val="zDefstart"/>
    <w:pPr>
      <w:spacing w:before="40" w:line="240" w:lineRule="auto"/>
    </w:pPr>
    <w:rPr>
      <w:sz w:val="2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nzDefsubpara">
    <w:name w:val="nzDefsubpara"/>
    <w:basedOn w:val="zDefsubpara"/>
    <w:pPr>
      <w:spacing w:before="40" w:line="240" w:lineRule="auto"/>
    </w:pPr>
    <w:rPr>
      <w:sz w:val="20"/>
    </w:rPr>
  </w:style>
  <w:style w:type="paragraph" w:customStyle="1" w:styleId="zHeading2">
    <w:name w:val="zHeading 2"/>
    <w:basedOn w:val="Heading2"/>
    <w:pPr>
      <w:pageBreakBefore w:val="0"/>
      <w:spacing w:before="240"/>
      <w:ind w:left="567" w:right="284"/>
      <w:outlineLvl w:val="9"/>
    </w:pPr>
  </w:style>
  <w:style w:type="paragraph" w:customStyle="1" w:styleId="nzHeading2">
    <w:name w:val="nzHeading 2"/>
    <w:basedOn w:val="zHeading2"/>
    <w:pPr>
      <w:spacing w:before="120" w:line="240" w:lineRule="auto"/>
    </w:pPr>
    <w:rPr>
      <w:sz w:val="26"/>
    </w:rPr>
  </w:style>
  <w:style w:type="paragraph" w:customStyle="1" w:styleId="zHeading3">
    <w:name w:val="zHeading 3"/>
    <w:basedOn w:val="Heading3"/>
    <w:pPr>
      <w:ind w:left="567" w:right="284"/>
      <w:outlineLvl w:val="9"/>
    </w:pPr>
  </w:style>
  <w:style w:type="paragraph" w:customStyle="1" w:styleId="nzHeading3">
    <w:name w:val="nzHeading 3"/>
    <w:basedOn w:val="zHeading3"/>
    <w:pPr>
      <w:spacing w:before="120" w:line="240" w:lineRule="auto"/>
    </w:pPr>
    <w:rPr>
      <w:sz w:val="22"/>
    </w:rPr>
  </w:style>
  <w:style w:type="paragraph" w:customStyle="1" w:styleId="zHeading4">
    <w:name w:val="zHeading 4"/>
    <w:basedOn w:val="Heading4"/>
    <w:pPr>
      <w:ind w:left="567" w:right="284"/>
      <w:outlineLvl w:val="9"/>
    </w:pPr>
  </w:style>
  <w:style w:type="paragraph" w:customStyle="1" w:styleId="nzHeading4">
    <w:name w:val="nzHeading 4"/>
    <w:basedOn w:val="zHeading4"/>
    <w:pPr>
      <w:spacing w:before="120"/>
    </w:pPr>
    <w:rPr>
      <w:sz w:val="20"/>
    </w:rPr>
  </w:style>
  <w:style w:type="paragraph" w:customStyle="1" w:styleId="zHeading5">
    <w:name w:val="zHeading 5"/>
    <w:basedOn w:val="Heading5"/>
    <w:pPr>
      <w:tabs>
        <w:tab w:val="clear" w:pos="879"/>
        <w:tab w:val="left" w:pos="1446"/>
      </w:tabs>
      <w:ind w:left="1446" w:right="284"/>
      <w:outlineLvl w:val="9"/>
    </w:pPr>
  </w:style>
  <w:style w:type="paragraph" w:customStyle="1" w:styleId="nzHeading5">
    <w:name w:val="nzHeading 5"/>
    <w:basedOn w:val="zHeading5"/>
    <w:pPr>
      <w:spacing w:before="100" w:line="240" w:lineRule="auto"/>
    </w:pPr>
    <w:rPr>
      <w:sz w:val="20"/>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nzIndenta">
    <w:name w:val="nzIndent(a)"/>
    <w:basedOn w:val="zIndenta"/>
    <w:pPr>
      <w:spacing w:before="40" w:line="240" w:lineRule="auto"/>
    </w:pPr>
    <w:rPr>
      <w:sz w:val="20"/>
    </w:r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nzIndentA0">
    <w:name w:val="nzIndent(A)"/>
    <w:basedOn w:val="zIndentA0"/>
    <w:pPr>
      <w:spacing w:before="40" w:line="240" w:lineRule="auto"/>
    </w:pPr>
    <w:rPr>
      <w:sz w:val="20"/>
    </w:r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nzIndenti">
    <w:name w:val="nzIndent(i)"/>
    <w:basedOn w:val="zIndenti"/>
    <w:pPr>
      <w:spacing w:before="40" w:line="240" w:lineRule="auto"/>
    </w:pPr>
    <w:rPr>
      <w:sz w:val="20"/>
    </w:r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nzIndentI0">
    <w:name w:val="nzIndent(I)"/>
    <w:basedOn w:val="zIndentI0"/>
    <w:pPr>
      <w:spacing w:before="40" w:line="240" w:lineRule="auto"/>
    </w:pPr>
    <w:rPr>
      <w:sz w:val="20"/>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nzPenpara">
    <w:name w:val="nzPenpara"/>
    <w:basedOn w:val="zPenpara"/>
    <w:pPr>
      <w:spacing w:before="40" w:line="240" w:lineRule="auto"/>
    </w:pPr>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nzPenstart">
    <w:name w:val="nzPenstart"/>
    <w:basedOn w:val="zPenstart"/>
    <w:pPr>
      <w:spacing w:before="40" w:line="240" w:lineRule="auto"/>
    </w:pPr>
    <w:rPr>
      <w:sz w:val="20"/>
    </w:rPr>
  </w:style>
  <w:style w:type="paragraph" w:customStyle="1" w:styleId="zSubsection">
    <w:name w:val="zSubsection"/>
    <w:basedOn w:val="Normal"/>
    <w:pPr>
      <w:tabs>
        <w:tab w:val="right" w:pos="1162"/>
        <w:tab w:val="left" w:pos="1446"/>
      </w:tabs>
      <w:spacing w:before="160" w:line="260" w:lineRule="atLeast"/>
      <w:ind w:left="1446" w:right="284" w:hanging="851"/>
    </w:pPr>
  </w:style>
  <w:style w:type="paragraph" w:customStyle="1" w:styleId="nzSubsection">
    <w:name w:val="nzSubsection"/>
    <w:basedOn w:val="zSubsection"/>
    <w:pPr>
      <w:spacing w:before="80" w:line="240" w:lineRule="auto"/>
    </w:pPr>
    <w:rPr>
      <w:sz w:val="20"/>
    </w:rPr>
  </w:style>
  <w:style w:type="paragraph" w:customStyle="1" w:styleId="BlankClose">
    <w:name w:val="BlankClose"/>
    <w:basedOn w:val="Normal"/>
    <w:pPr>
      <w:keepLines/>
      <w:jc w:val="center"/>
    </w:pPr>
    <w:rPr>
      <w:szCs w:val="24"/>
    </w:rPr>
  </w:style>
  <w:style w:type="paragraph" w:customStyle="1" w:styleId="nzTable">
    <w:name w:val="nzTable"/>
    <w:basedOn w:val="Normal"/>
    <w:rPr>
      <w:sz w:val="20"/>
    </w:rPr>
  </w:style>
  <w:style w:type="character" w:styleId="PageNumber">
    <w:name w:val="page number"/>
    <w:basedOn w:val="DefaultParagraphFont"/>
    <w:semiHidden/>
    <w:rPr>
      <w:sz w:val="20"/>
    </w:rPr>
  </w:style>
  <w:style w:type="paragraph" w:customStyle="1" w:styleId="ParlHouse">
    <w:name w:val="ParlHouse"/>
    <w:basedOn w:val="WA"/>
    <w:pPr>
      <w:spacing w:after="300"/>
    </w:pPr>
    <w:rPr>
      <w:u w:val="single"/>
    </w:rPr>
  </w:style>
  <w:style w:type="paragraph" w:customStyle="1" w:styleId="Penitem">
    <w:name w:val="Penitem"/>
    <w:pPr>
      <w:tabs>
        <w:tab w:val="right" w:pos="3119"/>
        <w:tab w:val="left" w:pos="3402"/>
      </w:tabs>
      <w:spacing w:before="80" w:line="260" w:lineRule="atLeast"/>
      <w:ind w:left="3402" w:hanging="3402"/>
    </w:pPr>
    <w:rPr>
      <w:sz w:val="24"/>
      <w:lang w:eastAsia="en-US"/>
    </w:rPr>
  </w:style>
  <w:style w:type="paragraph" w:customStyle="1" w:styleId="Pensubpara">
    <w:name w:val="Pensubpara"/>
    <w:pPr>
      <w:tabs>
        <w:tab w:val="right" w:pos="2325"/>
        <w:tab w:val="left" w:pos="2608"/>
      </w:tabs>
      <w:spacing w:before="80" w:line="260" w:lineRule="atLeast"/>
      <w:ind w:left="2608" w:hanging="2608"/>
    </w:pPr>
    <w:rPr>
      <w:sz w:val="24"/>
      <w:lang w:eastAsia="en-US"/>
    </w:r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paragraph" w:customStyle="1" w:styleId="PrincipalActReg">
    <w:name w:val="PrincipalAct_Reg"/>
    <w:pPr>
      <w:spacing w:after="480"/>
      <w:jc w:val="center"/>
    </w:pPr>
    <w:rPr>
      <w:sz w:val="24"/>
      <w:lang w:eastAsia="en-US"/>
    </w:rPr>
  </w:style>
  <w:style w:type="paragraph" w:customStyle="1" w:styleId="Repealed">
    <w:name w:val="Repealed"/>
    <w:basedOn w:val="Heading5"/>
    <w:rPr>
      <w:b w:val="0"/>
      <w:i/>
    </w:rPr>
  </w:style>
  <w:style w:type="paragraph" w:styleId="Salutation">
    <w:name w:val="Salutation"/>
    <w:basedOn w:val="Normal"/>
    <w:next w:val="Normal"/>
    <w:semiHidden/>
  </w:style>
  <w:style w:type="paragraph" w:customStyle="1" w:styleId="SectionNumbers">
    <w:name w:val="SectionNumbers"/>
    <w:basedOn w:val="Normal"/>
    <w:pPr>
      <w:tabs>
        <w:tab w:val="num" w:pos="0"/>
        <w:tab w:val="right" w:pos="1152"/>
      </w:tabs>
      <w:spacing w:line="260" w:lineRule="atLeast"/>
    </w:pPr>
  </w:style>
  <w:style w:type="paragraph" w:customStyle="1" w:styleId="ShortT">
    <w:name w:val="ShortT"/>
    <w:basedOn w:val="Normal"/>
    <w:next w:val="Normal"/>
    <w:pPr>
      <w:spacing w:before="800"/>
      <w:jc w:val="center"/>
    </w:pPr>
    <w:rPr>
      <w:b/>
      <w:snapToGrid w:val="0"/>
      <w:sz w:val="38"/>
    </w:rPr>
  </w:style>
  <w:style w:type="paragraph" w:styleId="Signature">
    <w:name w:val="Signature"/>
    <w:basedOn w:val="Normal"/>
    <w:semiHidden/>
    <w:pPr>
      <w:ind w:left="4252"/>
    </w:pPr>
  </w:style>
  <w:style w:type="character" w:styleId="Strong">
    <w:name w:val="Strong"/>
    <w:basedOn w:val="DefaultParagraphFont"/>
    <w:qFormat/>
    <w:rPr>
      <w:b/>
      <w:sz w:val="24"/>
    </w:rPr>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semiHidden/>
    <w:pPr>
      <w:keepNext/>
      <w:spacing w:before="120" w:after="60"/>
      <w:ind w:left="1985" w:right="1134" w:hanging="567"/>
    </w:pPr>
    <w:rPr>
      <w:b/>
      <w:noProof/>
      <w:sz w:val="28"/>
      <w:lang w:eastAsia="en-US"/>
    </w:rPr>
  </w:style>
  <w:style w:type="paragraph" w:styleId="TOC3">
    <w:name w:val="toc 3"/>
    <w:next w:val="Normal"/>
    <w:semiHidden/>
    <w:pPr>
      <w:keepNext/>
      <w:spacing w:before="120" w:after="60"/>
      <w:ind w:left="1985" w:right="1134" w:hanging="567"/>
    </w:pPr>
    <w:rPr>
      <w:rFonts w:ascii="Helvetica" w:hAnsi="Helvetica"/>
      <w:b/>
      <w:noProof/>
      <w:sz w:val="18"/>
      <w:lang w:eastAsia="en-US"/>
    </w:rPr>
  </w:style>
  <w:style w:type="paragraph" w:styleId="TOC4">
    <w:name w:val="toc 4"/>
    <w:next w:val="Normal"/>
    <w:semiHidden/>
    <w:pPr>
      <w:keepNext/>
      <w:spacing w:before="60" w:after="20"/>
      <w:ind w:left="1985" w:right="1134" w:hanging="567"/>
    </w:pPr>
    <w:rPr>
      <w:b/>
      <w:noProof/>
      <w:sz w:val="22"/>
      <w:lang w:eastAsia="en-US"/>
    </w:rPr>
  </w:style>
  <w:style w:type="paragraph" w:styleId="TOC5">
    <w:name w:val="toc 5"/>
    <w:next w:val="Normal"/>
    <w:semiHidden/>
    <w:pPr>
      <w:keepNext/>
      <w:spacing w:before="60" w:after="20"/>
      <w:ind w:left="1985" w:right="1134" w:hanging="567"/>
    </w:pPr>
    <w:rPr>
      <w:rFonts w:ascii="Helvetica" w:hAnsi="Helvetica"/>
      <w:b/>
      <w:noProof/>
      <w:sz w:val="18"/>
      <w:lang w:eastAsia="en-US"/>
    </w:rPr>
  </w:style>
  <w:style w:type="paragraph" w:styleId="TOC6">
    <w:name w:val="toc 6"/>
    <w:next w:val="Normal"/>
    <w:semiHidden/>
    <w:pPr>
      <w:keepNext/>
      <w:spacing w:before="60" w:after="20"/>
      <w:ind w:left="1985" w:right="1134" w:hanging="567"/>
    </w:pPr>
    <w:rPr>
      <w:b/>
      <w:noProof/>
      <w:lang w:eastAsia="en-US"/>
    </w:rPr>
  </w:style>
  <w:style w:type="paragraph" w:styleId="TOC7">
    <w:name w:val="toc 7"/>
    <w:next w:val="Normal"/>
    <w:semiHidden/>
    <w:pPr>
      <w:keepNext/>
      <w:spacing w:before="60" w:after="20"/>
      <w:ind w:left="1985" w:right="1134" w:hanging="567"/>
    </w:pPr>
    <w:rPr>
      <w:rFonts w:ascii="Helvetica" w:hAnsi="Helvetica"/>
      <w:b/>
      <w:sz w:val="18"/>
      <w:lang w:eastAsia="en-US"/>
    </w:rPr>
  </w:style>
  <w:style w:type="paragraph" w:styleId="TOC8">
    <w:name w:val="toc 8"/>
    <w:next w:val="Normal"/>
    <w:semiHidden/>
    <w:pPr>
      <w:tabs>
        <w:tab w:val="left" w:pos="1418"/>
        <w:tab w:val="right" w:pos="6804"/>
      </w:tabs>
      <w:ind w:left="1418" w:right="1134" w:hanging="851"/>
    </w:pPr>
    <w:rPr>
      <w:noProof/>
      <w:sz w:val="22"/>
      <w:lang w:eastAsia="en-US"/>
    </w:rPr>
  </w:style>
  <w:style w:type="paragraph" w:styleId="TOC9">
    <w:name w:val="toc 9"/>
    <w:next w:val="Normal"/>
    <w:semiHidden/>
    <w:pPr>
      <w:tabs>
        <w:tab w:val="left" w:pos="2268"/>
        <w:tab w:val="right" w:pos="6237"/>
      </w:tabs>
      <w:ind w:left="2269" w:right="1418" w:hanging="851"/>
    </w:pPr>
    <w:rPr>
      <w:rFonts w:ascii="Helvetica" w:hAnsi="Helvetica"/>
      <w:sz w:val="18"/>
      <w:lang w:eastAsia="en-US"/>
    </w:rPr>
  </w:style>
  <w:style w:type="paragraph" w:customStyle="1" w:styleId="yDefitem">
    <w:name w:val="yDefitem"/>
    <w:basedOn w:val="Defitem"/>
    <w:pPr>
      <w:spacing w:line="240" w:lineRule="auto"/>
    </w:pPr>
    <w:rPr>
      <w:sz w:val="22"/>
    </w:r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ection">
    <w:name w:val="yEdnote(section)"/>
    <w:basedOn w:val="Ednotesection"/>
    <w:pPr>
      <w:spacing w:line="240" w:lineRule="auto"/>
      <w:ind w:left="890" w:hanging="890"/>
    </w:pPr>
    <w:rPr>
      <w:sz w:val="22"/>
    </w:rPr>
  </w:style>
  <w:style w:type="paragraph" w:customStyle="1" w:styleId="yEdnotesubitem">
    <w:name w:val="yEdnote(subitem)"/>
    <w:basedOn w:val="Ednotesubitem"/>
    <w:pPr>
      <w:spacing w:line="240" w:lineRule="auto"/>
    </w:pPr>
    <w:rPr>
      <w:sz w:val="22"/>
    </w:rPr>
  </w:style>
  <w:style w:type="paragraph" w:customStyle="1" w:styleId="yEdnotesubpara">
    <w:name w:val="yEdnote(subpara)"/>
    <w:basedOn w:val="Ednotesubpara"/>
    <w:pPr>
      <w:spacing w:line="240" w:lineRule="auto"/>
    </w:pPr>
    <w:rPr>
      <w:sz w:val="22"/>
    </w:rPr>
  </w:style>
  <w:style w:type="paragraph" w:customStyle="1" w:styleId="yFootnoteheading">
    <w:name w:val="yFootnote(heading)"/>
    <w:basedOn w:val="Footnoteheading"/>
    <w:pPr>
      <w:spacing w:line="240" w:lineRule="auto"/>
    </w:pPr>
    <w:rPr>
      <w:sz w:val="22"/>
    </w:rPr>
  </w:style>
  <w:style w:type="paragraph" w:customStyle="1" w:styleId="yFootnotesection">
    <w:name w:val="yFootnote(section)"/>
    <w:basedOn w:val="Footnotesection"/>
    <w:pPr>
      <w:spacing w:line="240" w:lineRule="auto"/>
      <w:ind w:left="890" w:hanging="890"/>
    </w:pPr>
    <w:rPr>
      <w:sz w:val="22"/>
    </w:rPr>
  </w:style>
  <w:style w:type="paragraph" w:customStyle="1" w:styleId="yHeading1">
    <w:name w:val="yHeading 1"/>
    <w:basedOn w:val="Heading1"/>
    <w:pPr>
      <w:spacing w:line="240" w:lineRule="auto"/>
    </w:pPr>
    <w:rPr>
      <w:sz w:val="32"/>
    </w:rPr>
  </w:style>
  <w:style w:type="paragraph" w:customStyle="1" w:styleId="yHeading2">
    <w:name w:val="yHeading 2"/>
    <w:basedOn w:val="Heading2"/>
    <w:pPr>
      <w:pageBreakBefore w:val="0"/>
      <w:spacing w:before="240" w:line="240" w:lineRule="auto"/>
    </w:pPr>
    <w:rPr>
      <w:sz w:val="28"/>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yPenitem">
    <w:name w:val="yPenitem"/>
    <w:basedOn w:val="Penitem"/>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tart">
    <w:name w:val="yPenstart"/>
    <w:basedOn w:val="Penstart"/>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ScheduleHeading">
    <w:name w:val="yScheduleHeading"/>
    <w:basedOn w:val="yHeading2"/>
    <w:pPr>
      <w:pageBreakBefore/>
      <w:spacing w:before="0"/>
    </w:pPr>
  </w:style>
  <w:style w:type="paragraph" w:customStyle="1" w:styleId="yShoulderClause">
    <w:name w:val="yShoulderClause"/>
    <w:next w:val="ySubsection"/>
    <w:pPr>
      <w:spacing w:before="120"/>
      <w:jc w:val="right"/>
    </w:pPr>
    <w:rPr>
      <w:sz w:val="22"/>
      <w:lang w:eastAsia="en-US"/>
    </w:rPr>
  </w:style>
  <w:style w:type="paragraph" w:customStyle="1" w:styleId="ySubsection">
    <w:name w:val="ySubsection"/>
    <w:basedOn w:val="Subsection"/>
    <w:pPr>
      <w:spacing w:line="240" w:lineRule="auto"/>
    </w:pPr>
    <w:rPr>
      <w:sz w:val="22"/>
    </w:rPr>
  </w:style>
  <w:style w:type="paragraph" w:customStyle="1" w:styleId="yTable">
    <w:name w:val="yTable"/>
    <w:basedOn w:val="Table"/>
    <w:pPr>
      <w:spacing w:line="240" w:lineRule="auto"/>
    </w:pPr>
  </w:style>
  <w:style w:type="paragraph" w:customStyle="1" w:styleId="zDefitem">
    <w:name w:val="zDefitem"/>
    <w:basedOn w:val="Normal"/>
    <w:pPr>
      <w:tabs>
        <w:tab w:val="right" w:pos="3459"/>
        <w:tab w:val="left" w:pos="3771"/>
      </w:tabs>
      <w:spacing w:before="80" w:line="260" w:lineRule="atLeast"/>
      <w:ind w:left="3686" w:right="284" w:hanging="851"/>
    </w:pPr>
  </w:style>
  <w:style w:type="paragraph" w:customStyle="1" w:styleId="zHeading1">
    <w:name w:val="zHeading 1"/>
    <w:basedOn w:val="Heading1"/>
    <w:pPr>
      <w:ind w:left="567" w:right="284"/>
      <w:outlineLvl w:val="9"/>
    </w:pPr>
  </w:style>
  <w:style w:type="paragraph" w:customStyle="1" w:styleId="zMiscellaneousBody">
    <w:name w:val="zMiscellaneousBody"/>
    <w:basedOn w:val="Normal"/>
    <w:pPr>
      <w:spacing w:before="160" w:line="260" w:lineRule="atLeast"/>
      <w:ind w:left="567" w:right="284"/>
    </w:pPr>
  </w:style>
  <w:style w:type="paragraph" w:customStyle="1" w:styleId="zMiscellaneousHeading">
    <w:name w:val="zMiscellaneousHeading"/>
    <w:basedOn w:val="MiscellaneousHeading"/>
    <w:pPr>
      <w:ind w:left="567" w:right="284"/>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yDefitem">
    <w:name w:val="zyDefitem"/>
    <w:basedOn w:val="zDefitem"/>
    <w:pPr>
      <w:spacing w:line="240" w:lineRule="auto"/>
    </w:pPr>
    <w:rPr>
      <w:sz w:val="22"/>
    </w:r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customStyle="1" w:styleId="zySubsection">
    <w:name w:val="zySubsection"/>
    <w:basedOn w:val="zSubsection"/>
    <w:pPr>
      <w:spacing w:line="240" w:lineRule="auto"/>
    </w:pPr>
    <w:rPr>
      <w:sz w:val="22"/>
    </w:rPr>
  </w:style>
  <w:style w:type="paragraph" w:styleId="Header">
    <w:name w:val="header"/>
    <w:basedOn w:val="Normal"/>
    <w:next w:val="Heading5"/>
    <w:semiHidden/>
    <w:pPr>
      <w:tabs>
        <w:tab w:val="center" w:pos="4153"/>
        <w:tab w:val="right" w:pos="8306"/>
      </w:tabs>
      <w:spacing w:line="260" w:lineRule="atLeast"/>
    </w:pPr>
    <w:rPr>
      <w:rFonts w:ascii="NewCenturySchlbk" w:hAnsi="NewCenturySchlbk"/>
    </w:rPr>
  </w:style>
  <w:style w:type="character" w:customStyle="1" w:styleId="CharDefText">
    <w:name w:val="CharDefText"/>
    <w:basedOn w:val="DefaultParagraphFont"/>
    <w:rPr>
      <w:b/>
      <w:i/>
    </w:rPr>
  </w:style>
  <w:style w:type="paragraph" w:customStyle="1" w:styleId="ByCommand">
    <w:name w:val="ByCommand"/>
    <w:basedOn w:val="Normal"/>
    <w:pPr>
      <w:tabs>
        <w:tab w:val="left" w:pos="4536"/>
      </w:tabs>
      <w:spacing w:before="240"/>
    </w:pPr>
  </w:style>
  <w:style w:type="paragraph" w:customStyle="1" w:styleId="DraftNo">
    <w:name w:val="DraftNo"/>
    <w:basedOn w:val="WA"/>
    <w:pPr>
      <w:spacing w:before="120" w:after="120"/>
    </w:pPr>
  </w:style>
  <w:style w:type="character" w:customStyle="1" w:styleId="CharSchText">
    <w:name w:val="CharSchText"/>
    <w:rPr>
      <w:noProof w:val="0"/>
      <w:lang w:val="en-AU"/>
    </w:rPr>
  </w:style>
  <w:style w:type="paragraph" w:customStyle="1" w:styleId="NotesPerm">
    <w:name w:val="NotesPerm"/>
    <w:basedOn w:val="Normal"/>
    <w:pPr>
      <w:tabs>
        <w:tab w:val="left" w:pos="879"/>
      </w:tabs>
      <w:spacing w:before="160"/>
      <w:ind w:left="879" w:hanging="879"/>
    </w:pPr>
    <w:rPr>
      <w:rFonts w:ascii="Arial" w:hAnsi="Arial"/>
      <w:sz w:val="18"/>
    </w:rPr>
  </w:style>
  <w:style w:type="paragraph" w:customStyle="1" w:styleId="DefinedTerms">
    <w:name w:val="Defined Terms"/>
    <w:pPr>
      <w:tabs>
        <w:tab w:val="right" w:leader="dot" w:pos="7070"/>
      </w:tabs>
      <w:ind w:left="578" w:right="578"/>
    </w:pPr>
    <w:rPr>
      <w:lang w:eastAsia="en-US"/>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otesPerm2">
    <w:name w:val="NotesPerm(2)"/>
    <w:basedOn w:val="NotesPerm"/>
    <w:pPr>
      <w:numPr>
        <w:numId w:val="12"/>
      </w:numPr>
      <w:tabs>
        <w:tab w:val="clear" w:pos="879"/>
      </w:tabs>
    </w:pPr>
  </w:style>
  <w:style w:type="paragraph" w:customStyle="1" w:styleId="nzMiscellaneousBody">
    <w:name w:val="nzMiscellaneous Body"/>
    <w:basedOn w:val="zMiscellaneousBody"/>
    <w:pPr>
      <w:spacing w:before="80" w:line="240" w:lineRule="auto"/>
    </w:pPr>
    <w:rPr>
      <w:sz w:val="20"/>
    </w:r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yMiscellaneousHeading">
    <w:name w:val="yMiscellaneous Heading"/>
    <w:basedOn w:val="MiscellaneousHeading"/>
    <w:pPr>
      <w:spacing w:line="240" w:lineRule="auto"/>
    </w:pPr>
    <w:rPr>
      <w:sz w:val="22"/>
    </w:rPr>
  </w:style>
  <w:style w:type="paragraph" w:customStyle="1" w:styleId="zTablet">
    <w:name w:val="zTable t"/>
    <w:basedOn w:val="Table"/>
  </w:style>
  <w:style w:type="paragraph" w:customStyle="1" w:styleId="zyMiscellaneousBody">
    <w:name w:val="zyMiscellaneous Body"/>
    <w:basedOn w:val="zMiscellaneousBody"/>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character" w:customStyle="1" w:styleId="CharSClsNo">
    <w:name w:val="CharSClsNo"/>
    <w:basedOn w:val="DefaultParagraphFont"/>
    <w:rPr>
      <w:sz w:val="22"/>
      <w:lang w:val="en-AU"/>
    </w:rPr>
  </w:style>
  <w:style w:type="character" w:customStyle="1" w:styleId="CharSDivNo">
    <w:name w:val="CharSDivNo"/>
    <w:basedOn w:val="DefaultParagraphFont"/>
    <w:rPr>
      <w:sz w:val="24"/>
      <w:lang w:val="en-AU"/>
    </w:rPr>
  </w:style>
  <w:style w:type="character" w:customStyle="1" w:styleId="CharSDivText">
    <w:name w:val="CharSDivText"/>
    <w:basedOn w:val="DefaultParagraphFont"/>
    <w:rPr>
      <w:sz w:val="24"/>
    </w:rPr>
  </w:style>
  <w:style w:type="paragraph" w:customStyle="1" w:styleId="BlankOpen">
    <w:name w:val="BlankOpen"/>
    <w:basedOn w:val="Normal"/>
    <w:pPr>
      <w:keepNext/>
      <w:keepLines/>
      <w:jc w:val="center"/>
    </w:pPr>
    <w:rPr>
      <w:szCs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pPr>
      <w:outlineLvl w:val="0"/>
    </w:pPr>
    <w:rPr>
      <w:b/>
      <w:noProof/>
      <w:sz w:val="28"/>
      <w:lang w:eastAsia="en-US"/>
    </w:rPr>
  </w:style>
  <w:style w:type="paragraph" w:customStyle="1" w:styleId="TableAm">
    <w:name w:val="TableAm"/>
    <w:basedOn w:val="Normal"/>
    <w:pPr>
      <w:tabs>
        <w:tab w:val="left" w:pos="567"/>
      </w:tabs>
      <w:spacing w:before="120"/>
    </w:pPr>
  </w:style>
  <w:style w:type="paragraph" w:customStyle="1" w:styleId="TableAmNote">
    <w:name w:val="TableAmNote"/>
    <w:basedOn w:val="NotesPerm"/>
    <w:pPr>
      <w:tabs>
        <w:tab w:val="clear" w:pos="879"/>
        <w:tab w:val="left" w:pos="567"/>
      </w:tabs>
      <w:spacing w:before="60"/>
      <w:ind w:left="0" w:firstLine="0"/>
    </w:pPr>
  </w:style>
  <w:style w:type="paragraph" w:customStyle="1" w:styleId="yEdnotedefitem">
    <w:name w:val="yEdnote(defitem)"/>
    <w:basedOn w:val="Ednotedefitem"/>
    <w:rPr>
      <w:i/>
      <w:sz w:val="22"/>
    </w:rPr>
  </w:style>
  <w:style w:type="paragraph" w:customStyle="1" w:styleId="yEdnotedefpara">
    <w:name w:val="yEdnote(defpara)"/>
    <w:basedOn w:val="Ednotedefpara"/>
    <w:rPr>
      <w:i/>
      <w:sz w:val="22"/>
    </w:rPr>
  </w:style>
  <w:style w:type="paragraph" w:customStyle="1" w:styleId="yEdnotedefsubpara">
    <w:name w:val="yEdnote(defsubpara)"/>
    <w:basedOn w:val="Ednotedefsubpara"/>
    <w:rPr>
      <w:i/>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TableNAm">
    <w:name w:val="TableNAm"/>
    <w:basedOn w:val="TableAm"/>
  </w:style>
  <w:style w:type="paragraph" w:customStyle="1" w:styleId="THeading">
    <w:name w:val="THeading"/>
    <w:pPr>
      <w:keepNext/>
      <w:spacing w:before="160" w:after="60" w:line="260" w:lineRule="atLeast"/>
      <w:jc w:val="center"/>
    </w:pPr>
    <w:rPr>
      <w:b/>
      <w:bCs/>
      <w:sz w:val="24"/>
      <w:lang w:eastAsia="en-US"/>
    </w:rPr>
  </w:style>
  <w:style w:type="paragraph" w:customStyle="1" w:styleId="THeadingAmNote">
    <w:name w:val="THeadingAmNote"/>
    <w:basedOn w:val="THeading"/>
    <w:pPr>
      <w:spacing w:line="240" w:lineRule="auto"/>
    </w:pPr>
    <w:rPr>
      <w:rFonts w:ascii="Arial" w:hAnsi="Arial"/>
      <w:bCs w:val="0"/>
      <w:sz w:val="18"/>
    </w:rPr>
  </w:style>
  <w:style w:type="paragraph" w:customStyle="1" w:styleId="THeadingNAm">
    <w:name w:val="THeadingNAm"/>
    <w:basedOn w:val="THeading"/>
    <w:pPr>
      <w:ind w:left="879" w:right="142"/>
    </w:pPr>
  </w:style>
  <w:style w:type="paragraph" w:customStyle="1" w:styleId="yTableNAm">
    <w:name w:val="yTableNAm"/>
    <w:basedOn w:val="TableAm"/>
    <w:rPr>
      <w:sz w:val="22"/>
    </w:rPr>
  </w:style>
  <w:style w:type="paragraph" w:customStyle="1" w:styleId="yTHeadingNAm">
    <w:name w:val="yTHeadingNAm"/>
    <w:basedOn w:val="THeading"/>
    <w:pPr>
      <w:ind w:left="142" w:right="142"/>
    </w:pPr>
    <w:rPr>
      <w:sz w:val="22"/>
    </w:rPr>
  </w:style>
  <w:style w:type="paragraph" w:customStyle="1" w:styleId="zTableNAm">
    <w:name w:val="zTableNAm"/>
    <w:basedOn w:val="TableAm"/>
  </w:style>
  <w:style w:type="paragraph" w:customStyle="1" w:styleId="zTHeadingNAm">
    <w:name w:val="zTHeadingNAm"/>
    <w:basedOn w:val="THeading"/>
    <w:pPr>
      <w:ind w:left="1446" w:right="142"/>
    </w:pPr>
  </w:style>
  <w:style w:type="paragraph" w:customStyle="1" w:styleId="zyTableNAm">
    <w:name w:val="zyTableNAm"/>
    <w:basedOn w:val="TableAm"/>
    <w:rPr>
      <w:sz w:val="22"/>
    </w:rPr>
  </w:style>
  <w:style w:type="paragraph" w:customStyle="1" w:styleId="zyTHeadingNAm">
    <w:name w:val="zyTHeadingNAm"/>
    <w:basedOn w:val="THeading"/>
    <w:pPr>
      <w:ind w:left="709" w:right="142"/>
    </w:pPr>
    <w:rPr>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lang w:eastAsia="en-US"/>
    </w:rPr>
  </w:style>
  <w:style w:type="paragraph" w:styleId="Heading1">
    <w:name w:val="heading 1"/>
    <w:next w:val="Heading2"/>
    <w:qFormat/>
    <w:pPr>
      <w:keepNext/>
      <w:keepLines/>
      <w:pageBreakBefore/>
      <w:spacing w:before="320" w:line="260" w:lineRule="atLeast"/>
      <w:jc w:val="center"/>
      <w:outlineLvl w:val="0"/>
    </w:pPr>
    <w:rPr>
      <w:b/>
      <w:kern w:val="28"/>
      <w:sz w:val="34"/>
      <w:lang w:eastAsia="en-US"/>
    </w:rPr>
  </w:style>
  <w:style w:type="paragraph" w:styleId="Heading2">
    <w:name w:val="heading 2"/>
    <w:next w:val="Heading3"/>
    <w:qFormat/>
    <w:pPr>
      <w:keepNext/>
      <w:pageBreakBefore/>
      <w:spacing w:line="260" w:lineRule="atLeast"/>
      <w:jc w:val="center"/>
      <w:outlineLvl w:val="1"/>
    </w:pPr>
    <w:rPr>
      <w:b/>
      <w:snapToGrid w:val="0"/>
      <w:sz w:val="30"/>
      <w:lang w:eastAsia="en-US"/>
    </w:rPr>
  </w:style>
  <w:style w:type="paragraph" w:styleId="Heading3">
    <w:name w:val="heading 3"/>
    <w:next w:val="Heading4"/>
    <w:qFormat/>
    <w:pPr>
      <w:keepNext/>
      <w:spacing w:before="240" w:line="260" w:lineRule="atLeast"/>
      <w:jc w:val="center"/>
      <w:outlineLvl w:val="2"/>
    </w:pPr>
    <w:rPr>
      <w:b/>
      <w:sz w:val="26"/>
      <w:lang w:eastAsia="en-US"/>
    </w:rPr>
  </w:style>
  <w:style w:type="paragraph" w:styleId="Heading4">
    <w:name w:val="heading 4"/>
    <w:next w:val="Heading5"/>
    <w:qFormat/>
    <w:pPr>
      <w:keepNext/>
      <w:spacing w:before="240"/>
      <w:jc w:val="center"/>
      <w:outlineLvl w:val="3"/>
    </w:pPr>
    <w:rPr>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b/>
      <w:sz w:val="24"/>
      <w:lang w:eastAsia="en-US"/>
    </w:rPr>
  </w:style>
  <w:style w:type="paragraph" w:styleId="Heading6">
    <w:name w:val="heading 6"/>
    <w:next w:val="Normal"/>
    <w:qFormat/>
    <w:pPr>
      <w:keepNext/>
      <w:spacing w:before="240"/>
      <w:jc w:val="center"/>
      <w:outlineLvl w:val="5"/>
    </w:pPr>
    <w:rPr>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leteClose">
    <w:name w:val="DeleteClose"/>
    <w:basedOn w:val="Normal"/>
    <w:pPr>
      <w:keepLines/>
      <w:jc w:val="center"/>
    </w:pPr>
    <w:rPr>
      <w:szCs w:val="24"/>
    </w:rPr>
  </w:style>
  <w:style w:type="paragraph" w:customStyle="1" w:styleId="ABillFor">
    <w:name w:val="ABillFor"/>
    <w:basedOn w:val="Normal"/>
    <w:pPr>
      <w:spacing w:before="240" w:after="600"/>
      <w:jc w:val="center"/>
    </w:pPr>
    <w:rPr>
      <w:b/>
    </w:rPr>
  </w:style>
  <w:style w:type="paragraph" w:customStyle="1" w:styleId="NameofActReg">
    <w:name w:val="Name of Act/Reg"/>
    <w:next w:val="Normal"/>
    <w:pPr>
      <w:spacing w:before="480" w:after="600"/>
      <w:jc w:val="center"/>
    </w:pPr>
    <w:rPr>
      <w:b/>
      <w:snapToGrid w:val="0"/>
      <w:sz w:val="34"/>
      <w:lang w:eastAsia="en-US"/>
    </w:rPr>
  </w:style>
  <w:style w:type="paragraph" w:customStyle="1" w:styleId="Actno">
    <w:name w:val="Actno"/>
    <w:basedOn w:val="NameofActReg"/>
    <w:next w:val="Normal"/>
    <w:autoRedefine/>
    <w:pPr>
      <w:spacing w:before="500"/>
    </w:pPr>
    <w:rPr>
      <w:sz w:val="26"/>
    </w:rPr>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sz w:val="24"/>
      <w:lang w:eastAsia="en-US"/>
    </w:rPr>
  </w:style>
  <w:style w:type="paragraph" w:customStyle="1" w:styleId="AssentNote">
    <w:name w:val="Assent Note"/>
    <w:pPr>
      <w:keepLines/>
      <w:spacing w:before="160" w:after="240"/>
      <w:jc w:val="right"/>
    </w:pPr>
    <w:rPr>
      <w:i/>
      <w:snapToGrid w:val="0"/>
      <w:sz w:val="24"/>
      <w:lang w:eastAsia="en-US"/>
    </w:rPr>
  </w:style>
  <w:style w:type="paragraph" w:styleId="BlockText">
    <w:name w:val="Block Text"/>
    <w:basedOn w:val="Normal"/>
    <w:semiHidden/>
    <w:pPr>
      <w:spacing w:after="120"/>
      <w:ind w:left="1440" w:right="1440"/>
    </w:pPr>
  </w:style>
  <w:style w:type="paragraph" w:styleId="BodyText">
    <w:name w:val="Body Text"/>
    <w:basedOn w:val="Normal"/>
    <w:semiHidden/>
    <w:pPr>
      <w:spacing w:after="120"/>
    </w:pPr>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8"/>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WA">
    <w:name w:val="WA"/>
    <w:pPr>
      <w:spacing w:after="720"/>
      <w:jc w:val="center"/>
    </w:pPr>
    <w:rPr>
      <w:sz w:val="24"/>
      <w:lang w:eastAsia="en-US"/>
    </w:rPr>
  </w:style>
  <w:style w:type="paragraph" w:customStyle="1" w:styleId="Subsection">
    <w:name w:val="Subsection"/>
    <w:pPr>
      <w:tabs>
        <w:tab w:val="right" w:pos="595"/>
        <w:tab w:val="left" w:pos="879"/>
      </w:tabs>
      <w:spacing w:before="160" w:line="260" w:lineRule="atLeast"/>
      <w:ind w:left="879" w:hanging="879"/>
    </w:pPr>
    <w:rPr>
      <w:sz w:val="24"/>
      <w:lang w:eastAsia="en-US"/>
    </w:rPr>
  </w:style>
  <w:style w:type="paragraph" w:styleId="BodyTextIndent3">
    <w:name w:val="Body Text Indent 3"/>
    <w:basedOn w:val="Normal"/>
    <w:semiHidden/>
    <w:pPr>
      <w:spacing w:after="120"/>
      <w:ind w:left="283"/>
    </w:pPr>
    <w:rPr>
      <w:sz w:val="18"/>
    </w:rPr>
  </w:style>
  <w:style w:type="paragraph" w:styleId="Caption">
    <w:name w:val="caption"/>
    <w:basedOn w:val="Normal"/>
    <w:next w:val="Normal"/>
    <w:qFormat/>
    <w:pPr>
      <w:spacing w:before="120" w:after="120"/>
    </w:pPr>
    <w:rPr>
      <w:b/>
    </w:rPr>
  </w:style>
  <w:style w:type="paragraph" w:customStyle="1" w:styleId="CentredBaseLine">
    <w:name w:val="CentredBaseLine"/>
    <w:pPr>
      <w:suppressLineNumbers/>
      <w:spacing w:before="240"/>
    </w:pPr>
    <w:rPr>
      <w:lang w:eastAsia="en-US"/>
    </w:rPr>
  </w:style>
  <w:style w:type="character" w:customStyle="1" w:styleId="CharChapNo">
    <w:name w:val="CharChapNo"/>
    <w:rPr>
      <w:noProof w:val="0"/>
      <w:lang w:val="en-AU"/>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geNo">
    <w:name w:val="CharPageNo"/>
    <w:rPr>
      <w:noProof w:val="0"/>
      <w:sz w:val="2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character" w:customStyle="1" w:styleId="CharProduced">
    <w:name w:val="CharProduced"/>
    <w:rPr>
      <w:noProof w:val="0"/>
      <w:spacing w:val="-3"/>
      <w:lang w:val="en-AU"/>
    </w:rPr>
  </w:style>
  <w:style w:type="character" w:customStyle="1" w:styleId="CharSchNo">
    <w:name w:val="CharSchNo"/>
    <w:rPr>
      <w:noProof w:val="0"/>
      <w:lang w:val="en-AU"/>
    </w:rPr>
  </w:style>
  <w:style w:type="character" w:customStyle="1" w:styleId="CharSectno">
    <w:name w:val="CharSectno"/>
    <w:rPr>
      <w:noProof w:val="0"/>
      <w:lang w:val="en-AU"/>
    </w:rPr>
  </w:style>
  <w:style w:type="paragraph" w:styleId="Closing">
    <w:name w:val="Closing"/>
    <w:basedOn w:val="Normal"/>
    <w:semiHidden/>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emiHidden/>
  </w:style>
  <w:style w:type="paragraph" w:customStyle="1" w:styleId="DefinitionNumbers">
    <w:name w:val="DefinitionNumbers"/>
    <w:basedOn w:val="Normal"/>
    <w:pPr>
      <w:numPr>
        <w:numId w:val="1"/>
      </w:numPr>
    </w:pPr>
  </w:style>
  <w:style w:type="paragraph" w:customStyle="1" w:styleId="Defitem">
    <w:name w:val="Defitem"/>
    <w:pPr>
      <w:tabs>
        <w:tab w:val="right" w:pos="2892"/>
        <w:tab w:val="left" w:pos="3204"/>
      </w:tabs>
      <w:spacing w:before="80" w:line="260" w:lineRule="atLeast"/>
      <w:ind w:left="3204" w:hanging="3204"/>
    </w:pPr>
    <w:rPr>
      <w:sz w:val="24"/>
      <w:lang w:eastAsia="en-US"/>
    </w:rPr>
  </w:style>
  <w:style w:type="paragraph" w:customStyle="1" w:styleId="Defpara">
    <w:name w:val="Defpara"/>
    <w:pPr>
      <w:tabs>
        <w:tab w:val="right" w:pos="1332"/>
        <w:tab w:val="left" w:pos="1616"/>
      </w:tabs>
      <w:spacing w:before="80" w:line="260" w:lineRule="atLeast"/>
      <w:ind w:left="1616" w:hanging="1616"/>
    </w:pPr>
    <w:rPr>
      <w:snapToGrid w:val="0"/>
      <w:sz w:val="24"/>
      <w:lang w:eastAsia="en-US"/>
    </w:rPr>
  </w:style>
  <w:style w:type="paragraph" w:customStyle="1" w:styleId="Defstart">
    <w:name w:val="Defstart"/>
    <w:pPr>
      <w:tabs>
        <w:tab w:val="left" w:pos="879"/>
      </w:tabs>
      <w:spacing w:before="80" w:line="260" w:lineRule="atLeast"/>
      <w:ind w:left="879" w:hanging="879"/>
    </w:pPr>
    <w:rPr>
      <w:snapToGrid w:val="0"/>
      <w:sz w:val="24"/>
      <w:lang w:eastAsia="en-US"/>
    </w:rPr>
  </w:style>
  <w:style w:type="paragraph" w:customStyle="1" w:styleId="Defsubpara">
    <w:name w:val="Defsubpara"/>
    <w:pPr>
      <w:keepLines/>
      <w:tabs>
        <w:tab w:val="right" w:pos="2041"/>
        <w:tab w:val="left" w:pos="2325"/>
      </w:tabs>
      <w:spacing w:before="80" w:line="260" w:lineRule="atLeast"/>
      <w:ind w:left="2325" w:hanging="2325"/>
    </w:pPr>
    <w:rPr>
      <w:sz w:val="24"/>
      <w:lang w:eastAsia="en-US"/>
    </w:rPr>
  </w:style>
  <w:style w:type="character" w:customStyle="1" w:styleId="DraftersNotes">
    <w:name w:val="DraftersNotes"/>
    <w:basedOn w:val="DefaultParagraphFont"/>
    <w:rPr>
      <w:b/>
      <w:i/>
      <w:sz w:val="20"/>
    </w:rPr>
  </w:style>
  <w:style w:type="paragraph" w:customStyle="1" w:styleId="Ednoteitem">
    <w:name w:val="Ednote(item)"/>
    <w:pPr>
      <w:tabs>
        <w:tab w:val="right" w:pos="2765"/>
        <w:tab w:val="left" w:pos="3053"/>
      </w:tabs>
      <w:spacing w:before="80" w:line="260" w:lineRule="atLeast"/>
      <w:ind w:left="3050" w:hanging="3050"/>
    </w:pPr>
    <w:rPr>
      <w:i/>
      <w:sz w:val="24"/>
      <w:lang w:eastAsia="en-US"/>
    </w:rPr>
  </w:style>
  <w:style w:type="paragraph" w:customStyle="1" w:styleId="Ednotedefitem">
    <w:name w:val="Ednote(defitem)"/>
    <w:basedOn w:val="Defitem"/>
  </w:style>
  <w:style w:type="paragraph" w:customStyle="1" w:styleId="Ednotepara">
    <w:name w:val="Ednote(para)"/>
    <w:pPr>
      <w:tabs>
        <w:tab w:val="right" w:pos="1325"/>
        <w:tab w:val="left" w:pos="1613"/>
      </w:tabs>
      <w:spacing w:before="120" w:line="260" w:lineRule="atLeast"/>
      <w:ind w:left="1613" w:hanging="1613"/>
    </w:pPr>
    <w:rPr>
      <w:i/>
      <w:sz w:val="24"/>
      <w:lang w:eastAsia="en-US"/>
    </w:rPr>
  </w:style>
  <w:style w:type="paragraph" w:customStyle="1" w:styleId="Ednotedefpara">
    <w:name w:val="Ednote(defpara)"/>
    <w:basedOn w:val="Defpara"/>
  </w:style>
  <w:style w:type="paragraph" w:customStyle="1" w:styleId="Ednotesubpara">
    <w:name w:val="Ednote(subpara)"/>
    <w:pPr>
      <w:tabs>
        <w:tab w:val="right" w:pos="2047"/>
        <w:tab w:val="left" w:pos="2333"/>
      </w:tabs>
      <w:spacing w:before="80" w:line="260" w:lineRule="atLeast"/>
      <w:ind w:left="2330" w:hanging="2330"/>
    </w:pPr>
    <w:rPr>
      <w:i/>
      <w:sz w:val="24"/>
      <w:lang w:eastAsia="en-US"/>
    </w:rPr>
  </w:style>
  <w:style w:type="paragraph" w:customStyle="1" w:styleId="Ednotedefsubpara">
    <w:name w:val="Ednote(defsubpara)"/>
    <w:basedOn w:val="Defsubpara"/>
  </w:style>
  <w:style w:type="paragraph" w:customStyle="1" w:styleId="Ednotepenitem">
    <w:name w:val="Ednote(penitem)"/>
    <w:basedOn w:val="Ednoteitem"/>
  </w:style>
  <w:style w:type="paragraph" w:customStyle="1" w:styleId="Ednotepenpara">
    <w:name w:val="Ednote(penpara)"/>
    <w:basedOn w:val="Ednotepara"/>
  </w:style>
  <w:style w:type="paragraph" w:customStyle="1" w:styleId="Ednotepensubpara">
    <w:name w:val="Ednote(pensubpara)"/>
    <w:basedOn w:val="Ednotesubpara"/>
  </w:style>
  <w:style w:type="paragraph" w:customStyle="1" w:styleId="Ednotesection">
    <w:name w:val="Ednote(section)"/>
    <w:pPr>
      <w:tabs>
        <w:tab w:val="left" w:pos="893"/>
      </w:tabs>
      <w:spacing w:before="220" w:line="260" w:lineRule="atLeast"/>
      <w:ind w:left="893" w:hanging="893"/>
      <w:outlineLvl w:val="4"/>
    </w:pPr>
    <w:rPr>
      <w:i/>
      <w:snapToGrid w:val="0"/>
      <w:sz w:val="24"/>
      <w:lang w:eastAsia="en-US"/>
    </w:rPr>
  </w:style>
  <w:style w:type="paragraph" w:customStyle="1" w:styleId="Ednotesubitem">
    <w:name w:val="Ednote(subitem)"/>
    <w:pPr>
      <w:tabs>
        <w:tab w:val="right" w:pos="3485"/>
        <w:tab w:val="left" w:pos="3773"/>
      </w:tabs>
      <w:spacing w:before="80" w:line="260" w:lineRule="atLeast"/>
      <w:ind w:left="3771" w:hanging="3771"/>
    </w:pPr>
    <w:rPr>
      <w:i/>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character" w:styleId="Emphasis">
    <w:name w:val="Emphasis"/>
    <w:basedOn w:val="DefaultParagraphFont"/>
    <w:qFormat/>
    <w:rPr>
      <w:i/>
      <w:sz w:val="24"/>
    </w:rPr>
  </w:style>
  <w:style w:type="paragraph" w:customStyle="1" w:styleId="Enactment">
    <w:name w:val="Enactment"/>
    <w:pPr>
      <w:spacing w:before="800"/>
    </w:pPr>
    <w:rPr>
      <w:sz w:val="24"/>
      <w:lang w:eastAsia="en-US"/>
    </w:rPr>
  </w:style>
  <w:style w:type="character" w:styleId="EndnoteReference">
    <w:name w:val="endnote reference"/>
    <w:basedOn w:val="DefaultParagraphFont"/>
    <w:semiHidden/>
    <w:rPr>
      <w:sz w:val="24"/>
      <w:vertAlign w:val="superscript"/>
    </w:rPr>
  </w:style>
  <w:style w:type="paragraph" w:styleId="EndnoteText">
    <w:name w:val="endnote text"/>
    <w:basedOn w:val="Normal"/>
    <w:semiHidden/>
    <w:pPr>
      <w:spacing w:after="40"/>
      <w:ind w:left="397" w:hanging="397"/>
    </w:pPr>
  </w:style>
  <w:style w:type="paragraph" w:styleId="EnvelopeAddress">
    <w:name w:val="envelope address"/>
    <w:basedOn w:val="Normal"/>
    <w:semiHidden/>
    <w:pPr>
      <w:framePr w:w="7920" w:h="1980" w:hRule="exact" w:hSpace="180" w:wrap="auto" w:hAnchor="page" w:xAlign="center" w:yAlign="bottom"/>
      <w:ind w:left="2880"/>
    </w:pPr>
    <w:rPr>
      <w:rFonts w:ascii="Arial" w:hAnsi="Arial"/>
      <w:sz w:val="26"/>
    </w:rPr>
  </w:style>
  <w:style w:type="paragraph" w:styleId="EnvelopeReturn">
    <w:name w:val="envelope return"/>
    <w:basedOn w:val="Normal"/>
    <w:semiHidden/>
    <w:rPr>
      <w:rFonts w:ascii="Arial" w:hAnsi="Arial"/>
    </w:rPr>
  </w:style>
  <w:style w:type="paragraph" w:customStyle="1" w:styleId="Equation">
    <w:name w:val="Equation"/>
    <w:rPr>
      <w:noProof/>
      <w:sz w:val="24"/>
      <w:lang w:eastAsia="en-US"/>
    </w:rPr>
  </w:style>
  <w:style w:type="character" w:styleId="FollowedHyperlink">
    <w:name w:val="FollowedHyperlink"/>
    <w:basedOn w:val="DefaultParagraphFont"/>
    <w:semiHidden/>
    <w:rPr>
      <w:color w:val="800080"/>
      <w:sz w:val="24"/>
      <w:u w:val="single"/>
    </w:rPr>
  </w:style>
  <w:style w:type="paragraph" w:styleId="Footer">
    <w:name w:val="footer"/>
    <w:basedOn w:val="Normal"/>
    <w:semiHidden/>
    <w:pPr>
      <w:tabs>
        <w:tab w:val="center" w:pos="4153"/>
        <w:tab w:val="right" w:pos="8306"/>
      </w:tabs>
      <w:spacing w:line="260" w:lineRule="atLeast"/>
    </w:pPr>
    <w:rPr>
      <w:rFonts w:ascii="Arial" w:hAnsi="Arial"/>
    </w:rPr>
  </w:style>
  <w:style w:type="paragraph" w:customStyle="1" w:styleId="FooterDisclaimer">
    <w:name w:val="Footer.Disclaimer"/>
    <w:pPr>
      <w:jc w:val="center"/>
    </w:pPr>
    <w:rPr>
      <w:rFonts w:ascii="Arial" w:hAnsi="Arial"/>
      <w:i/>
      <w:sz w:val="16"/>
      <w:lang w:eastAsia="en-US"/>
    </w:rPr>
  </w:style>
  <w:style w:type="paragraph" w:customStyle="1" w:styleId="FooterPageLeft">
    <w:name w:val="Footer.Page.Left"/>
    <w:pPr>
      <w:pBdr>
        <w:top w:val="single" w:sz="4" w:space="1" w:color="auto"/>
      </w:pBdr>
    </w:pPr>
    <w:rPr>
      <w:rFonts w:ascii="Arial" w:hAnsi="Arial"/>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styleId="FootnoteReference">
    <w:name w:val="footnote reference"/>
    <w:basedOn w:val="DefaultParagraphFont"/>
    <w:semiHidden/>
    <w:rPr>
      <w:sz w:val="24"/>
      <w:vertAlign w:val="superscript"/>
    </w:rPr>
  </w:style>
  <w:style w:type="paragraph" w:styleId="FootnoteText">
    <w:name w:val="footnote text"/>
    <w:basedOn w:val="Normal"/>
    <w:semiHidden/>
  </w:style>
  <w:style w:type="paragraph" w:customStyle="1" w:styleId="Footnoteheading">
    <w:name w:val="Footnote(heading)"/>
    <w:pPr>
      <w:tabs>
        <w:tab w:val="left" w:pos="879"/>
      </w:tabs>
      <w:spacing w:before="120" w:line="260" w:lineRule="atLeast"/>
      <w:ind w:left="879" w:hanging="879"/>
    </w:pPr>
    <w:rPr>
      <w:i/>
      <w:sz w:val="24"/>
      <w:lang w:eastAsia="en-US"/>
    </w:rPr>
  </w:style>
  <w:style w:type="paragraph" w:customStyle="1" w:styleId="Footnotesection">
    <w:name w:val="Footnote(section)"/>
    <w:pPr>
      <w:keepLines/>
      <w:tabs>
        <w:tab w:val="left" w:pos="893"/>
      </w:tabs>
      <w:spacing w:before="120" w:line="260" w:lineRule="atLeast"/>
      <w:ind w:left="893" w:hanging="893"/>
    </w:pPr>
    <w:rPr>
      <w:i/>
      <w:snapToGrid w:val="0"/>
      <w:sz w:val="24"/>
      <w:lang w:eastAsia="en-US"/>
    </w:rPr>
  </w:style>
  <w:style w:type="paragraph" w:customStyle="1" w:styleId="Graphics">
    <w:name w:val="Graphics"/>
    <w:basedOn w:val="Equation"/>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character" w:styleId="Hyperlink">
    <w:name w:val="Hyperlink"/>
    <w:basedOn w:val="DefaultParagraphFont"/>
    <w:semiHidden/>
    <w:rPr>
      <w:color w:val="0000FF"/>
      <w:sz w:val="24"/>
      <w:u w:val="single"/>
    </w:rPr>
  </w:style>
  <w:style w:type="paragraph" w:customStyle="1" w:styleId="Indenta">
    <w:name w:val="Indent(a)"/>
    <w:pPr>
      <w:tabs>
        <w:tab w:val="right" w:pos="1332"/>
        <w:tab w:val="left" w:pos="1616"/>
      </w:tabs>
      <w:spacing w:before="80" w:line="260" w:lineRule="atLeast"/>
      <w:ind w:left="1616" w:hanging="1616"/>
    </w:pPr>
    <w:rPr>
      <w:sz w:val="24"/>
      <w:lang w:eastAsia="en-US"/>
    </w:rPr>
  </w:style>
  <w:style w:type="paragraph" w:customStyle="1" w:styleId="IndentA0">
    <w:name w:val="Indent(A)"/>
    <w:pPr>
      <w:tabs>
        <w:tab w:val="right" w:pos="3686"/>
        <w:tab w:val="left" w:pos="3969"/>
      </w:tabs>
      <w:spacing w:before="80" w:line="260" w:lineRule="atLeast"/>
      <w:ind w:left="3969" w:hanging="3969"/>
    </w:pPr>
    <w:rPr>
      <w:sz w:val="24"/>
      <w:lang w:eastAsia="en-US"/>
    </w:rPr>
  </w:style>
  <w:style w:type="paragraph" w:customStyle="1" w:styleId="Indenti">
    <w:name w:val="Indent(i)"/>
    <w:pPr>
      <w:tabs>
        <w:tab w:val="right" w:pos="2041"/>
        <w:tab w:val="left" w:pos="2325"/>
      </w:tabs>
      <w:spacing w:before="80" w:line="260" w:lineRule="atLeast"/>
      <w:ind w:left="2325" w:hanging="2325"/>
    </w:pPr>
    <w:rPr>
      <w:sz w:val="24"/>
      <w:lang w:eastAsia="en-US"/>
    </w:rPr>
  </w:style>
  <w:style w:type="paragraph" w:customStyle="1" w:styleId="IndentI0">
    <w:name w:val="Indent(I)"/>
    <w:pPr>
      <w:tabs>
        <w:tab w:val="right" w:pos="2892"/>
        <w:tab w:val="left" w:pos="3204"/>
      </w:tabs>
      <w:spacing w:before="80" w:line="260" w:lineRule="atLeast"/>
      <w:ind w:left="3204" w:hanging="3204"/>
    </w:pPr>
    <w:rPr>
      <w:sz w:val="24"/>
      <w:lang w:eastAsia="en-US"/>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character" w:styleId="LineNumber">
    <w:name w:val="line number"/>
    <w:basedOn w:val="DefaultParagraphFont"/>
    <w:semiHidden/>
    <w:rPr>
      <w:rFonts w:ascii="Arial" w:hAnsi="Arial"/>
      <w:sz w:val="16"/>
    </w:rPr>
  </w:style>
  <w:style w:type="paragraph" w:styleId="List">
    <w:name w:val="List"/>
    <w:basedOn w:val="Normal"/>
    <w:semiHidden/>
    <w:pPr>
      <w:ind w:left="283" w:hanging="283"/>
    </w:p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autoRedefine/>
    <w:semiHidden/>
    <w:pPr>
      <w:numPr>
        <w:numId w:val="2"/>
      </w:numPr>
    </w:pPr>
  </w:style>
  <w:style w:type="paragraph" w:styleId="ListBullet2">
    <w:name w:val="List Bullet 2"/>
    <w:basedOn w:val="Normal"/>
    <w:autoRedefine/>
    <w:semiHidden/>
    <w:pPr>
      <w:numPr>
        <w:numId w:val="3"/>
      </w:numPr>
      <w:tabs>
        <w:tab w:val="clear" w:pos="643"/>
        <w:tab w:val="num" w:pos="720"/>
      </w:tabs>
      <w:ind w:left="720"/>
    </w:pPr>
  </w:style>
  <w:style w:type="paragraph" w:styleId="ListBullet3">
    <w:name w:val="List Bullet 3"/>
    <w:basedOn w:val="Normal"/>
    <w:autoRedefine/>
    <w:semiHidden/>
    <w:pPr>
      <w:numPr>
        <w:numId w:val="4"/>
      </w:numPr>
      <w:tabs>
        <w:tab w:val="clear" w:pos="926"/>
        <w:tab w:val="num" w:pos="1080"/>
      </w:tabs>
      <w:ind w:left="1080"/>
    </w:pPr>
  </w:style>
  <w:style w:type="paragraph" w:styleId="ListBullet4">
    <w:name w:val="List Bullet 4"/>
    <w:basedOn w:val="Normal"/>
    <w:autoRedefine/>
    <w:semiHidden/>
    <w:pPr>
      <w:numPr>
        <w:numId w:val="5"/>
      </w:numPr>
      <w:tabs>
        <w:tab w:val="clear" w:pos="1209"/>
        <w:tab w:val="num" w:pos="1440"/>
      </w:tabs>
      <w:ind w:left="1440"/>
    </w:pPr>
  </w:style>
  <w:style w:type="paragraph" w:styleId="ListBullet5">
    <w:name w:val="List Bullet 5"/>
    <w:basedOn w:val="Normal"/>
    <w:autoRedefine/>
    <w:semiHidden/>
    <w:pPr>
      <w:numPr>
        <w:numId w:val="6"/>
      </w:numPr>
      <w:tabs>
        <w:tab w:val="clear" w:pos="1492"/>
        <w:tab w:val="num" w:pos="1800"/>
      </w:tabs>
      <w:ind w:left="1800"/>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7"/>
      </w:numPr>
    </w:pPr>
  </w:style>
  <w:style w:type="paragraph" w:styleId="ListNumber2">
    <w:name w:val="List Number 2"/>
    <w:basedOn w:val="Normal"/>
    <w:semiHidden/>
    <w:pPr>
      <w:numPr>
        <w:numId w:val="8"/>
      </w:numPr>
      <w:tabs>
        <w:tab w:val="clear" w:pos="643"/>
        <w:tab w:val="num" w:pos="720"/>
      </w:tabs>
      <w:ind w:left="720"/>
    </w:pPr>
  </w:style>
  <w:style w:type="paragraph" w:styleId="ListNumber3">
    <w:name w:val="List Number 3"/>
    <w:basedOn w:val="Normal"/>
    <w:semiHidden/>
    <w:pPr>
      <w:numPr>
        <w:numId w:val="9"/>
      </w:numPr>
      <w:tabs>
        <w:tab w:val="clear" w:pos="926"/>
        <w:tab w:val="num" w:pos="1080"/>
      </w:tabs>
      <w:ind w:left="1080"/>
    </w:pPr>
  </w:style>
  <w:style w:type="paragraph" w:styleId="ListNumber4">
    <w:name w:val="List Number 4"/>
    <w:basedOn w:val="Normal"/>
    <w:semiHidden/>
    <w:pPr>
      <w:numPr>
        <w:numId w:val="10"/>
      </w:numPr>
      <w:tabs>
        <w:tab w:val="clear" w:pos="1209"/>
        <w:tab w:val="num" w:pos="1440"/>
      </w:tabs>
      <w:ind w:left="1440"/>
    </w:pPr>
  </w:style>
  <w:style w:type="paragraph" w:styleId="ListNumber5">
    <w:name w:val="List Number 5"/>
    <w:basedOn w:val="Normal"/>
    <w:semiHidden/>
    <w:pPr>
      <w:numPr>
        <w:numId w:val="11"/>
      </w:numPr>
      <w:tabs>
        <w:tab w:val="clear" w:pos="1492"/>
        <w:tab w:val="num" w:pos="1800"/>
      </w:tabs>
      <w:ind w:left="1800"/>
    </w:pPr>
  </w:style>
  <w:style w:type="paragraph" w:customStyle="1" w:styleId="LongTitle">
    <w:name w:val="Long Title"/>
    <w:rPr>
      <w:b/>
      <w:sz w:val="24"/>
      <w:lang w:eastAsia="en-U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lang w:eastAsia="en-US"/>
    </w:rPr>
  </w:style>
  <w:style w:type="paragraph" w:customStyle="1" w:styleId="MadeBy">
    <w:name w:val="MadeBy"/>
    <w:pPr>
      <w:spacing w:before="600"/>
    </w:pPr>
    <w:rPr>
      <w:sz w:val="24"/>
      <w:lang w:eastAsia="en-US"/>
    </w:rPr>
  </w:style>
  <w:style w:type="paragraph" w:customStyle="1" w:styleId="Mainnumbers">
    <w:name w:val="Mainnumbers"/>
    <w:basedOn w:val="Normal"/>
    <w:pPr>
      <w:tabs>
        <w:tab w:val="num" w:pos="1440"/>
      </w:tabs>
      <w:ind w:left="360" w:hanging="360"/>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customStyle="1" w:styleId="MiscClose">
    <w:name w:val="MiscClose"/>
    <w:basedOn w:val="Normal"/>
    <w:pPr>
      <w:keepLines/>
      <w:tabs>
        <w:tab w:val="left" w:pos="893"/>
      </w:tabs>
      <w:spacing w:line="260" w:lineRule="atLeast"/>
      <w:jc w:val="right"/>
    </w:pPr>
  </w:style>
  <w:style w:type="paragraph" w:customStyle="1" w:styleId="MiscellaneousHeading">
    <w:name w:val="Miscellaneous Heading"/>
    <w:pPr>
      <w:keepNext/>
      <w:spacing w:before="160" w:line="260" w:lineRule="atLeast"/>
      <w:jc w:val="center"/>
    </w:pPr>
    <w:rPr>
      <w:sz w:val="24"/>
      <w:lang w:eastAsia="en-US"/>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MiscOpen">
    <w:name w:val="MiscOpen"/>
    <w:pPr>
      <w:keepNext/>
      <w:keepLines/>
      <w:tabs>
        <w:tab w:val="left" w:pos="893"/>
      </w:tabs>
      <w:spacing w:before="120" w:line="260" w:lineRule="atLeast"/>
    </w:pPr>
    <w:rPr>
      <w:sz w:val="24"/>
      <w:lang w:eastAsia="en-US"/>
    </w:rPr>
  </w:style>
  <w:style w:type="paragraph" w:customStyle="1" w:styleId="NameofActRegPage1">
    <w:name w:val="Name of Act/Reg(Page 1)"/>
    <w:basedOn w:val="NameofActReg"/>
    <w:pPr>
      <w:spacing w:before="0" w:after="720"/>
    </w:pPr>
  </w:style>
  <w:style w:type="paragraph" w:customStyle="1" w:styleId="nDefpara">
    <w:name w:val="nDefpara"/>
    <w:basedOn w:val="Defpara"/>
    <w:pPr>
      <w:spacing w:before="40" w:line="240" w:lineRule="auto"/>
    </w:pPr>
    <w:rPr>
      <w:sz w:val="20"/>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outlineLvl w:val="9"/>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styleId="NormalIndent">
    <w:name w:val="Normal Indent"/>
    <w:basedOn w:val="Normal"/>
    <w:semiHidden/>
    <w:pPr>
      <w:ind w:left="720"/>
    </w:pPr>
  </w:style>
  <w:style w:type="paragraph" w:styleId="NoteHeading">
    <w:name w:val="Note Heading"/>
    <w:basedOn w:val="Normal"/>
    <w:next w:val="Normal"/>
    <w:semiHidden/>
  </w:style>
  <w:style w:type="paragraph" w:customStyle="1" w:styleId="Penpara">
    <w:name w:val="Penpara"/>
    <w:pPr>
      <w:tabs>
        <w:tab w:val="right" w:pos="1616"/>
        <w:tab w:val="left" w:pos="1899"/>
      </w:tabs>
      <w:spacing w:before="80" w:line="260" w:lineRule="atLeast"/>
      <w:ind w:left="1899" w:hanging="1899"/>
    </w:pPr>
    <w:rPr>
      <w:sz w:val="24"/>
      <w:lang w:eastAsia="en-US"/>
    </w:rPr>
  </w:style>
  <w:style w:type="paragraph" w:customStyle="1" w:styleId="nPenpara">
    <w:name w:val="nPenpara"/>
    <w:basedOn w:val="Penpara"/>
    <w:pPr>
      <w:spacing w:before="40" w:line="240" w:lineRule="auto"/>
    </w:pPr>
    <w:rPr>
      <w:sz w:val="20"/>
    </w:rPr>
  </w:style>
  <w:style w:type="paragraph" w:customStyle="1" w:styleId="Penstart">
    <w:name w:val="Penstart"/>
    <w:basedOn w:val="Normal"/>
    <w:pPr>
      <w:tabs>
        <w:tab w:val="left" w:pos="879"/>
      </w:tabs>
      <w:spacing w:before="80" w:line="260" w:lineRule="atLeast"/>
      <w:ind w:left="1332" w:hanging="1332"/>
    </w:pPr>
  </w:style>
  <w:style w:type="paragraph" w:customStyle="1" w:styleId="nPenstart">
    <w:name w:val="nPenstart"/>
    <w:basedOn w:val="Penstart"/>
    <w:pPr>
      <w:spacing w:before="40" w:line="240" w:lineRule="auto"/>
    </w:pPr>
    <w:rPr>
      <w:sz w:val="20"/>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Table">
    <w:name w:val="Table"/>
    <w:aliases w:val="t"/>
    <w:basedOn w:val="Normal"/>
    <w:pPr>
      <w:spacing w:before="60" w:line="240" w:lineRule="atLeast"/>
    </w:pPr>
    <w:rPr>
      <w:sz w:val="22"/>
    </w:rPr>
  </w:style>
  <w:style w:type="paragraph" w:customStyle="1" w:styleId="nTable">
    <w:name w:val="nTable"/>
    <w:basedOn w:val="Table"/>
    <w:pPr>
      <w:spacing w:before="40" w:line="240" w:lineRule="auto"/>
    </w:pPr>
    <w:rPr>
      <w:sz w:val="18"/>
    </w:rPr>
  </w:style>
  <w:style w:type="paragraph" w:customStyle="1" w:styleId="zDefpara">
    <w:name w:val="zDefpara"/>
    <w:basedOn w:val="Normal"/>
    <w:pPr>
      <w:tabs>
        <w:tab w:val="right" w:pos="1899"/>
        <w:tab w:val="left" w:pos="2183"/>
      </w:tabs>
      <w:spacing w:before="80" w:line="260" w:lineRule="atLeast"/>
      <w:ind w:left="2183" w:right="284" w:hanging="851"/>
    </w:pPr>
    <w:rPr>
      <w:snapToGrid w:val="0"/>
    </w:rPr>
  </w:style>
  <w:style w:type="paragraph" w:customStyle="1" w:styleId="nzDefpara">
    <w:name w:val="nzDefpara"/>
    <w:basedOn w:val="zDefpara"/>
    <w:pPr>
      <w:spacing w:before="40" w:line="240" w:lineRule="auto"/>
    </w:pPr>
    <w:rPr>
      <w:sz w:val="20"/>
    </w:rPr>
  </w:style>
  <w:style w:type="paragraph" w:customStyle="1" w:styleId="zDefstart">
    <w:name w:val="zDefstart"/>
    <w:basedOn w:val="Normal"/>
    <w:pPr>
      <w:tabs>
        <w:tab w:val="left" w:pos="312"/>
      </w:tabs>
      <w:spacing w:before="80" w:line="260" w:lineRule="atLeast"/>
      <w:ind w:left="1446" w:right="284" w:hanging="312"/>
    </w:pPr>
    <w:rPr>
      <w:snapToGrid w:val="0"/>
    </w:rPr>
  </w:style>
  <w:style w:type="paragraph" w:customStyle="1" w:styleId="nzDefstart">
    <w:name w:val="nzDefstart"/>
    <w:basedOn w:val="zDefstart"/>
    <w:pPr>
      <w:spacing w:before="40" w:line="240" w:lineRule="auto"/>
    </w:pPr>
    <w:rPr>
      <w:sz w:val="2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nzDefsubpara">
    <w:name w:val="nzDefsubpara"/>
    <w:basedOn w:val="zDefsubpara"/>
    <w:pPr>
      <w:spacing w:before="40" w:line="240" w:lineRule="auto"/>
    </w:pPr>
    <w:rPr>
      <w:sz w:val="20"/>
    </w:rPr>
  </w:style>
  <w:style w:type="paragraph" w:customStyle="1" w:styleId="zHeading2">
    <w:name w:val="zHeading 2"/>
    <w:basedOn w:val="Heading2"/>
    <w:pPr>
      <w:pageBreakBefore w:val="0"/>
      <w:spacing w:before="240"/>
      <w:ind w:left="567" w:right="284"/>
      <w:outlineLvl w:val="9"/>
    </w:pPr>
  </w:style>
  <w:style w:type="paragraph" w:customStyle="1" w:styleId="nzHeading2">
    <w:name w:val="nzHeading 2"/>
    <w:basedOn w:val="zHeading2"/>
    <w:pPr>
      <w:spacing w:before="120" w:line="240" w:lineRule="auto"/>
    </w:pPr>
    <w:rPr>
      <w:sz w:val="26"/>
    </w:rPr>
  </w:style>
  <w:style w:type="paragraph" w:customStyle="1" w:styleId="zHeading3">
    <w:name w:val="zHeading 3"/>
    <w:basedOn w:val="Heading3"/>
    <w:pPr>
      <w:ind w:left="567" w:right="284"/>
      <w:outlineLvl w:val="9"/>
    </w:pPr>
  </w:style>
  <w:style w:type="paragraph" w:customStyle="1" w:styleId="nzHeading3">
    <w:name w:val="nzHeading 3"/>
    <w:basedOn w:val="zHeading3"/>
    <w:pPr>
      <w:spacing w:before="120" w:line="240" w:lineRule="auto"/>
    </w:pPr>
    <w:rPr>
      <w:sz w:val="22"/>
    </w:rPr>
  </w:style>
  <w:style w:type="paragraph" w:customStyle="1" w:styleId="zHeading4">
    <w:name w:val="zHeading 4"/>
    <w:basedOn w:val="Heading4"/>
    <w:pPr>
      <w:ind w:left="567" w:right="284"/>
      <w:outlineLvl w:val="9"/>
    </w:pPr>
  </w:style>
  <w:style w:type="paragraph" w:customStyle="1" w:styleId="nzHeading4">
    <w:name w:val="nzHeading 4"/>
    <w:basedOn w:val="zHeading4"/>
    <w:pPr>
      <w:spacing w:before="120"/>
    </w:pPr>
    <w:rPr>
      <w:sz w:val="20"/>
    </w:rPr>
  </w:style>
  <w:style w:type="paragraph" w:customStyle="1" w:styleId="zHeading5">
    <w:name w:val="zHeading 5"/>
    <w:basedOn w:val="Heading5"/>
    <w:pPr>
      <w:tabs>
        <w:tab w:val="clear" w:pos="879"/>
        <w:tab w:val="left" w:pos="1446"/>
      </w:tabs>
      <w:ind w:left="1446" w:right="284"/>
      <w:outlineLvl w:val="9"/>
    </w:pPr>
  </w:style>
  <w:style w:type="paragraph" w:customStyle="1" w:styleId="nzHeading5">
    <w:name w:val="nzHeading 5"/>
    <w:basedOn w:val="zHeading5"/>
    <w:pPr>
      <w:spacing w:before="100" w:line="240" w:lineRule="auto"/>
    </w:pPr>
    <w:rPr>
      <w:sz w:val="20"/>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nzIndenta">
    <w:name w:val="nzIndent(a)"/>
    <w:basedOn w:val="zIndenta"/>
    <w:pPr>
      <w:spacing w:before="40" w:line="240" w:lineRule="auto"/>
    </w:pPr>
    <w:rPr>
      <w:sz w:val="20"/>
    </w:r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nzIndentA0">
    <w:name w:val="nzIndent(A)"/>
    <w:basedOn w:val="zIndentA0"/>
    <w:pPr>
      <w:spacing w:before="40" w:line="240" w:lineRule="auto"/>
    </w:pPr>
    <w:rPr>
      <w:sz w:val="20"/>
    </w:r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nzIndenti">
    <w:name w:val="nzIndent(i)"/>
    <w:basedOn w:val="zIndenti"/>
    <w:pPr>
      <w:spacing w:before="40" w:line="240" w:lineRule="auto"/>
    </w:pPr>
    <w:rPr>
      <w:sz w:val="20"/>
    </w:r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nzIndentI0">
    <w:name w:val="nzIndent(I)"/>
    <w:basedOn w:val="zIndentI0"/>
    <w:pPr>
      <w:spacing w:before="40" w:line="240" w:lineRule="auto"/>
    </w:pPr>
    <w:rPr>
      <w:sz w:val="20"/>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nzPenpara">
    <w:name w:val="nzPenpara"/>
    <w:basedOn w:val="zPenpara"/>
    <w:pPr>
      <w:spacing w:before="40" w:line="240" w:lineRule="auto"/>
    </w:pPr>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nzPenstart">
    <w:name w:val="nzPenstart"/>
    <w:basedOn w:val="zPenstart"/>
    <w:pPr>
      <w:spacing w:before="40" w:line="240" w:lineRule="auto"/>
    </w:pPr>
    <w:rPr>
      <w:sz w:val="20"/>
    </w:rPr>
  </w:style>
  <w:style w:type="paragraph" w:customStyle="1" w:styleId="zSubsection">
    <w:name w:val="zSubsection"/>
    <w:basedOn w:val="Normal"/>
    <w:pPr>
      <w:tabs>
        <w:tab w:val="right" w:pos="1162"/>
        <w:tab w:val="left" w:pos="1446"/>
      </w:tabs>
      <w:spacing w:before="160" w:line="260" w:lineRule="atLeast"/>
      <w:ind w:left="1446" w:right="284" w:hanging="851"/>
    </w:pPr>
  </w:style>
  <w:style w:type="paragraph" w:customStyle="1" w:styleId="nzSubsection">
    <w:name w:val="nzSubsection"/>
    <w:basedOn w:val="zSubsection"/>
    <w:pPr>
      <w:spacing w:before="80" w:line="240" w:lineRule="auto"/>
    </w:pPr>
    <w:rPr>
      <w:sz w:val="20"/>
    </w:rPr>
  </w:style>
  <w:style w:type="paragraph" w:customStyle="1" w:styleId="BlankClose">
    <w:name w:val="BlankClose"/>
    <w:basedOn w:val="Normal"/>
    <w:pPr>
      <w:keepLines/>
      <w:jc w:val="center"/>
    </w:pPr>
    <w:rPr>
      <w:szCs w:val="24"/>
    </w:rPr>
  </w:style>
  <w:style w:type="paragraph" w:customStyle="1" w:styleId="nzTable">
    <w:name w:val="nzTable"/>
    <w:basedOn w:val="Normal"/>
    <w:rPr>
      <w:sz w:val="20"/>
    </w:rPr>
  </w:style>
  <w:style w:type="character" w:styleId="PageNumber">
    <w:name w:val="page number"/>
    <w:basedOn w:val="DefaultParagraphFont"/>
    <w:semiHidden/>
    <w:rPr>
      <w:sz w:val="20"/>
    </w:rPr>
  </w:style>
  <w:style w:type="paragraph" w:customStyle="1" w:styleId="ParlHouse">
    <w:name w:val="ParlHouse"/>
    <w:basedOn w:val="WA"/>
    <w:pPr>
      <w:spacing w:after="300"/>
    </w:pPr>
    <w:rPr>
      <w:u w:val="single"/>
    </w:rPr>
  </w:style>
  <w:style w:type="paragraph" w:customStyle="1" w:styleId="Penitem">
    <w:name w:val="Penitem"/>
    <w:pPr>
      <w:tabs>
        <w:tab w:val="right" w:pos="3119"/>
        <w:tab w:val="left" w:pos="3402"/>
      </w:tabs>
      <w:spacing w:before="80" w:line="260" w:lineRule="atLeast"/>
      <w:ind w:left="3402" w:hanging="3402"/>
    </w:pPr>
    <w:rPr>
      <w:sz w:val="24"/>
      <w:lang w:eastAsia="en-US"/>
    </w:rPr>
  </w:style>
  <w:style w:type="paragraph" w:customStyle="1" w:styleId="Pensubpara">
    <w:name w:val="Pensubpara"/>
    <w:pPr>
      <w:tabs>
        <w:tab w:val="right" w:pos="2325"/>
        <w:tab w:val="left" w:pos="2608"/>
      </w:tabs>
      <w:spacing w:before="80" w:line="260" w:lineRule="atLeast"/>
      <w:ind w:left="2608" w:hanging="2608"/>
    </w:pPr>
    <w:rPr>
      <w:sz w:val="24"/>
      <w:lang w:eastAsia="en-US"/>
    </w:r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paragraph" w:customStyle="1" w:styleId="PrincipalActReg">
    <w:name w:val="PrincipalAct_Reg"/>
    <w:pPr>
      <w:spacing w:after="480"/>
      <w:jc w:val="center"/>
    </w:pPr>
    <w:rPr>
      <w:sz w:val="24"/>
      <w:lang w:eastAsia="en-US"/>
    </w:rPr>
  </w:style>
  <w:style w:type="paragraph" w:customStyle="1" w:styleId="Repealed">
    <w:name w:val="Repealed"/>
    <w:basedOn w:val="Heading5"/>
    <w:rPr>
      <w:b w:val="0"/>
      <w:i/>
    </w:rPr>
  </w:style>
  <w:style w:type="paragraph" w:styleId="Salutation">
    <w:name w:val="Salutation"/>
    <w:basedOn w:val="Normal"/>
    <w:next w:val="Normal"/>
    <w:semiHidden/>
  </w:style>
  <w:style w:type="paragraph" w:customStyle="1" w:styleId="SectionNumbers">
    <w:name w:val="SectionNumbers"/>
    <w:basedOn w:val="Normal"/>
    <w:pPr>
      <w:tabs>
        <w:tab w:val="num" w:pos="0"/>
        <w:tab w:val="right" w:pos="1152"/>
      </w:tabs>
      <w:spacing w:line="260" w:lineRule="atLeast"/>
    </w:pPr>
  </w:style>
  <w:style w:type="paragraph" w:customStyle="1" w:styleId="ShortT">
    <w:name w:val="ShortT"/>
    <w:basedOn w:val="Normal"/>
    <w:next w:val="Normal"/>
    <w:pPr>
      <w:spacing w:before="800"/>
      <w:jc w:val="center"/>
    </w:pPr>
    <w:rPr>
      <w:b/>
      <w:snapToGrid w:val="0"/>
      <w:sz w:val="38"/>
    </w:rPr>
  </w:style>
  <w:style w:type="paragraph" w:styleId="Signature">
    <w:name w:val="Signature"/>
    <w:basedOn w:val="Normal"/>
    <w:semiHidden/>
    <w:pPr>
      <w:ind w:left="4252"/>
    </w:pPr>
  </w:style>
  <w:style w:type="character" w:styleId="Strong">
    <w:name w:val="Strong"/>
    <w:basedOn w:val="DefaultParagraphFont"/>
    <w:qFormat/>
    <w:rPr>
      <w:b/>
      <w:sz w:val="24"/>
    </w:rPr>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semiHidden/>
    <w:pPr>
      <w:keepNext/>
      <w:spacing w:before="120" w:after="60"/>
      <w:ind w:left="1985" w:right="1134" w:hanging="567"/>
    </w:pPr>
    <w:rPr>
      <w:b/>
      <w:noProof/>
      <w:sz w:val="28"/>
      <w:lang w:eastAsia="en-US"/>
    </w:rPr>
  </w:style>
  <w:style w:type="paragraph" w:styleId="TOC3">
    <w:name w:val="toc 3"/>
    <w:next w:val="Normal"/>
    <w:semiHidden/>
    <w:pPr>
      <w:keepNext/>
      <w:spacing w:before="120" w:after="60"/>
      <w:ind w:left="1985" w:right="1134" w:hanging="567"/>
    </w:pPr>
    <w:rPr>
      <w:rFonts w:ascii="Helvetica" w:hAnsi="Helvetica"/>
      <w:b/>
      <w:noProof/>
      <w:sz w:val="18"/>
      <w:lang w:eastAsia="en-US"/>
    </w:rPr>
  </w:style>
  <w:style w:type="paragraph" w:styleId="TOC4">
    <w:name w:val="toc 4"/>
    <w:next w:val="Normal"/>
    <w:semiHidden/>
    <w:pPr>
      <w:keepNext/>
      <w:spacing w:before="60" w:after="20"/>
      <w:ind w:left="1985" w:right="1134" w:hanging="567"/>
    </w:pPr>
    <w:rPr>
      <w:b/>
      <w:noProof/>
      <w:sz w:val="22"/>
      <w:lang w:eastAsia="en-US"/>
    </w:rPr>
  </w:style>
  <w:style w:type="paragraph" w:styleId="TOC5">
    <w:name w:val="toc 5"/>
    <w:next w:val="Normal"/>
    <w:semiHidden/>
    <w:pPr>
      <w:keepNext/>
      <w:spacing w:before="60" w:after="20"/>
      <w:ind w:left="1985" w:right="1134" w:hanging="567"/>
    </w:pPr>
    <w:rPr>
      <w:rFonts w:ascii="Helvetica" w:hAnsi="Helvetica"/>
      <w:b/>
      <w:noProof/>
      <w:sz w:val="18"/>
      <w:lang w:eastAsia="en-US"/>
    </w:rPr>
  </w:style>
  <w:style w:type="paragraph" w:styleId="TOC6">
    <w:name w:val="toc 6"/>
    <w:next w:val="Normal"/>
    <w:semiHidden/>
    <w:pPr>
      <w:keepNext/>
      <w:spacing w:before="60" w:after="20"/>
      <w:ind w:left="1985" w:right="1134" w:hanging="567"/>
    </w:pPr>
    <w:rPr>
      <w:b/>
      <w:noProof/>
      <w:lang w:eastAsia="en-US"/>
    </w:rPr>
  </w:style>
  <w:style w:type="paragraph" w:styleId="TOC7">
    <w:name w:val="toc 7"/>
    <w:next w:val="Normal"/>
    <w:semiHidden/>
    <w:pPr>
      <w:keepNext/>
      <w:spacing w:before="60" w:after="20"/>
      <w:ind w:left="1985" w:right="1134" w:hanging="567"/>
    </w:pPr>
    <w:rPr>
      <w:rFonts w:ascii="Helvetica" w:hAnsi="Helvetica"/>
      <w:b/>
      <w:sz w:val="18"/>
      <w:lang w:eastAsia="en-US"/>
    </w:rPr>
  </w:style>
  <w:style w:type="paragraph" w:styleId="TOC8">
    <w:name w:val="toc 8"/>
    <w:next w:val="Normal"/>
    <w:semiHidden/>
    <w:pPr>
      <w:tabs>
        <w:tab w:val="left" w:pos="1418"/>
        <w:tab w:val="right" w:pos="6804"/>
      </w:tabs>
      <w:ind w:left="1418" w:right="1134" w:hanging="851"/>
    </w:pPr>
    <w:rPr>
      <w:noProof/>
      <w:sz w:val="22"/>
      <w:lang w:eastAsia="en-US"/>
    </w:rPr>
  </w:style>
  <w:style w:type="paragraph" w:styleId="TOC9">
    <w:name w:val="toc 9"/>
    <w:next w:val="Normal"/>
    <w:semiHidden/>
    <w:pPr>
      <w:tabs>
        <w:tab w:val="left" w:pos="2268"/>
        <w:tab w:val="right" w:pos="6237"/>
      </w:tabs>
      <w:ind w:left="2269" w:right="1418" w:hanging="851"/>
    </w:pPr>
    <w:rPr>
      <w:rFonts w:ascii="Helvetica" w:hAnsi="Helvetica"/>
      <w:sz w:val="18"/>
      <w:lang w:eastAsia="en-US"/>
    </w:rPr>
  </w:style>
  <w:style w:type="paragraph" w:customStyle="1" w:styleId="yDefitem">
    <w:name w:val="yDefitem"/>
    <w:basedOn w:val="Defitem"/>
    <w:pPr>
      <w:spacing w:line="240" w:lineRule="auto"/>
    </w:pPr>
    <w:rPr>
      <w:sz w:val="22"/>
    </w:r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ection">
    <w:name w:val="yEdnote(section)"/>
    <w:basedOn w:val="Ednotesection"/>
    <w:pPr>
      <w:spacing w:line="240" w:lineRule="auto"/>
      <w:ind w:left="890" w:hanging="890"/>
    </w:pPr>
    <w:rPr>
      <w:sz w:val="22"/>
    </w:rPr>
  </w:style>
  <w:style w:type="paragraph" w:customStyle="1" w:styleId="yEdnotesubitem">
    <w:name w:val="yEdnote(subitem)"/>
    <w:basedOn w:val="Ednotesubitem"/>
    <w:pPr>
      <w:spacing w:line="240" w:lineRule="auto"/>
    </w:pPr>
    <w:rPr>
      <w:sz w:val="22"/>
    </w:rPr>
  </w:style>
  <w:style w:type="paragraph" w:customStyle="1" w:styleId="yEdnotesubpara">
    <w:name w:val="yEdnote(subpara)"/>
    <w:basedOn w:val="Ednotesubpara"/>
    <w:pPr>
      <w:spacing w:line="240" w:lineRule="auto"/>
    </w:pPr>
    <w:rPr>
      <w:sz w:val="22"/>
    </w:rPr>
  </w:style>
  <w:style w:type="paragraph" w:customStyle="1" w:styleId="yFootnoteheading">
    <w:name w:val="yFootnote(heading)"/>
    <w:basedOn w:val="Footnoteheading"/>
    <w:pPr>
      <w:spacing w:line="240" w:lineRule="auto"/>
    </w:pPr>
    <w:rPr>
      <w:sz w:val="22"/>
    </w:rPr>
  </w:style>
  <w:style w:type="paragraph" w:customStyle="1" w:styleId="yFootnotesection">
    <w:name w:val="yFootnote(section)"/>
    <w:basedOn w:val="Footnotesection"/>
    <w:pPr>
      <w:spacing w:line="240" w:lineRule="auto"/>
      <w:ind w:left="890" w:hanging="890"/>
    </w:pPr>
    <w:rPr>
      <w:sz w:val="22"/>
    </w:rPr>
  </w:style>
  <w:style w:type="paragraph" w:customStyle="1" w:styleId="yHeading1">
    <w:name w:val="yHeading 1"/>
    <w:basedOn w:val="Heading1"/>
    <w:pPr>
      <w:spacing w:line="240" w:lineRule="auto"/>
    </w:pPr>
    <w:rPr>
      <w:sz w:val="32"/>
    </w:rPr>
  </w:style>
  <w:style w:type="paragraph" w:customStyle="1" w:styleId="yHeading2">
    <w:name w:val="yHeading 2"/>
    <w:basedOn w:val="Heading2"/>
    <w:pPr>
      <w:pageBreakBefore w:val="0"/>
      <w:spacing w:before="240" w:line="240" w:lineRule="auto"/>
    </w:pPr>
    <w:rPr>
      <w:sz w:val="28"/>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yPenitem">
    <w:name w:val="yPenitem"/>
    <w:basedOn w:val="Penitem"/>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tart">
    <w:name w:val="yPenstart"/>
    <w:basedOn w:val="Penstart"/>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ScheduleHeading">
    <w:name w:val="yScheduleHeading"/>
    <w:basedOn w:val="yHeading2"/>
    <w:pPr>
      <w:pageBreakBefore/>
      <w:spacing w:before="0"/>
    </w:pPr>
  </w:style>
  <w:style w:type="paragraph" w:customStyle="1" w:styleId="yShoulderClause">
    <w:name w:val="yShoulderClause"/>
    <w:next w:val="ySubsection"/>
    <w:pPr>
      <w:spacing w:before="120"/>
      <w:jc w:val="right"/>
    </w:pPr>
    <w:rPr>
      <w:sz w:val="22"/>
      <w:lang w:eastAsia="en-US"/>
    </w:rPr>
  </w:style>
  <w:style w:type="paragraph" w:customStyle="1" w:styleId="ySubsection">
    <w:name w:val="ySubsection"/>
    <w:basedOn w:val="Subsection"/>
    <w:pPr>
      <w:spacing w:line="240" w:lineRule="auto"/>
    </w:pPr>
    <w:rPr>
      <w:sz w:val="22"/>
    </w:rPr>
  </w:style>
  <w:style w:type="paragraph" w:customStyle="1" w:styleId="yTable">
    <w:name w:val="yTable"/>
    <w:basedOn w:val="Table"/>
    <w:pPr>
      <w:spacing w:line="240" w:lineRule="auto"/>
    </w:pPr>
  </w:style>
  <w:style w:type="paragraph" w:customStyle="1" w:styleId="zDefitem">
    <w:name w:val="zDefitem"/>
    <w:basedOn w:val="Normal"/>
    <w:pPr>
      <w:tabs>
        <w:tab w:val="right" w:pos="3459"/>
        <w:tab w:val="left" w:pos="3771"/>
      </w:tabs>
      <w:spacing w:before="80" w:line="260" w:lineRule="atLeast"/>
      <w:ind w:left="3686" w:right="284" w:hanging="851"/>
    </w:pPr>
  </w:style>
  <w:style w:type="paragraph" w:customStyle="1" w:styleId="zHeading1">
    <w:name w:val="zHeading 1"/>
    <w:basedOn w:val="Heading1"/>
    <w:pPr>
      <w:ind w:left="567" w:right="284"/>
      <w:outlineLvl w:val="9"/>
    </w:pPr>
  </w:style>
  <w:style w:type="paragraph" w:customStyle="1" w:styleId="zMiscellaneousBody">
    <w:name w:val="zMiscellaneousBody"/>
    <w:basedOn w:val="Normal"/>
    <w:pPr>
      <w:spacing w:before="160" w:line="260" w:lineRule="atLeast"/>
      <w:ind w:left="567" w:right="284"/>
    </w:pPr>
  </w:style>
  <w:style w:type="paragraph" w:customStyle="1" w:styleId="zMiscellaneousHeading">
    <w:name w:val="zMiscellaneousHeading"/>
    <w:basedOn w:val="MiscellaneousHeading"/>
    <w:pPr>
      <w:ind w:left="567" w:right="284"/>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yDefitem">
    <w:name w:val="zyDefitem"/>
    <w:basedOn w:val="zDefitem"/>
    <w:pPr>
      <w:spacing w:line="240" w:lineRule="auto"/>
    </w:pPr>
    <w:rPr>
      <w:sz w:val="22"/>
    </w:r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customStyle="1" w:styleId="zySubsection">
    <w:name w:val="zySubsection"/>
    <w:basedOn w:val="zSubsection"/>
    <w:pPr>
      <w:spacing w:line="240" w:lineRule="auto"/>
    </w:pPr>
    <w:rPr>
      <w:sz w:val="22"/>
    </w:rPr>
  </w:style>
  <w:style w:type="paragraph" w:styleId="Header">
    <w:name w:val="header"/>
    <w:basedOn w:val="Normal"/>
    <w:next w:val="Heading5"/>
    <w:semiHidden/>
    <w:pPr>
      <w:tabs>
        <w:tab w:val="center" w:pos="4153"/>
        <w:tab w:val="right" w:pos="8306"/>
      </w:tabs>
      <w:spacing w:line="260" w:lineRule="atLeast"/>
    </w:pPr>
    <w:rPr>
      <w:rFonts w:ascii="NewCenturySchlbk" w:hAnsi="NewCenturySchlbk"/>
    </w:rPr>
  </w:style>
  <w:style w:type="character" w:customStyle="1" w:styleId="CharDefText">
    <w:name w:val="CharDefText"/>
    <w:basedOn w:val="DefaultParagraphFont"/>
    <w:rPr>
      <w:b/>
      <w:i/>
    </w:rPr>
  </w:style>
  <w:style w:type="paragraph" w:customStyle="1" w:styleId="ByCommand">
    <w:name w:val="ByCommand"/>
    <w:basedOn w:val="Normal"/>
    <w:pPr>
      <w:tabs>
        <w:tab w:val="left" w:pos="4536"/>
      </w:tabs>
      <w:spacing w:before="240"/>
    </w:pPr>
  </w:style>
  <w:style w:type="paragraph" w:customStyle="1" w:styleId="DraftNo">
    <w:name w:val="DraftNo"/>
    <w:basedOn w:val="WA"/>
    <w:pPr>
      <w:spacing w:before="120" w:after="120"/>
    </w:pPr>
  </w:style>
  <w:style w:type="character" w:customStyle="1" w:styleId="CharSchText">
    <w:name w:val="CharSchText"/>
    <w:rPr>
      <w:noProof w:val="0"/>
      <w:lang w:val="en-AU"/>
    </w:rPr>
  </w:style>
  <w:style w:type="paragraph" w:customStyle="1" w:styleId="NotesPerm">
    <w:name w:val="NotesPerm"/>
    <w:basedOn w:val="Normal"/>
    <w:pPr>
      <w:tabs>
        <w:tab w:val="left" w:pos="879"/>
      </w:tabs>
      <w:spacing w:before="160"/>
      <w:ind w:left="879" w:hanging="879"/>
    </w:pPr>
    <w:rPr>
      <w:rFonts w:ascii="Arial" w:hAnsi="Arial"/>
      <w:sz w:val="18"/>
    </w:rPr>
  </w:style>
  <w:style w:type="paragraph" w:customStyle="1" w:styleId="DefinedTerms">
    <w:name w:val="Defined Terms"/>
    <w:pPr>
      <w:tabs>
        <w:tab w:val="right" w:leader="dot" w:pos="7070"/>
      </w:tabs>
      <w:ind w:left="578" w:right="578"/>
    </w:pPr>
    <w:rPr>
      <w:lang w:eastAsia="en-US"/>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otesPerm2">
    <w:name w:val="NotesPerm(2)"/>
    <w:basedOn w:val="NotesPerm"/>
    <w:pPr>
      <w:numPr>
        <w:numId w:val="12"/>
      </w:numPr>
      <w:tabs>
        <w:tab w:val="clear" w:pos="879"/>
      </w:tabs>
    </w:pPr>
  </w:style>
  <w:style w:type="paragraph" w:customStyle="1" w:styleId="nzMiscellaneousBody">
    <w:name w:val="nzMiscellaneous Body"/>
    <w:basedOn w:val="zMiscellaneousBody"/>
    <w:pPr>
      <w:spacing w:before="80" w:line="240" w:lineRule="auto"/>
    </w:pPr>
    <w:rPr>
      <w:sz w:val="20"/>
    </w:r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yMiscellaneousHeading">
    <w:name w:val="yMiscellaneous Heading"/>
    <w:basedOn w:val="MiscellaneousHeading"/>
    <w:pPr>
      <w:spacing w:line="240" w:lineRule="auto"/>
    </w:pPr>
    <w:rPr>
      <w:sz w:val="22"/>
    </w:rPr>
  </w:style>
  <w:style w:type="paragraph" w:customStyle="1" w:styleId="zTablet">
    <w:name w:val="zTable t"/>
    <w:basedOn w:val="Table"/>
  </w:style>
  <w:style w:type="paragraph" w:customStyle="1" w:styleId="zyMiscellaneousBody">
    <w:name w:val="zyMiscellaneous Body"/>
    <w:basedOn w:val="zMiscellaneousBody"/>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character" w:customStyle="1" w:styleId="CharSClsNo">
    <w:name w:val="CharSClsNo"/>
    <w:basedOn w:val="DefaultParagraphFont"/>
    <w:rPr>
      <w:sz w:val="22"/>
      <w:lang w:val="en-AU"/>
    </w:rPr>
  </w:style>
  <w:style w:type="character" w:customStyle="1" w:styleId="CharSDivNo">
    <w:name w:val="CharSDivNo"/>
    <w:basedOn w:val="DefaultParagraphFont"/>
    <w:rPr>
      <w:sz w:val="24"/>
      <w:lang w:val="en-AU"/>
    </w:rPr>
  </w:style>
  <w:style w:type="character" w:customStyle="1" w:styleId="CharSDivText">
    <w:name w:val="CharSDivText"/>
    <w:basedOn w:val="DefaultParagraphFont"/>
    <w:rPr>
      <w:sz w:val="24"/>
    </w:rPr>
  </w:style>
  <w:style w:type="paragraph" w:customStyle="1" w:styleId="BlankOpen">
    <w:name w:val="BlankOpen"/>
    <w:basedOn w:val="Normal"/>
    <w:pPr>
      <w:keepNext/>
      <w:keepLines/>
      <w:jc w:val="center"/>
    </w:pPr>
    <w:rPr>
      <w:szCs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pPr>
      <w:outlineLvl w:val="0"/>
    </w:pPr>
    <w:rPr>
      <w:b/>
      <w:noProof/>
      <w:sz w:val="28"/>
      <w:lang w:eastAsia="en-US"/>
    </w:rPr>
  </w:style>
  <w:style w:type="paragraph" w:customStyle="1" w:styleId="TableAm">
    <w:name w:val="TableAm"/>
    <w:basedOn w:val="Normal"/>
    <w:pPr>
      <w:tabs>
        <w:tab w:val="left" w:pos="567"/>
      </w:tabs>
      <w:spacing w:before="120"/>
    </w:pPr>
  </w:style>
  <w:style w:type="paragraph" w:customStyle="1" w:styleId="TableAmNote">
    <w:name w:val="TableAmNote"/>
    <w:basedOn w:val="NotesPerm"/>
    <w:pPr>
      <w:tabs>
        <w:tab w:val="clear" w:pos="879"/>
        <w:tab w:val="left" w:pos="567"/>
      </w:tabs>
      <w:spacing w:before="60"/>
      <w:ind w:left="0" w:firstLine="0"/>
    </w:pPr>
  </w:style>
  <w:style w:type="paragraph" w:customStyle="1" w:styleId="yEdnotedefitem">
    <w:name w:val="yEdnote(defitem)"/>
    <w:basedOn w:val="Ednotedefitem"/>
    <w:rPr>
      <w:i/>
      <w:sz w:val="22"/>
    </w:rPr>
  </w:style>
  <w:style w:type="paragraph" w:customStyle="1" w:styleId="yEdnotedefpara">
    <w:name w:val="yEdnote(defpara)"/>
    <w:basedOn w:val="Ednotedefpara"/>
    <w:rPr>
      <w:i/>
      <w:sz w:val="22"/>
    </w:rPr>
  </w:style>
  <w:style w:type="paragraph" w:customStyle="1" w:styleId="yEdnotedefsubpara">
    <w:name w:val="yEdnote(defsubpara)"/>
    <w:basedOn w:val="Ednotedefsubpara"/>
    <w:rPr>
      <w:i/>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TableNAm">
    <w:name w:val="TableNAm"/>
    <w:basedOn w:val="TableAm"/>
  </w:style>
  <w:style w:type="paragraph" w:customStyle="1" w:styleId="THeading">
    <w:name w:val="THeading"/>
    <w:pPr>
      <w:keepNext/>
      <w:spacing w:before="160" w:after="60" w:line="260" w:lineRule="atLeast"/>
      <w:jc w:val="center"/>
    </w:pPr>
    <w:rPr>
      <w:b/>
      <w:bCs/>
      <w:sz w:val="24"/>
      <w:lang w:eastAsia="en-US"/>
    </w:rPr>
  </w:style>
  <w:style w:type="paragraph" w:customStyle="1" w:styleId="THeadingAmNote">
    <w:name w:val="THeadingAmNote"/>
    <w:basedOn w:val="THeading"/>
    <w:pPr>
      <w:spacing w:line="240" w:lineRule="auto"/>
    </w:pPr>
    <w:rPr>
      <w:rFonts w:ascii="Arial" w:hAnsi="Arial"/>
      <w:bCs w:val="0"/>
      <w:sz w:val="18"/>
    </w:rPr>
  </w:style>
  <w:style w:type="paragraph" w:customStyle="1" w:styleId="THeadingNAm">
    <w:name w:val="THeadingNAm"/>
    <w:basedOn w:val="THeading"/>
    <w:pPr>
      <w:ind w:left="879" w:right="142"/>
    </w:pPr>
  </w:style>
  <w:style w:type="paragraph" w:customStyle="1" w:styleId="yTableNAm">
    <w:name w:val="yTableNAm"/>
    <w:basedOn w:val="TableAm"/>
    <w:rPr>
      <w:sz w:val="22"/>
    </w:rPr>
  </w:style>
  <w:style w:type="paragraph" w:customStyle="1" w:styleId="yTHeadingNAm">
    <w:name w:val="yTHeadingNAm"/>
    <w:basedOn w:val="THeading"/>
    <w:pPr>
      <w:ind w:left="142" w:right="142"/>
    </w:pPr>
    <w:rPr>
      <w:sz w:val="22"/>
    </w:rPr>
  </w:style>
  <w:style w:type="paragraph" w:customStyle="1" w:styleId="zTableNAm">
    <w:name w:val="zTableNAm"/>
    <w:basedOn w:val="TableAm"/>
  </w:style>
  <w:style w:type="paragraph" w:customStyle="1" w:styleId="zTHeadingNAm">
    <w:name w:val="zTHeadingNAm"/>
    <w:basedOn w:val="THeading"/>
    <w:pPr>
      <w:ind w:left="1446" w:right="142"/>
    </w:pPr>
  </w:style>
  <w:style w:type="paragraph" w:customStyle="1" w:styleId="zyTableNAm">
    <w:name w:val="zyTableNAm"/>
    <w:basedOn w:val="TableAm"/>
    <w:rPr>
      <w:sz w:val="22"/>
    </w:rPr>
  </w:style>
  <w:style w:type="paragraph" w:customStyle="1" w:styleId="zyTHeadingNAm">
    <w:name w:val="zyTHeadingNAm"/>
    <w:basedOn w:val="THeading"/>
    <w:pPr>
      <w:ind w:left="709" w:right="142"/>
    </w:pPr>
    <w:rPr>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oter" Target="footer6.xml"/><Relationship Id="rId26" Type="http://schemas.openxmlformats.org/officeDocument/2006/relationships/image" Target="media/image2.jpeg"/><Relationship Id="rId3" Type="http://schemas.microsoft.com/office/2007/relationships/stylesWithEffects" Target="stylesWithEffects.xml"/><Relationship Id="rId21" Type="http://schemas.openxmlformats.org/officeDocument/2006/relationships/footer" Target="footer7.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header" Target="header7.xml"/><Relationship Id="rId29" Type="http://schemas.openxmlformats.org/officeDocument/2006/relationships/header" Target="header1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9.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header" Target="header8.xml"/><Relationship Id="rId28" Type="http://schemas.openxmlformats.org/officeDocument/2006/relationships/header" Target="header10.xml"/><Relationship Id="rId10" Type="http://schemas.openxmlformats.org/officeDocument/2006/relationships/footer" Target="footer1.xml"/><Relationship Id="rId19" Type="http://schemas.openxmlformats.org/officeDocument/2006/relationships/header" Target="header6.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footer" Target="footer8.xml"/><Relationship Id="rId27" Type="http://schemas.openxmlformats.org/officeDocument/2006/relationships/header" Target="header9.xml"/><Relationship Id="rId30" Type="http://schemas.openxmlformats.org/officeDocument/2006/relationships/header" Target="header1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26</Pages>
  <Words>5625</Words>
  <Characters>26833</Characters>
  <Application>Microsoft Office Word</Application>
  <DocSecurity>0</DocSecurity>
  <Lines>789</Lines>
  <Paragraphs>515</Paragraphs>
  <ScaleCrop>false</ScaleCrop>
  <HeadingPairs>
    <vt:vector size="2" baseType="variant">
      <vt:variant>
        <vt:lpstr>Title</vt:lpstr>
      </vt:variant>
      <vt:variant>
        <vt:i4>1</vt:i4>
      </vt:variant>
    </vt:vector>
  </HeadingPairs>
  <TitlesOfParts>
    <vt:vector size="1" baseType="lpstr">
      <vt:lpstr>Drafting Template (Regs)</vt:lpstr>
    </vt:vector>
  </TitlesOfParts>
  <Manager/>
  <Company/>
  <LinksUpToDate>false</LinksUpToDate>
  <CharactersWithSpaces>31943</CharactersWithSpaces>
  <SharedDoc>false</SharedDoc>
  <HLinks>
    <vt:vector size="12" baseType="variant">
      <vt:variant>
        <vt:i4>4915294</vt:i4>
      </vt:variant>
      <vt:variant>
        <vt:i4>23571</vt:i4>
      </vt:variant>
      <vt:variant>
        <vt:i4>1025</vt:i4>
      </vt:variant>
      <vt:variant>
        <vt:i4>1</vt:i4>
      </vt:variant>
      <vt:variant>
        <vt:lpwstr>WCStage6.jpg</vt:lpwstr>
      </vt:variant>
      <vt:variant>
        <vt:lpwstr/>
      </vt:variant>
      <vt:variant>
        <vt:i4>4128809</vt:i4>
      </vt:variant>
      <vt:variant>
        <vt:i4>23573</vt:i4>
      </vt:variant>
      <vt:variant>
        <vt:i4>1026</vt:i4>
      </vt:variant>
      <vt:variant>
        <vt:i4>1</vt:i4>
      </vt:variant>
      <vt:variant>
        <vt:lpwstr>WCStage6_SW3_4.jpg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Water Agencies (Water Use) By-laws 2010 - 00-a0-02</dc:title>
  <dc:subject/>
  <dc:creator/>
  <cp:keywords/>
  <dc:description/>
  <cp:lastModifiedBy>svcMRProcess</cp:lastModifiedBy>
  <cp:revision>4</cp:revision>
  <cp:lastPrinted>2010-03-15T05:34:00Z</cp:lastPrinted>
  <dcterms:created xsi:type="dcterms:W3CDTF">2018-09-18T03:31:00Z</dcterms:created>
  <dcterms:modified xsi:type="dcterms:W3CDTF">2018-09-18T03:31:00Z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
    <vt:lpwstr>16 Mar 2010 p 999-1031</vt:lpwstr>
  </property>
  <property fmtid="{D5CDD505-2E9C-101B-9397-08002B2CF9AE}" pid="3" name="CommencementDate">
    <vt:lpwstr>20100316</vt:lpwstr>
  </property>
  <property fmtid="{D5CDD505-2E9C-101B-9397-08002B2CF9AE}" pid="4" name="DocumentType">
    <vt:lpwstr>Reg</vt:lpwstr>
  </property>
  <property fmtid="{D5CDD505-2E9C-101B-9397-08002B2CF9AE}" pid="5" name="AsAtDate">
    <vt:lpwstr>16 Mar 2010</vt:lpwstr>
  </property>
  <property fmtid="{D5CDD505-2E9C-101B-9397-08002B2CF9AE}" pid="6" name="Suffix">
    <vt:lpwstr>00-a0-02</vt:lpwstr>
  </property>
  <property fmtid="{D5CDD505-2E9C-101B-9397-08002B2CF9AE}" pid="7" name="OwlsUID">
    <vt:i4>42426</vt:i4>
  </property>
</Properties>
</file>