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Coordination Act 1994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_Toc257298848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_Toc257298849 \h </w:instrText>
      </w:r>
      <w:r>
        <w:fldChar w:fldCharType="separate"/>
      </w:r>
      <w:r>
        <w:t>1</w:t>
      </w:r>
      <w:r>
        <w:fldChar w:fldCharType="end"/>
      </w:r>
    </w:p>
    <w:p>
      <w:pPr>
        <w:pStyle w:val="TOC8"/>
        <w:rPr>
          <w:sz w:val="24"/>
          <w:szCs w:val="24"/>
        </w:rPr>
      </w:pPr>
      <w:r>
        <w:rPr>
          <w:szCs w:val="24"/>
        </w:rPr>
        <w:t>3.</w:t>
      </w:r>
      <w:r>
        <w:rPr>
          <w:szCs w:val="24"/>
        </w:rPr>
        <w:tab/>
        <w:t>Areas to which regulations apply</w:t>
      </w:r>
      <w:r>
        <w:tab/>
      </w:r>
      <w:r>
        <w:fldChar w:fldCharType="begin"/>
      </w:r>
      <w:r>
        <w:instrText xml:space="preserve"> PAGEREF _Toc257298850 \h </w:instrText>
      </w:r>
      <w:r>
        <w:fldChar w:fldCharType="separate"/>
      </w:r>
      <w:r>
        <w:t>1</w:t>
      </w:r>
      <w:r>
        <w:fldChar w:fldCharType="end"/>
      </w:r>
    </w:p>
    <w:p>
      <w:pPr>
        <w:pStyle w:val="TOC8"/>
        <w:rPr>
          <w:sz w:val="24"/>
          <w:szCs w:val="24"/>
        </w:rPr>
      </w:pPr>
      <w:r>
        <w:rPr>
          <w:szCs w:val="24"/>
        </w:rPr>
        <w:t>4.</w:t>
      </w:r>
      <w:r>
        <w:rPr>
          <w:szCs w:val="24"/>
        </w:rPr>
        <w:tab/>
        <w:t>Terms used</w:t>
      </w:r>
      <w:r>
        <w:tab/>
      </w:r>
      <w:r>
        <w:fldChar w:fldCharType="begin"/>
      </w:r>
      <w:r>
        <w:instrText xml:space="preserve"> PAGEREF _Toc257298851 \h </w:instrText>
      </w:r>
      <w:r>
        <w:fldChar w:fldCharType="separate"/>
      </w:r>
      <w:r>
        <w:t>1</w:t>
      </w:r>
      <w:r>
        <w:fldChar w:fldCharType="end"/>
      </w:r>
    </w:p>
    <w:p>
      <w:pPr>
        <w:pStyle w:val="TOC8"/>
        <w:rPr>
          <w:sz w:val="24"/>
          <w:szCs w:val="24"/>
        </w:rPr>
      </w:pPr>
      <w:r>
        <w:rPr>
          <w:szCs w:val="24"/>
        </w:rPr>
        <w:t>5.</w:t>
      </w:r>
      <w:r>
        <w:rPr>
          <w:szCs w:val="24"/>
        </w:rPr>
        <w:tab/>
        <w:t>Supplier to have at least one capped tariff</w:t>
      </w:r>
      <w:r>
        <w:tab/>
      </w:r>
      <w:r>
        <w:fldChar w:fldCharType="begin"/>
      </w:r>
      <w:r>
        <w:instrText xml:space="preserve"> PAGEREF _Toc257298852 \h </w:instrText>
      </w:r>
      <w:r>
        <w:fldChar w:fldCharType="separate"/>
      </w:r>
      <w:r>
        <w:t>3</w:t>
      </w:r>
      <w:r>
        <w:fldChar w:fldCharType="end"/>
      </w:r>
    </w:p>
    <w:p>
      <w:pPr>
        <w:pStyle w:val="TOC8"/>
        <w:rPr>
          <w:sz w:val="24"/>
          <w:szCs w:val="24"/>
        </w:rPr>
      </w:pPr>
      <w:r>
        <w:rPr>
          <w:szCs w:val="24"/>
        </w:rPr>
        <w:t>6.</w:t>
      </w:r>
      <w:r>
        <w:rPr>
          <w:szCs w:val="24"/>
        </w:rPr>
        <w:tab/>
        <w:t>Gas to be offered under standard contract at capped tariff</w:t>
      </w:r>
      <w:r>
        <w:tab/>
      </w:r>
      <w:r>
        <w:fldChar w:fldCharType="begin"/>
      </w:r>
      <w:r>
        <w:instrText xml:space="preserve"> PAGEREF _Toc257298853 \h </w:instrText>
      </w:r>
      <w:r>
        <w:fldChar w:fldCharType="separate"/>
      </w:r>
      <w:r>
        <w:t>3</w:t>
      </w:r>
      <w:r>
        <w:fldChar w:fldCharType="end"/>
      </w:r>
    </w:p>
    <w:p>
      <w:pPr>
        <w:pStyle w:val="TOC8"/>
        <w:rPr>
          <w:sz w:val="24"/>
          <w:szCs w:val="24"/>
        </w:rPr>
      </w:pPr>
      <w:r>
        <w:rPr>
          <w:szCs w:val="24"/>
        </w:rPr>
        <w:t>7.</w:t>
      </w:r>
      <w:r>
        <w:rPr>
          <w:szCs w:val="24"/>
        </w:rPr>
        <w:tab/>
        <w:t>Calculation of amounts</w:t>
      </w:r>
      <w:r>
        <w:tab/>
      </w:r>
      <w:r>
        <w:fldChar w:fldCharType="begin"/>
      </w:r>
      <w:r>
        <w:instrText xml:space="preserve"> PAGEREF _Toc257298854 \h </w:instrText>
      </w:r>
      <w:r>
        <w:fldChar w:fldCharType="separate"/>
      </w:r>
      <w:r>
        <w:t>4</w:t>
      </w:r>
      <w:r>
        <w:fldChar w:fldCharType="end"/>
      </w:r>
    </w:p>
    <w:p>
      <w:pPr>
        <w:pStyle w:val="TOC2"/>
        <w:tabs>
          <w:tab w:val="right" w:leader="dot" w:pos="7086"/>
        </w:tabs>
        <w:rPr>
          <w:b w:val="0"/>
          <w:sz w:val="24"/>
          <w:szCs w:val="24"/>
        </w:rPr>
      </w:pPr>
      <w:r>
        <w:rPr>
          <w:szCs w:val="28"/>
        </w:rPr>
        <w:t>Schedule 1 — Tariff caps</w:t>
      </w:r>
    </w:p>
    <w:p>
      <w:pPr>
        <w:pStyle w:val="TOC2"/>
        <w:tabs>
          <w:tab w:val="right" w:leader="dot" w:pos="7086"/>
        </w:tabs>
        <w:rPr>
          <w:b w:val="0"/>
          <w:sz w:val="24"/>
          <w:szCs w:val="24"/>
        </w:rPr>
      </w:pPr>
      <w:r>
        <w:rPr>
          <w:szCs w:val="28"/>
        </w:rPr>
        <w:t>Part 1 — Mid</w:t>
      </w:r>
      <w:r>
        <w:rPr>
          <w:szCs w:val="28"/>
        </w:rPr>
        <w:noBreakHyphen/>
        <w:t>West/South</w:t>
      </w:r>
      <w:r>
        <w:rPr>
          <w:szCs w:val="28"/>
        </w:rPr>
        <w:noBreakHyphen/>
        <w:t>West area</w:t>
      </w:r>
    </w:p>
    <w:p>
      <w:pPr>
        <w:pStyle w:val="TOC8"/>
        <w:rPr>
          <w:sz w:val="24"/>
          <w:szCs w:val="24"/>
        </w:rPr>
      </w:pPr>
      <w:r>
        <w:rPr>
          <w:szCs w:val="22"/>
        </w:rPr>
        <w:t>1.</w:t>
      </w:r>
      <w:r>
        <w:rPr>
          <w:szCs w:val="22"/>
        </w:rPr>
        <w:tab/>
        <w:t>Residential tariff</w:t>
      </w:r>
      <w:r>
        <w:tab/>
      </w:r>
      <w:r>
        <w:fldChar w:fldCharType="begin"/>
      </w:r>
      <w:r>
        <w:instrText xml:space="preserve"> PAGEREF _Toc257298857 \h </w:instrText>
      </w:r>
      <w:r>
        <w:fldChar w:fldCharType="separate"/>
      </w:r>
      <w:r>
        <w:t>5</w:t>
      </w:r>
      <w:r>
        <w:fldChar w:fldCharType="end"/>
      </w:r>
    </w:p>
    <w:p>
      <w:pPr>
        <w:pStyle w:val="TOC8"/>
        <w:rPr>
          <w:sz w:val="24"/>
          <w:szCs w:val="24"/>
        </w:rPr>
      </w:pPr>
      <w:r>
        <w:rPr>
          <w:szCs w:val="22"/>
        </w:rPr>
        <w:t>2.</w:t>
      </w:r>
      <w:r>
        <w:rPr>
          <w:szCs w:val="22"/>
        </w:rPr>
        <w:tab/>
        <w:t>Non</w:t>
      </w:r>
      <w:r>
        <w:rPr>
          <w:szCs w:val="22"/>
        </w:rPr>
        <w:noBreakHyphen/>
        <w:t>residential tariff</w:t>
      </w:r>
      <w:r>
        <w:tab/>
      </w:r>
      <w:r>
        <w:fldChar w:fldCharType="begin"/>
      </w:r>
      <w:r>
        <w:instrText xml:space="preserve"> PAGEREF _Toc257298858 \h </w:instrText>
      </w:r>
      <w:r>
        <w:fldChar w:fldCharType="separate"/>
      </w:r>
      <w:r>
        <w:t>6</w:t>
      </w:r>
      <w:r>
        <w:fldChar w:fldCharType="end"/>
      </w:r>
    </w:p>
    <w:p>
      <w:pPr>
        <w:pStyle w:val="TOC2"/>
        <w:tabs>
          <w:tab w:val="right" w:leader="dot" w:pos="7086"/>
        </w:tabs>
        <w:rPr>
          <w:b w:val="0"/>
          <w:sz w:val="24"/>
          <w:szCs w:val="24"/>
        </w:rPr>
      </w:pPr>
      <w:r>
        <w:rPr>
          <w:szCs w:val="28"/>
        </w:rPr>
        <w:t>Part 2 — Albany area</w:t>
      </w:r>
    </w:p>
    <w:p>
      <w:pPr>
        <w:pStyle w:val="TOC8"/>
        <w:rPr>
          <w:sz w:val="24"/>
          <w:szCs w:val="24"/>
        </w:rPr>
      </w:pPr>
      <w:r>
        <w:rPr>
          <w:szCs w:val="22"/>
        </w:rPr>
        <w:t>3.</w:t>
      </w:r>
      <w:r>
        <w:rPr>
          <w:szCs w:val="22"/>
        </w:rPr>
        <w:tab/>
        <w:t>Residential tariff</w:t>
      </w:r>
      <w:r>
        <w:tab/>
      </w:r>
      <w:r>
        <w:fldChar w:fldCharType="begin"/>
      </w:r>
      <w:r>
        <w:instrText xml:space="preserve"> PAGEREF _Toc257298860 \h </w:instrText>
      </w:r>
      <w:r>
        <w:fldChar w:fldCharType="separate"/>
      </w:r>
      <w:r>
        <w:t>7</w:t>
      </w:r>
      <w:r>
        <w:fldChar w:fldCharType="end"/>
      </w:r>
    </w:p>
    <w:p>
      <w:pPr>
        <w:pStyle w:val="TOC8"/>
        <w:rPr>
          <w:sz w:val="24"/>
          <w:szCs w:val="24"/>
        </w:rPr>
      </w:pPr>
      <w:r>
        <w:rPr>
          <w:szCs w:val="22"/>
        </w:rPr>
        <w:t>4.</w:t>
      </w:r>
      <w:r>
        <w:rPr>
          <w:szCs w:val="22"/>
        </w:rPr>
        <w:tab/>
        <w:t>Non</w:t>
      </w:r>
      <w:r>
        <w:rPr>
          <w:szCs w:val="22"/>
        </w:rPr>
        <w:noBreakHyphen/>
        <w:t>residential tariff</w:t>
      </w:r>
      <w:r>
        <w:tab/>
      </w:r>
      <w:r>
        <w:fldChar w:fldCharType="begin"/>
      </w:r>
      <w:r>
        <w:instrText xml:space="preserve"> PAGEREF _Toc257298861 \h </w:instrText>
      </w:r>
      <w:r>
        <w:fldChar w:fldCharType="separate"/>
      </w:r>
      <w:r>
        <w:t>7</w:t>
      </w:r>
      <w:r>
        <w:fldChar w:fldCharType="end"/>
      </w:r>
    </w:p>
    <w:p>
      <w:pPr>
        <w:pStyle w:val="TOC2"/>
        <w:tabs>
          <w:tab w:val="right" w:leader="dot" w:pos="7086"/>
        </w:tabs>
        <w:rPr>
          <w:b w:val="0"/>
          <w:sz w:val="24"/>
          <w:szCs w:val="24"/>
        </w:rPr>
      </w:pPr>
      <w:r>
        <w:rPr>
          <w:szCs w:val="28"/>
        </w:rPr>
        <w:t>Part 3 — Kalgoorlie</w:t>
      </w:r>
      <w:r>
        <w:rPr>
          <w:szCs w:val="28"/>
        </w:rPr>
        <w:noBreakHyphen/>
        <w:t>Boulder area</w:t>
      </w:r>
    </w:p>
    <w:p>
      <w:pPr>
        <w:pStyle w:val="TOC8"/>
        <w:rPr>
          <w:sz w:val="24"/>
          <w:szCs w:val="24"/>
        </w:rPr>
      </w:pPr>
      <w:r>
        <w:rPr>
          <w:szCs w:val="22"/>
        </w:rPr>
        <w:t>5.</w:t>
      </w:r>
      <w:r>
        <w:rPr>
          <w:szCs w:val="22"/>
        </w:rPr>
        <w:tab/>
        <w:t>Residential tariff</w:t>
      </w:r>
      <w:r>
        <w:tab/>
      </w:r>
      <w:r>
        <w:fldChar w:fldCharType="begin"/>
      </w:r>
      <w:r>
        <w:instrText xml:space="preserve"> PAGEREF _Toc257298863 \h </w:instrText>
      </w:r>
      <w:r>
        <w:fldChar w:fldCharType="separate"/>
      </w:r>
      <w:r>
        <w:t>8</w:t>
      </w:r>
      <w:r>
        <w:fldChar w:fldCharType="end"/>
      </w:r>
    </w:p>
    <w:p>
      <w:pPr>
        <w:pStyle w:val="TOC8"/>
        <w:rPr>
          <w:sz w:val="24"/>
          <w:szCs w:val="24"/>
        </w:rPr>
      </w:pPr>
      <w:r>
        <w:rPr>
          <w:szCs w:val="22"/>
        </w:rPr>
        <w:t>6.</w:t>
      </w:r>
      <w:r>
        <w:rPr>
          <w:szCs w:val="22"/>
        </w:rPr>
        <w:tab/>
        <w:t>Non</w:t>
      </w:r>
      <w:r>
        <w:rPr>
          <w:szCs w:val="22"/>
        </w:rPr>
        <w:noBreakHyphen/>
        <w:t>residential tariff</w:t>
      </w:r>
      <w:r>
        <w:tab/>
      </w:r>
      <w:r>
        <w:fldChar w:fldCharType="begin"/>
      </w:r>
      <w:r>
        <w:instrText xml:space="preserve"> PAGEREF _Toc257298864 \h </w:instrText>
      </w:r>
      <w:r>
        <w:fldChar w:fldCharType="separate"/>
      </w:r>
      <w:r>
        <w:t>8</w:t>
      </w:r>
      <w:r>
        <w:fldChar w:fldCharType="end"/>
      </w:r>
    </w:p>
    <w:p>
      <w:pPr>
        <w:pStyle w:val="TOC2"/>
        <w:tabs>
          <w:tab w:val="right" w:leader="dot" w:pos="7086"/>
        </w:tabs>
        <w:rPr>
          <w:b w:val="0"/>
          <w:sz w:val="24"/>
          <w:szCs w:val="24"/>
        </w:rPr>
      </w:pPr>
      <w:r>
        <w:rPr>
          <w:szCs w:val="28"/>
        </w:rPr>
        <w:lastRenderedPageBreak/>
        <w:t>Part 4</w:t>
      </w:r>
      <w:r>
        <w:rPr>
          <w:b w:val="0"/>
          <w:szCs w:val="28"/>
        </w:rPr>
        <w:t> </w:t>
      </w:r>
      <w:r>
        <w:rPr>
          <w:szCs w:val="28"/>
        </w:rPr>
        <w:t>—</w:t>
      </w:r>
      <w:r>
        <w:rPr>
          <w:b w:val="0"/>
          <w:szCs w:val="28"/>
        </w:rPr>
        <w:t> </w:t>
      </w:r>
      <w:r>
        <w:rPr>
          <w:szCs w:val="28"/>
        </w:rPr>
        <w:t>Adjustment of certain tariff caps</w:t>
      </w:r>
    </w:p>
    <w:p>
      <w:pPr>
        <w:pStyle w:val="TOC8"/>
        <w:rPr>
          <w:sz w:val="24"/>
          <w:szCs w:val="24"/>
        </w:rPr>
      </w:pPr>
      <w:r>
        <w:rPr>
          <w:szCs w:val="22"/>
        </w:rPr>
        <w:t>7.</w:t>
      </w:r>
      <w:r>
        <w:rPr>
          <w:szCs w:val="22"/>
        </w:rPr>
        <w:tab/>
        <w:t>Term used: CPI number</w:t>
      </w:r>
      <w:r>
        <w:tab/>
      </w:r>
      <w:r>
        <w:fldChar w:fldCharType="begin"/>
      </w:r>
      <w:r>
        <w:instrText xml:space="preserve"> PAGEREF _Toc257298866 \h </w:instrText>
      </w:r>
      <w:r>
        <w:fldChar w:fldCharType="separate"/>
      </w:r>
      <w:r>
        <w:t>9</w:t>
      </w:r>
      <w:r>
        <w:fldChar w:fldCharType="end"/>
      </w:r>
    </w:p>
    <w:p>
      <w:pPr>
        <w:pStyle w:val="TOC8"/>
        <w:rPr>
          <w:sz w:val="24"/>
          <w:szCs w:val="24"/>
        </w:rPr>
      </w:pPr>
      <w:r>
        <w:rPr>
          <w:szCs w:val="22"/>
        </w:rPr>
        <w:t>8.</w:t>
      </w:r>
      <w:r>
        <w:rPr>
          <w:szCs w:val="22"/>
        </w:rPr>
        <w:tab/>
        <w:t>General adjustment for 2011/12 financial year and subsequent financial years</w:t>
      </w:r>
      <w:r>
        <w:tab/>
      </w:r>
      <w:r>
        <w:fldChar w:fldCharType="begin"/>
      </w:r>
      <w:r>
        <w:instrText xml:space="preserve"> PAGEREF _Toc257298867 \h </w:instrText>
      </w:r>
      <w:r>
        <w:fldChar w:fldCharType="separate"/>
      </w:r>
      <w:r>
        <w:t>9</w:t>
      </w:r>
      <w:r>
        <w:fldChar w:fldCharType="end"/>
      </w:r>
    </w:p>
    <w:p>
      <w:pPr>
        <w:pStyle w:val="TOC8"/>
        <w:rPr>
          <w:sz w:val="24"/>
          <w:szCs w:val="24"/>
        </w:rPr>
      </w:pPr>
      <w:r>
        <w:rPr>
          <w:szCs w:val="22"/>
        </w:rPr>
        <w:t>9.</w:t>
      </w:r>
      <w:r>
        <w:rPr>
          <w:szCs w:val="22"/>
        </w:rPr>
        <w:tab/>
        <w:t>Special adjustment for residential tariffs in Mid</w:t>
      </w:r>
      <w:r>
        <w:rPr>
          <w:szCs w:val="22"/>
        </w:rPr>
        <w:noBreakHyphen/>
        <w:t>West/South</w:t>
      </w:r>
      <w:r>
        <w:rPr>
          <w:szCs w:val="22"/>
        </w:rPr>
        <w:noBreakHyphen/>
        <w:t>West area</w:t>
      </w:r>
      <w:r>
        <w:tab/>
      </w:r>
      <w:r>
        <w:fldChar w:fldCharType="begin"/>
      </w:r>
      <w:r>
        <w:instrText xml:space="preserve"> PAGEREF _Toc257298868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_Toc257298870 \h </w:instrText>
      </w:r>
      <w:r>
        <w:fldChar w:fldCharType="separate"/>
      </w:r>
      <w:r>
        <w:t>12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bookmarkStart w:id="10" w:name="_Toc257298695"/>
      <w:bookmarkStart w:id="11" w:name="_Toc2572988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84947032"/>
      <w:bookmarkStart w:id="13" w:name="_Toc22697744"/>
      <w:bookmarkStart w:id="14" w:name="_Toc22697819"/>
      <w:bookmarkStart w:id="15" w:name="_Toc234139441"/>
      <w:bookmarkStart w:id="16" w:name="_Toc257298848"/>
      <w:r>
        <w:rPr>
          <w:rStyle w:val="CharSectno"/>
        </w:rPr>
        <w:t>1</w:t>
      </w:r>
      <w:r>
        <w:t>.</w:t>
      </w:r>
      <w:r>
        <w:tab/>
      </w:r>
      <w:bookmarkStart w:id="17" w:name="Start_Cursor"/>
      <w:bookmarkEnd w:id="17"/>
      <w:r>
        <w:t>Citation</w:t>
      </w:r>
      <w:bookmarkEnd w:id="12"/>
      <w:bookmarkEnd w:id="13"/>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18" w:name="_Toc484947033"/>
      <w:bookmarkStart w:id="19" w:name="_Toc22697745"/>
      <w:bookmarkStart w:id="20" w:name="_Toc22697820"/>
      <w:bookmarkStart w:id="21" w:name="_Toc234139442"/>
      <w:bookmarkStart w:id="22" w:name="_Toc257298849"/>
      <w:r>
        <w:rPr>
          <w:rStyle w:val="CharSectno"/>
        </w:rPr>
        <w:t>2</w:t>
      </w:r>
      <w:r>
        <w:rPr>
          <w:spacing w:val="-2"/>
        </w:rPr>
        <w:t>.</w:t>
      </w:r>
      <w:r>
        <w:rPr>
          <w:spacing w:val="-2"/>
        </w:rPr>
        <w:tab/>
        <w:t>Commencement</w:t>
      </w:r>
      <w:bookmarkEnd w:id="18"/>
      <w:bookmarkEnd w:id="19"/>
      <w:bookmarkEnd w:id="20"/>
      <w:bookmarkEnd w:id="21"/>
      <w:bookmarkEnd w:id="22"/>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3" w:name="_Toc484947034"/>
      <w:bookmarkStart w:id="24" w:name="_Toc22697746"/>
      <w:bookmarkStart w:id="25" w:name="_Toc22697821"/>
      <w:bookmarkStart w:id="26" w:name="_Toc234139443"/>
      <w:bookmarkStart w:id="27" w:name="_Toc257298850"/>
      <w:r>
        <w:rPr>
          <w:rStyle w:val="CharSectno"/>
        </w:rPr>
        <w:t>3</w:t>
      </w:r>
      <w:r>
        <w:t>.</w:t>
      </w:r>
      <w:r>
        <w:tab/>
        <w:t>Areas to which regulations apply</w:t>
      </w:r>
      <w:bookmarkEnd w:id="23"/>
      <w:bookmarkEnd w:id="24"/>
      <w:bookmarkEnd w:id="25"/>
      <w:bookmarkEnd w:id="26"/>
      <w:bookmarkEnd w:id="27"/>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28" w:name="_Toc484947035"/>
      <w:bookmarkStart w:id="29" w:name="_Toc22697747"/>
      <w:bookmarkStart w:id="30" w:name="_Toc22697822"/>
      <w:bookmarkStart w:id="31" w:name="_Toc234139444"/>
      <w:bookmarkStart w:id="32" w:name="_Toc257298851"/>
      <w:r>
        <w:rPr>
          <w:rStyle w:val="CharSectno"/>
        </w:rPr>
        <w:t>4</w:t>
      </w:r>
      <w:r>
        <w:t>.</w:t>
      </w:r>
      <w:r>
        <w:tab/>
      </w:r>
      <w:bookmarkEnd w:id="28"/>
      <w:bookmarkEnd w:id="29"/>
      <w:bookmarkEnd w:id="30"/>
      <w:bookmarkEnd w:id="31"/>
      <w:r>
        <w:t>Terms used</w:t>
      </w:r>
      <w:bookmarkEnd w:id="32"/>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33" w:name="_Toc484947036"/>
      <w:bookmarkStart w:id="34" w:name="_Toc22697748"/>
      <w:bookmarkStart w:id="35" w:name="_Toc22697823"/>
      <w:bookmarkStart w:id="36" w:name="_Toc234139445"/>
      <w:bookmarkStart w:id="37" w:name="_Toc257298852"/>
      <w:r>
        <w:rPr>
          <w:rStyle w:val="CharSectno"/>
        </w:rPr>
        <w:t>5</w:t>
      </w:r>
      <w:r>
        <w:t>.</w:t>
      </w:r>
      <w:r>
        <w:tab/>
        <w:t>Supplier to have at least one capped tariff</w:t>
      </w:r>
      <w:bookmarkEnd w:id="33"/>
      <w:bookmarkEnd w:id="34"/>
      <w:bookmarkEnd w:id="35"/>
      <w:bookmarkEnd w:id="36"/>
      <w:bookmarkEnd w:id="37"/>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38" w:name="_Hlt472841165"/>
      <w:bookmarkEnd w:id="38"/>
      <w:r>
        <w:t>(2)</w:t>
      </w:r>
      <w:r>
        <w:tab/>
      </w:r>
      <w:bookmarkStart w:id="39" w:name="_Hlt472841237"/>
      <w:bookmarkEnd w:id="39"/>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0" w:name="_Hlt476566238"/>
      <w:bookmarkEnd w:id="40"/>
      <w:r>
        <w:t>1.</w:t>
      </w:r>
    </w:p>
    <w:p>
      <w:pPr>
        <w:pStyle w:val="Footnotesection"/>
      </w:pPr>
      <w:r>
        <w:tab/>
        <w:t>[Regulation 5 amended in Gazette 18 Oct 2002 p. 5224.]</w:t>
      </w:r>
    </w:p>
    <w:p>
      <w:pPr>
        <w:pStyle w:val="Heading5"/>
      </w:pPr>
      <w:bookmarkStart w:id="41" w:name="_Toc484947037"/>
      <w:bookmarkStart w:id="42" w:name="_Toc22697749"/>
      <w:bookmarkStart w:id="43" w:name="_Toc22697824"/>
      <w:bookmarkStart w:id="44" w:name="_Toc234139446"/>
      <w:bookmarkStart w:id="45" w:name="_Toc257298853"/>
      <w:r>
        <w:rPr>
          <w:rStyle w:val="CharSectno"/>
        </w:rPr>
        <w:t>6</w:t>
      </w:r>
      <w:r>
        <w:t>.</w:t>
      </w:r>
      <w:r>
        <w:tab/>
        <w:t>Gas to be offered under standard contract at capped tariff</w:t>
      </w:r>
      <w:bookmarkEnd w:id="41"/>
      <w:bookmarkEnd w:id="42"/>
      <w:bookmarkEnd w:id="43"/>
      <w:bookmarkEnd w:id="44"/>
      <w:bookmarkEnd w:id="45"/>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46" w:name="_Toc484947038"/>
      <w:bookmarkStart w:id="47" w:name="_Toc22697750"/>
      <w:bookmarkStart w:id="48" w:name="_Toc22697825"/>
      <w:bookmarkStart w:id="49" w:name="_Toc234139447"/>
      <w:bookmarkStart w:id="50" w:name="_Toc257298854"/>
      <w:r>
        <w:rPr>
          <w:rStyle w:val="CharSectno"/>
        </w:rPr>
        <w:t>7</w:t>
      </w:r>
      <w:r>
        <w:t>.</w:t>
      </w:r>
      <w:r>
        <w:tab/>
        <w:t>Calculation of amounts</w:t>
      </w:r>
      <w:bookmarkEnd w:id="46"/>
      <w:bookmarkEnd w:id="47"/>
      <w:bookmarkEnd w:id="48"/>
      <w:bookmarkEnd w:id="49"/>
      <w:bookmarkEnd w:id="50"/>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 w:name="_Toc234139448"/>
      <w:bookmarkStart w:id="52" w:name="_Toc238528506"/>
      <w:bookmarkStart w:id="53" w:name="_Toc238528586"/>
      <w:bookmarkStart w:id="54" w:name="_Toc238529198"/>
      <w:bookmarkStart w:id="55" w:name="_Toc238969832"/>
      <w:bookmarkStart w:id="56" w:name="_Toc238973696"/>
      <w:bookmarkStart w:id="57" w:name="_Toc238973809"/>
      <w:bookmarkStart w:id="58" w:name="_Toc240447154"/>
      <w:bookmarkStart w:id="59" w:name="_Toc257298703"/>
      <w:bookmarkStart w:id="60" w:name="_Toc257298855"/>
      <w:r>
        <w:rPr>
          <w:rStyle w:val="CharSchNo"/>
        </w:rPr>
        <w:t>Schedule 1</w:t>
      </w:r>
      <w:r>
        <w:t xml:space="preserve"> — </w:t>
      </w:r>
      <w:r>
        <w:rPr>
          <w:rStyle w:val="CharSchText"/>
        </w:rPr>
        <w:t>Tariff caps</w:t>
      </w:r>
      <w:bookmarkEnd w:id="51"/>
      <w:bookmarkEnd w:id="52"/>
      <w:bookmarkEnd w:id="53"/>
      <w:bookmarkEnd w:id="54"/>
      <w:bookmarkEnd w:id="55"/>
      <w:bookmarkEnd w:id="56"/>
      <w:bookmarkEnd w:id="57"/>
      <w:bookmarkEnd w:id="58"/>
      <w:bookmarkEnd w:id="59"/>
      <w:bookmarkEnd w:id="60"/>
    </w:p>
    <w:p>
      <w:pPr>
        <w:pStyle w:val="yShoulderClause"/>
      </w:pPr>
      <w:r>
        <w:t>[r. 5(2)]</w:t>
      </w:r>
    </w:p>
    <w:p>
      <w:pPr>
        <w:pStyle w:val="yHeading2"/>
      </w:pPr>
      <w:bookmarkStart w:id="61" w:name="_Toc234139449"/>
      <w:bookmarkStart w:id="62" w:name="_Toc238528507"/>
      <w:bookmarkStart w:id="63" w:name="_Toc238528587"/>
      <w:bookmarkStart w:id="64" w:name="_Toc238529199"/>
      <w:bookmarkStart w:id="65" w:name="_Toc238969833"/>
      <w:bookmarkStart w:id="66" w:name="_Toc238973697"/>
      <w:bookmarkStart w:id="67" w:name="_Toc238973810"/>
      <w:bookmarkStart w:id="68" w:name="_Toc240447155"/>
      <w:bookmarkStart w:id="69" w:name="_Toc257298704"/>
      <w:bookmarkStart w:id="70" w:name="_Toc257298856"/>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61"/>
      <w:bookmarkEnd w:id="62"/>
      <w:bookmarkEnd w:id="63"/>
      <w:bookmarkEnd w:id="64"/>
      <w:bookmarkEnd w:id="65"/>
      <w:bookmarkEnd w:id="66"/>
      <w:bookmarkEnd w:id="67"/>
      <w:bookmarkEnd w:id="68"/>
      <w:bookmarkEnd w:id="69"/>
      <w:bookmarkEnd w:id="70"/>
    </w:p>
    <w:p>
      <w:pPr>
        <w:pStyle w:val="yHeading5"/>
      </w:pPr>
      <w:bookmarkStart w:id="71" w:name="_Toc484947040"/>
      <w:bookmarkStart w:id="72" w:name="_Toc234139450"/>
      <w:bookmarkStart w:id="73" w:name="_Toc257298857"/>
      <w:r>
        <w:rPr>
          <w:rStyle w:val="CharSClsNo"/>
        </w:rPr>
        <w:t>1</w:t>
      </w:r>
      <w:r>
        <w:t>.</w:t>
      </w:r>
      <w:r>
        <w:tab/>
        <w:t>Residential tariff</w:t>
      </w:r>
      <w:bookmarkEnd w:id="71"/>
      <w:bookmarkEnd w:id="72"/>
      <w:bookmarkEnd w:id="73"/>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74" w:name="_Hlt471891727"/>
      <w:bookmarkStart w:id="75" w:name="_Hlt472825911"/>
      <w:bookmarkEnd w:id="74"/>
      <w:r>
        <w:t>4</w:t>
      </w:r>
      <w:bookmarkEnd w:id="75"/>
      <w:r>
        <w:t>.</w:t>
      </w:r>
    </w:p>
    <w:p>
      <w:pPr>
        <w:pStyle w:val="yTHeadingNAm"/>
      </w:pPr>
      <w:bookmarkStart w:id="76"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15.56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10.74 cents per unit for the first L units</w:t>
            </w:r>
          </w:p>
        </w:tc>
      </w:tr>
      <w:tr>
        <w:tc>
          <w:tcPr>
            <w:tcW w:w="2977" w:type="dxa"/>
            <w:tcBorders>
              <w:top w:val="nil"/>
              <w:bottom w:val="nil"/>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nil"/>
            </w:tcBorders>
          </w:tcPr>
          <w:p>
            <w:pPr>
              <w:pStyle w:val="yTableNAm"/>
            </w:pPr>
            <w:r>
              <w:t>9.69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third usage component</w:t>
            </w:r>
          </w:p>
        </w:tc>
        <w:tc>
          <w:tcPr>
            <w:tcW w:w="3260" w:type="dxa"/>
            <w:tcBorders>
              <w:top w:val="nil"/>
              <w:bottom w:val="single" w:sz="4" w:space="0" w:color="auto"/>
            </w:tcBorders>
          </w:tcPr>
          <w:p>
            <w:pPr>
              <w:pStyle w:val="yTableNAm"/>
            </w:pPr>
            <w:r>
              <w:t>9.69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 w:val="left" w:pos="864"/>
              </w:tabs>
              <w:ind w:left="864" w:hanging="864"/>
            </w:pPr>
            <w:r>
              <w:tab/>
              <w:t>F = the number of dwellings</w:t>
            </w:r>
          </w:p>
        </w:tc>
      </w:tr>
    </w:tbl>
    <w:p>
      <w:pPr>
        <w:pStyle w:val="yFootnotesection"/>
      </w:pPr>
      <w:r>
        <w:tab/>
        <w:t>[Clause 1 amended in Gazette 18 Oct 2002 p. 5224; 30 Jun 2008 p. 3133-4; 30 Jun 2009 p. 2669</w:t>
      </w:r>
      <w:r>
        <w:noBreakHyphen/>
        <w:t>70; 26 Mar 2010 p. 1143.]</w:t>
      </w:r>
    </w:p>
    <w:p>
      <w:pPr>
        <w:pStyle w:val="yHeading5"/>
      </w:pPr>
      <w:bookmarkStart w:id="77" w:name="_Toc234139451"/>
      <w:bookmarkStart w:id="78" w:name="_Toc257298858"/>
      <w:r>
        <w:rPr>
          <w:rStyle w:val="CharSClsNo"/>
        </w:rPr>
        <w:t>2</w:t>
      </w:r>
      <w:r>
        <w:t>.</w:t>
      </w:r>
      <w:r>
        <w:tab/>
        <w:t>Non</w:t>
      </w:r>
      <w:r>
        <w:noBreakHyphen/>
        <w:t>residential tariff</w:t>
      </w:r>
      <w:bookmarkEnd w:id="76"/>
      <w:bookmarkEnd w:id="77"/>
      <w:bookmarkEnd w:id="78"/>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13.54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9.79 cents per unit for the</w:t>
            </w:r>
            <w:bookmarkStart w:id="79" w:name="_Hlt472129287"/>
            <w:bookmarkEnd w:id="79"/>
            <w:r>
              <w:t xml:space="preserv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7.84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w:t>
      </w:r>
    </w:p>
    <w:p>
      <w:pPr>
        <w:pStyle w:val="yHeading2"/>
      </w:pPr>
      <w:bookmarkStart w:id="80" w:name="_Toc234139452"/>
      <w:bookmarkStart w:id="81" w:name="_Toc238528510"/>
      <w:bookmarkStart w:id="82" w:name="_Toc238528590"/>
      <w:bookmarkStart w:id="83" w:name="_Toc238529202"/>
      <w:bookmarkStart w:id="84" w:name="_Toc238969836"/>
      <w:bookmarkStart w:id="85" w:name="_Toc238973700"/>
      <w:bookmarkStart w:id="86" w:name="_Toc238973813"/>
      <w:bookmarkStart w:id="87" w:name="_Toc240447158"/>
      <w:bookmarkStart w:id="88" w:name="_Toc257298707"/>
      <w:bookmarkStart w:id="89" w:name="_Toc257298859"/>
      <w:r>
        <w:rPr>
          <w:rStyle w:val="CharSDivNo"/>
          <w:sz w:val="28"/>
        </w:rPr>
        <w:t>Part 2</w:t>
      </w:r>
      <w:r>
        <w:rPr>
          <w:rStyle w:val="CharDivNo"/>
        </w:rPr>
        <w:t xml:space="preserve"> </w:t>
      </w:r>
      <w:r>
        <w:t>—</w:t>
      </w:r>
      <w:r>
        <w:rPr>
          <w:rStyle w:val="CharDivText"/>
        </w:rPr>
        <w:t xml:space="preserve"> </w:t>
      </w:r>
      <w:r>
        <w:rPr>
          <w:rStyle w:val="CharSDivText"/>
          <w:sz w:val="28"/>
        </w:rPr>
        <w:t>Albany area</w:t>
      </w:r>
      <w:bookmarkEnd w:id="80"/>
      <w:bookmarkEnd w:id="81"/>
      <w:bookmarkEnd w:id="82"/>
      <w:bookmarkEnd w:id="83"/>
      <w:bookmarkEnd w:id="84"/>
      <w:bookmarkEnd w:id="85"/>
      <w:bookmarkEnd w:id="86"/>
      <w:bookmarkEnd w:id="87"/>
      <w:bookmarkEnd w:id="88"/>
      <w:bookmarkEnd w:id="89"/>
    </w:p>
    <w:p>
      <w:pPr>
        <w:pStyle w:val="yHeading5"/>
      </w:pPr>
      <w:bookmarkStart w:id="90" w:name="_Toc484947042"/>
      <w:bookmarkStart w:id="91" w:name="_Toc234139453"/>
      <w:bookmarkStart w:id="92" w:name="_Toc257298860"/>
      <w:r>
        <w:rPr>
          <w:rStyle w:val="CharSClsNo"/>
        </w:rPr>
        <w:t>3</w:t>
      </w:r>
      <w:r>
        <w:t>.</w:t>
      </w:r>
      <w:r>
        <w:tab/>
        <w:t>Residential tariff</w:t>
      </w:r>
      <w:bookmarkEnd w:id="90"/>
      <w:bookmarkEnd w:id="91"/>
      <w:bookmarkEnd w:id="92"/>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93"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for premises other than those described in paragraph (b) — 16.81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918"/>
              </w:tabs>
              <w:ind w:left="918" w:hanging="918"/>
            </w:pPr>
            <w:r>
              <w:tab/>
              <w:t>•</w:t>
            </w:r>
            <w:r>
              <w:tab/>
              <w:t>16.81 cents per day for the first dwelling</w:t>
            </w:r>
          </w:p>
          <w:p>
            <w:pPr>
              <w:pStyle w:val="yTableNAm"/>
              <w:tabs>
                <w:tab w:val="clear" w:pos="567"/>
                <w:tab w:val="left" w:pos="438"/>
                <w:tab w:val="left" w:pos="918"/>
              </w:tabs>
              <w:ind w:left="918" w:hanging="918"/>
            </w:pPr>
            <w:r>
              <w:tab/>
              <w:t>•</w:t>
            </w:r>
            <w:r>
              <w:tab/>
              <w:t>8.38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12.22 cents per unit</w:t>
            </w:r>
          </w:p>
        </w:tc>
      </w:tr>
    </w:tbl>
    <w:p>
      <w:pPr>
        <w:pStyle w:val="yFootnotesection"/>
      </w:pPr>
      <w:r>
        <w:tab/>
        <w:t>[Clause 3 amended in Gazette 18 Oct 2002 p. 5224; 30 Jun 2008 p. 3134; 30 Jun 2009 p. 2672; 26 Mar 2010 p. 1144.]</w:t>
      </w:r>
    </w:p>
    <w:p>
      <w:pPr>
        <w:pStyle w:val="yHeading5"/>
      </w:pPr>
      <w:bookmarkStart w:id="94" w:name="_Toc234139454"/>
      <w:bookmarkStart w:id="95" w:name="_Toc257298861"/>
      <w:r>
        <w:rPr>
          <w:rStyle w:val="CharSClsNo"/>
        </w:rPr>
        <w:t>4</w:t>
      </w:r>
      <w:r>
        <w:t>.</w:t>
      </w:r>
      <w:r>
        <w:tab/>
        <w:t>Non</w:t>
      </w:r>
      <w:r>
        <w:noBreakHyphen/>
        <w:t>residential tariff</w:t>
      </w:r>
      <w:bookmarkEnd w:id="93"/>
      <w:bookmarkEnd w:id="94"/>
      <w:bookmarkEnd w:id="95"/>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16.81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12.22 cents per unit</w:t>
            </w:r>
          </w:p>
        </w:tc>
      </w:tr>
    </w:tbl>
    <w:p>
      <w:pPr>
        <w:pStyle w:val="yFootnotesection"/>
      </w:pPr>
      <w:r>
        <w:tab/>
        <w:t>[Clause 4 amended in Gazette 18 Oct 2002 p. 5224; 30 Jun 2008 p. 3135; 30 Jun 2009 p. 2672; 26 Mar 2010 p. 1144.]</w:t>
      </w:r>
    </w:p>
    <w:p>
      <w:pPr>
        <w:pStyle w:val="yHeading2"/>
        <w:rPr>
          <w:rStyle w:val="CharPartText"/>
        </w:rPr>
      </w:pPr>
      <w:bookmarkStart w:id="96" w:name="_Toc234139455"/>
      <w:bookmarkStart w:id="97" w:name="_Toc238528513"/>
      <w:bookmarkStart w:id="98" w:name="_Toc238528593"/>
      <w:bookmarkStart w:id="99" w:name="_Toc238529205"/>
      <w:bookmarkStart w:id="100" w:name="_Toc238969839"/>
      <w:bookmarkStart w:id="101" w:name="_Toc238973703"/>
      <w:bookmarkStart w:id="102" w:name="_Toc238973816"/>
      <w:bookmarkStart w:id="103" w:name="_Toc240447161"/>
      <w:bookmarkStart w:id="104" w:name="_Toc257298710"/>
      <w:bookmarkStart w:id="105" w:name="_Toc257298862"/>
      <w:r>
        <w:rPr>
          <w:rStyle w:val="CharSDivNo"/>
          <w:sz w:val="28"/>
        </w:rPr>
        <w:t>Part 3</w:t>
      </w:r>
      <w:r>
        <w:t xml:space="preserve"> — </w:t>
      </w:r>
      <w:r>
        <w:rPr>
          <w:rStyle w:val="CharSDivText"/>
          <w:sz w:val="28"/>
        </w:rPr>
        <w:t>Kalgoorlie</w:t>
      </w:r>
      <w:r>
        <w:rPr>
          <w:rStyle w:val="CharSDivText"/>
          <w:sz w:val="28"/>
        </w:rPr>
        <w:noBreakHyphen/>
        <w:t>Boulder area</w:t>
      </w:r>
      <w:bookmarkEnd w:id="96"/>
      <w:bookmarkEnd w:id="97"/>
      <w:bookmarkEnd w:id="98"/>
      <w:bookmarkEnd w:id="99"/>
      <w:bookmarkEnd w:id="100"/>
      <w:bookmarkEnd w:id="101"/>
      <w:bookmarkEnd w:id="102"/>
      <w:bookmarkEnd w:id="103"/>
      <w:bookmarkEnd w:id="104"/>
      <w:bookmarkEnd w:id="105"/>
    </w:p>
    <w:p>
      <w:pPr>
        <w:pStyle w:val="yHeading5"/>
      </w:pPr>
      <w:bookmarkStart w:id="106" w:name="_Toc484947044"/>
      <w:bookmarkStart w:id="107" w:name="_Toc234139456"/>
      <w:bookmarkStart w:id="108" w:name="_Toc257298863"/>
      <w:r>
        <w:rPr>
          <w:rStyle w:val="CharSClsNo"/>
        </w:rPr>
        <w:t>5</w:t>
      </w:r>
      <w:r>
        <w:t>.</w:t>
      </w:r>
      <w:r>
        <w:tab/>
        <w:t>Residential tariff</w:t>
      </w:r>
      <w:bookmarkEnd w:id="106"/>
      <w:bookmarkEnd w:id="107"/>
      <w:bookmarkEnd w:id="108"/>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09"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34.99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9.98 cents per unit</w:t>
            </w:r>
          </w:p>
        </w:tc>
      </w:tr>
    </w:tbl>
    <w:p>
      <w:pPr>
        <w:pStyle w:val="yFootnotesection"/>
      </w:pPr>
      <w:r>
        <w:tab/>
        <w:t>[Clause 5 amended in Gazette 18 Oct 2002 p. 5224</w:t>
      </w:r>
      <w:r>
        <w:noBreakHyphen/>
        <w:t>5; 30 Jun 2008 p. 3135; 30 Jun 2009 p. 2672; 26 Mar 2010 p. 1144.]</w:t>
      </w:r>
    </w:p>
    <w:p>
      <w:pPr>
        <w:pStyle w:val="yHeading5"/>
      </w:pPr>
      <w:bookmarkStart w:id="110" w:name="_Toc234139457"/>
      <w:bookmarkStart w:id="111" w:name="_Toc257298864"/>
      <w:r>
        <w:rPr>
          <w:rStyle w:val="CharSClsNo"/>
        </w:rPr>
        <w:t>6</w:t>
      </w:r>
      <w:r>
        <w:t>.</w:t>
      </w:r>
      <w:r>
        <w:tab/>
        <w:t>Non</w:t>
      </w:r>
      <w:r>
        <w:noBreakHyphen/>
        <w:t>residential tariff</w:t>
      </w:r>
      <w:bookmarkEnd w:id="109"/>
      <w:bookmarkEnd w:id="110"/>
      <w:bookmarkEnd w:id="111"/>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12" w:name="_Hlt476483918"/>
      <w:bookmarkStart w:id="113" w:name="_Hlt472154491"/>
      <w:bookmarkStart w:id="114" w:name="endcomma"/>
      <w:bookmarkStart w:id="115" w:name="comma"/>
      <w:bookmarkStart w:id="116" w:name="_Hlt476707899"/>
      <w:bookmarkStart w:id="117" w:name="_Hlt471891715"/>
      <w:bookmarkStart w:id="118" w:name="_Hlt472129258"/>
      <w:bookmarkStart w:id="119" w:name="_Hlt472129337"/>
      <w:bookmarkStart w:id="120" w:name="_Hlt476483916"/>
      <w:bookmarkStart w:id="121" w:name="_Hlt476572447"/>
      <w:bookmarkEnd w:id="112"/>
      <w:bookmarkEnd w:id="113"/>
      <w:bookmarkEnd w:id="114"/>
      <w:bookmarkEnd w:id="115"/>
      <w:bookmarkEnd w:id="116"/>
      <w:bookmarkEnd w:id="117"/>
      <w:bookmarkEnd w:id="118"/>
      <w:bookmarkEnd w:id="119"/>
      <w:bookmarkEnd w:id="120"/>
      <w:bookmarkEnd w:id="121"/>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34.83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8.89 cents per unit</w:t>
            </w:r>
          </w:p>
        </w:tc>
      </w:tr>
    </w:tbl>
    <w:p>
      <w:pPr>
        <w:pStyle w:val="yFootnotesection"/>
      </w:pPr>
      <w:r>
        <w:tab/>
        <w:t>[Clause 6 amended in Gazette 18 Oct 2002 p. 5224</w:t>
      </w:r>
      <w:r>
        <w:noBreakHyphen/>
        <w:t>5; 30 Jun 2008 p. 3135; 30 Jun 2009 p. 2673; 26 Mar 2010 p. 1145.]</w:t>
      </w:r>
    </w:p>
    <w:p>
      <w:pPr>
        <w:pStyle w:val="yHeading2"/>
      </w:pPr>
      <w:bookmarkStart w:id="122" w:name="_Toc234139458"/>
      <w:bookmarkStart w:id="123" w:name="_Toc238528516"/>
      <w:bookmarkStart w:id="124" w:name="_Toc238528596"/>
      <w:bookmarkStart w:id="125" w:name="_Toc238529208"/>
      <w:bookmarkStart w:id="126" w:name="_Toc238969842"/>
      <w:bookmarkStart w:id="127" w:name="_Toc238973706"/>
      <w:bookmarkStart w:id="128" w:name="_Toc238973819"/>
      <w:bookmarkStart w:id="129" w:name="_Toc240447164"/>
      <w:bookmarkStart w:id="130" w:name="_Toc257298713"/>
      <w:bookmarkStart w:id="131" w:name="_Toc257298865"/>
      <w:r>
        <w:rPr>
          <w:rStyle w:val="CharSDivNo"/>
          <w:sz w:val="28"/>
        </w:rPr>
        <w:t>Part 4</w:t>
      </w:r>
      <w:r>
        <w:rPr>
          <w:b w:val="0"/>
        </w:rPr>
        <w:t> </w:t>
      </w:r>
      <w:r>
        <w:t>—</w:t>
      </w:r>
      <w:r>
        <w:rPr>
          <w:b w:val="0"/>
        </w:rPr>
        <w:t> </w:t>
      </w:r>
      <w:r>
        <w:rPr>
          <w:rStyle w:val="CharSDivText"/>
          <w:sz w:val="28"/>
        </w:rPr>
        <w:t>Adjustment of certain tariff caps</w:t>
      </w:r>
      <w:bookmarkEnd w:id="122"/>
      <w:bookmarkEnd w:id="123"/>
      <w:bookmarkEnd w:id="124"/>
      <w:bookmarkEnd w:id="125"/>
      <w:bookmarkEnd w:id="126"/>
      <w:bookmarkEnd w:id="127"/>
      <w:bookmarkEnd w:id="128"/>
      <w:bookmarkEnd w:id="129"/>
      <w:bookmarkEnd w:id="130"/>
      <w:bookmarkEnd w:id="131"/>
    </w:p>
    <w:p>
      <w:pPr>
        <w:pStyle w:val="yFootnoteheading"/>
        <w:keepNext/>
      </w:pPr>
      <w:bookmarkStart w:id="132" w:name="_Toc234139459"/>
      <w:r>
        <w:tab/>
        <w:t>[Heading inserted in Gazette 18 Oct 2002 p. 5225.]</w:t>
      </w:r>
    </w:p>
    <w:p>
      <w:pPr>
        <w:pStyle w:val="yHeading5"/>
      </w:pPr>
      <w:bookmarkStart w:id="133" w:name="_Toc257298866"/>
      <w:r>
        <w:rPr>
          <w:rStyle w:val="CharSClsNo"/>
        </w:rPr>
        <w:t>7</w:t>
      </w:r>
      <w:r>
        <w:t>.</w:t>
      </w:r>
      <w:r>
        <w:tab/>
        <w:t>Term used: CPI number</w:t>
      </w:r>
      <w:bookmarkEnd w:id="132"/>
      <w:bookmarkEnd w:id="133"/>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134" w:name="_Toc234139460"/>
      <w:r>
        <w:tab/>
        <w:t>[Clause 7 inserted in Gazette 18 Oct 2002 p. 5225.]</w:t>
      </w:r>
    </w:p>
    <w:p>
      <w:pPr>
        <w:pStyle w:val="yHeading5"/>
      </w:pPr>
      <w:bookmarkStart w:id="135" w:name="_Toc257298867"/>
      <w:r>
        <w:rPr>
          <w:rStyle w:val="CharSClsNo"/>
        </w:rPr>
        <w:t>8</w:t>
      </w:r>
      <w:r>
        <w:t>.</w:t>
      </w:r>
      <w:r>
        <w:tab/>
      </w:r>
      <w:bookmarkEnd w:id="134"/>
      <w:r>
        <w:t>General adjustment for 2011/12 financial year and subsequent financial years</w:t>
      </w:r>
      <w:bookmarkEnd w:id="135"/>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2011/12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26" o:title=""/>
          </v:shape>
          <o:OLEObject Type="Embed" ProgID="Equation.3" ShapeID="_x0000_i1025" DrawAspect="Content" ObjectID="_1644029074"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w:t>
      </w:r>
    </w:p>
    <w:p>
      <w:pPr>
        <w:pStyle w:val="yHeading5"/>
      </w:pPr>
      <w:bookmarkStart w:id="136" w:name="_Toc234139461"/>
      <w:bookmarkStart w:id="137" w:name="_Toc257298868"/>
      <w:r>
        <w:rPr>
          <w:rStyle w:val="CharSClsNo"/>
        </w:rPr>
        <w:t>9</w:t>
      </w:r>
      <w:r>
        <w:t>.</w:t>
      </w:r>
      <w:r>
        <w:tab/>
        <w:t>Special adjustment for residential tariffs in Mid</w:t>
      </w:r>
      <w:r>
        <w:noBreakHyphen/>
        <w:t>West/South</w:t>
      </w:r>
      <w:r>
        <w:noBreakHyphen/>
        <w:t>West area</w:t>
      </w:r>
      <w:bookmarkEnd w:id="136"/>
      <w:bookmarkEnd w:id="137"/>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2011/12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8" o:title=""/>
          </v:shape>
          <o:OLEObject Type="Embed" ProgID="Equation.3" ShapeID="_x0000_i1026" DrawAspect="Content" ObjectID="_1644029075" r:id="rId29"/>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bookmarkStart w:id="138" w:name="UpToHere"/>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w:t>
      </w:r>
    </w:p>
    <w:p>
      <w:pPr>
        <w:pStyle w:val="CentredBaseLine"/>
        <w:keepNext/>
        <w:keepLines/>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bookmarkEnd w:id="138"/>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39" w:name="_Toc202505226"/>
      <w:bookmarkStart w:id="140" w:name="_Toc234139462"/>
      <w:bookmarkStart w:id="141" w:name="_Toc238528520"/>
      <w:bookmarkStart w:id="142" w:name="_Toc238528600"/>
      <w:bookmarkStart w:id="143" w:name="_Toc238529212"/>
      <w:bookmarkStart w:id="144" w:name="_Toc238969846"/>
      <w:bookmarkStart w:id="145" w:name="_Toc238973710"/>
      <w:bookmarkStart w:id="146" w:name="_Toc238973823"/>
      <w:bookmarkStart w:id="147" w:name="_Toc240447168"/>
      <w:bookmarkStart w:id="148" w:name="_Toc257298717"/>
      <w:bookmarkStart w:id="149" w:name="_Toc257298869"/>
      <w:r>
        <w:t>Notes</w:t>
      </w:r>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50" w:name="_Toc257298870"/>
      <w: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Energy Coordination (Gas Tariffs) Amendment Regulations 2010</w:t>
            </w:r>
          </w:p>
        </w:tc>
        <w:tc>
          <w:tcPr>
            <w:tcW w:w="1276" w:type="dxa"/>
            <w:tcBorders>
              <w:bottom w:val="single" w:sz="4" w:space="0" w:color="auto"/>
            </w:tcBorders>
          </w:tcPr>
          <w:p>
            <w:pPr>
              <w:pStyle w:val="nTable"/>
              <w:spacing w:after="40"/>
              <w:rPr>
                <w:sz w:val="19"/>
              </w:rPr>
            </w:pPr>
            <w:r>
              <w:rPr>
                <w:sz w:val="19"/>
              </w:rPr>
              <w:t>26 Mar 2010 p. 1142-5</w:t>
            </w:r>
          </w:p>
        </w:tc>
        <w:tc>
          <w:tcPr>
            <w:tcW w:w="2693" w:type="dxa"/>
            <w:tcBorders>
              <w:bottom w:val="single" w:sz="4" w:space="0" w:color="auto"/>
            </w:tcBorders>
          </w:tcPr>
          <w:p>
            <w:pPr>
              <w:pStyle w:val="nTable"/>
              <w:spacing w:after="40"/>
              <w:rPr>
                <w:sz w:val="19"/>
              </w:rPr>
            </w:pPr>
            <w:r>
              <w:rPr>
                <w:sz w:val="19"/>
              </w:rPr>
              <w:t>r. 1 and 2: 26 Mar 2010 (see r. 2(a));</w:t>
            </w:r>
            <w:r>
              <w:rPr>
                <w:sz w:val="19"/>
              </w:rPr>
              <w:br/>
              <w:t>Regulations other than r. 1 and 2: 1 Apr 2010 (see r. 2(b))</w:t>
            </w:r>
          </w:p>
        </w:tc>
      </w:tr>
    </w:tbl>
    <w:p>
      <w:pPr>
        <w:rPr>
          <w:iCs/>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151" w:name="_Toc238973825"/>
      <w:bookmarkStart w:id="152" w:name="_Toc240447170"/>
      <w:bookmarkStart w:id="153" w:name="_Toc257298719"/>
      <w:bookmarkStart w:id="154" w:name="_Toc257298871"/>
      <w:r>
        <w:rPr>
          <w:sz w:val="28"/>
        </w:rPr>
        <w:t>Defined Terms</w:t>
      </w:r>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Albany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Pr>
        <w:pStyle w:val="DefinedTerms"/>
      </w:pPr>
    </w:p>
    <w:p/>
    <w:p/>
    <w:p/>
    <w:p/>
    <w:p/>
    <w:p/>
    <w:p/>
    <w:p/>
    <w:p/>
    <w:p/>
    <w:p/>
    <w:p/>
    <w:p/>
    <w:p/>
    <w:p/>
    <w:p/>
    <w:p>
      <w:pPr>
        <w:pStyle w:val="CommentText"/>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45"/>
    <w:docVar w:name="WAFER_20151207123145" w:val="RemoveTrackChanges"/>
    <w:docVar w:name="WAFER_20151207123145_GUID" w:val="2196e142-0691-41f8-8cb2-beff72cff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2824</Words>
  <Characters>13249</Characters>
  <Application>Microsoft Office Word</Application>
  <DocSecurity>0</DocSecurity>
  <Lines>456</Lines>
  <Paragraphs>297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15776</CharactersWithSpaces>
  <SharedDoc>false</SharedDoc>
  <HLinks>
    <vt:vector size="12" baseType="variant">
      <vt:variant>
        <vt:i4>5439608</vt:i4>
      </vt:variant>
      <vt:variant>
        <vt:i4>15404</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2000 - 01-b0-02</dc:title>
  <dc:subject/>
  <dc:creator/>
  <cp:keywords/>
  <dc:description/>
  <cp:lastModifiedBy>svcMRProcess</cp:lastModifiedBy>
  <cp:revision>4</cp:revision>
  <cp:lastPrinted>2009-09-11T07:46:00Z</cp:lastPrinted>
  <dcterms:created xsi:type="dcterms:W3CDTF">2020-02-23T21:58:00Z</dcterms:created>
  <dcterms:modified xsi:type="dcterms:W3CDTF">2020-02-23T21:58:00Z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20100401</vt:lpwstr>
  </property>
  <property fmtid="{D5CDD505-2E9C-101B-9397-08002B2CF9AE}" pid="4" name="DocumentType">
    <vt:lpwstr>Reg</vt:lpwstr>
  </property>
  <property fmtid="{D5CDD505-2E9C-101B-9397-08002B2CF9AE}" pid="5" name="AsAtDate">
    <vt:lpwstr>01 Apr 2010</vt:lpwstr>
  </property>
  <property fmtid="{D5CDD505-2E9C-101B-9397-08002B2CF9AE}" pid="6" name="Suffix">
    <vt:lpwstr>01-b0-02</vt:lpwstr>
  </property>
  <property fmtid="{D5CDD505-2E9C-101B-9397-08002B2CF9AE}" pid="7" name="OwlsUID">
    <vt:i4>1369</vt:i4>
  </property>
  <property fmtid="{D5CDD505-2E9C-101B-9397-08002B2CF9AE}" pid="8" name="ReprintNo">
    <vt:lpwstr>1</vt:lpwstr>
  </property>
</Properties>
</file>