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Gas Supply (Gas Quality Specifications) Act 2009</w:t>
      </w:r>
    </w:p>
    <w:p>
      <w:pPr>
        <w:pStyle w:val="NameofActRegPage1"/>
        <w:spacing w:before="1800" w:after="4200"/>
      </w:pPr>
      <w:r>
        <w:fldChar w:fldCharType="begin"/>
      </w:r>
      <w:r>
        <w:instrText xml:space="preserve"> STYLEREF "Name Of Act/Reg"</w:instrText>
      </w:r>
      <w:r>
        <w:fldChar w:fldCharType="separate"/>
      </w:r>
      <w:r>
        <w:rPr>
          <w:noProof/>
        </w:rPr>
        <w:t>Gas Supply (Gas Quality Specifications)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Supply (Gas Quality Specifications) Regulations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_Toc257366562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_Toc257366563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_Toc257366564 \h </w:instrText>
      </w:r>
      <w:r>
        <w:fldChar w:fldCharType="separate"/>
      </w:r>
      <w:r>
        <w:t>1</w:t>
      </w:r>
      <w:r>
        <w:fldChar w:fldCharType="end"/>
      </w:r>
    </w:p>
    <w:p>
      <w:pPr>
        <w:pStyle w:val="TOC8"/>
        <w:rPr>
          <w:sz w:val="24"/>
          <w:szCs w:val="24"/>
        </w:rPr>
      </w:pPr>
      <w:r>
        <w:rPr>
          <w:szCs w:val="24"/>
        </w:rPr>
        <w:t>4.</w:t>
      </w:r>
      <w:r>
        <w:rPr>
          <w:szCs w:val="24"/>
        </w:rPr>
        <w:tab/>
        <w:t>Use of notes and examples</w:t>
      </w:r>
      <w:r>
        <w:tab/>
      </w:r>
      <w:r>
        <w:fldChar w:fldCharType="begin"/>
      </w:r>
      <w:r>
        <w:instrText xml:space="preserve"> PAGEREF _Toc257366565 \h </w:instrText>
      </w:r>
      <w:r>
        <w:fldChar w:fldCharType="separate"/>
      </w:r>
      <w:r>
        <w:t>4</w:t>
      </w:r>
      <w:r>
        <w:fldChar w:fldCharType="end"/>
      </w:r>
    </w:p>
    <w:p>
      <w:pPr>
        <w:pStyle w:val="TOC8"/>
        <w:rPr>
          <w:sz w:val="24"/>
          <w:szCs w:val="24"/>
        </w:rPr>
      </w:pPr>
      <w:r>
        <w:rPr>
          <w:szCs w:val="24"/>
        </w:rPr>
        <w:t>5.</w:t>
      </w:r>
      <w:r>
        <w:rPr>
          <w:szCs w:val="24"/>
        </w:rPr>
        <w:tab/>
        <w:t>Gas transmission pipelines</w:t>
      </w:r>
      <w:r>
        <w:tab/>
      </w:r>
      <w:r>
        <w:fldChar w:fldCharType="begin"/>
      </w:r>
      <w:r>
        <w:instrText xml:space="preserve"> PAGEREF _Toc257366566 \h </w:instrText>
      </w:r>
      <w:r>
        <w:fldChar w:fldCharType="separate"/>
      </w:r>
      <w:r>
        <w:t>5</w:t>
      </w:r>
      <w:r>
        <w:fldChar w:fldCharType="end"/>
      </w:r>
    </w:p>
    <w:p>
      <w:pPr>
        <w:pStyle w:val="TOC8"/>
        <w:rPr>
          <w:sz w:val="24"/>
          <w:szCs w:val="24"/>
        </w:rPr>
      </w:pPr>
      <w:r>
        <w:rPr>
          <w:szCs w:val="24"/>
        </w:rPr>
        <w:t>6.</w:t>
      </w:r>
      <w:r>
        <w:rPr>
          <w:szCs w:val="24"/>
        </w:rPr>
        <w:tab/>
        <w:t>Gas storage facilities</w:t>
      </w:r>
      <w:r>
        <w:tab/>
      </w:r>
      <w:r>
        <w:fldChar w:fldCharType="begin"/>
      </w:r>
      <w:r>
        <w:instrText xml:space="preserve"> PAGEREF _Toc257366567 \h </w:instrText>
      </w:r>
      <w:r>
        <w:fldChar w:fldCharType="separate"/>
      </w:r>
      <w:r>
        <w:t>5</w:t>
      </w:r>
      <w:r>
        <w:fldChar w:fldCharType="end"/>
      </w:r>
    </w:p>
    <w:p>
      <w:pPr>
        <w:pStyle w:val="TOC8"/>
        <w:rPr>
          <w:sz w:val="24"/>
          <w:szCs w:val="24"/>
        </w:rPr>
      </w:pPr>
      <w:r>
        <w:rPr>
          <w:szCs w:val="24"/>
        </w:rPr>
        <w:t>7.</w:t>
      </w:r>
      <w:r>
        <w:rPr>
          <w:szCs w:val="24"/>
        </w:rPr>
        <w:tab/>
        <w:t>Reference gas quality specifications</w:t>
      </w:r>
      <w:r>
        <w:tab/>
      </w:r>
      <w:r>
        <w:fldChar w:fldCharType="begin"/>
      </w:r>
      <w:r>
        <w:instrText xml:space="preserve"> PAGEREF _Toc257366568 \h </w:instrText>
      </w:r>
      <w:r>
        <w:fldChar w:fldCharType="separate"/>
      </w:r>
      <w:r>
        <w:t>5</w:t>
      </w:r>
      <w:r>
        <w:fldChar w:fldCharType="end"/>
      </w:r>
    </w:p>
    <w:p>
      <w:pPr>
        <w:pStyle w:val="TOC2"/>
        <w:tabs>
          <w:tab w:val="right" w:leader="dot" w:pos="7086"/>
        </w:tabs>
        <w:rPr>
          <w:b w:val="0"/>
          <w:sz w:val="24"/>
          <w:szCs w:val="24"/>
        </w:rPr>
      </w:pPr>
      <w:r>
        <w:rPr>
          <w:szCs w:val="30"/>
        </w:rPr>
        <w:t>Part 2 — Gas quality and capacity of PIA pipelines</w:t>
      </w:r>
    </w:p>
    <w:p>
      <w:pPr>
        <w:pStyle w:val="TOC4"/>
        <w:tabs>
          <w:tab w:val="right" w:leader="dot" w:pos="7086"/>
        </w:tabs>
        <w:rPr>
          <w:b w:val="0"/>
          <w:sz w:val="24"/>
          <w:szCs w:val="24"/>
        </w:rPr>
      </w:pPr>
      <w:r>
        <w:rPr>
          <w:szCs w:val="26"/>
        </w:rPr>
        <w:t>Division 1 — PIA pipelines</w:t>
      </w:r>
    </w:p>
    <w:p>
      <w:pPr>
        <w:pStyle w:val="TOC8"/>
        <w:rPr>
          <w:sz w:val="24"/>
          <w:szCs w:val="24"/>
        </w:rPr>
      </w:pPr>
      <w:r>
        <w:rPr>
          <w:szCs w:val="24"/>
        </w:rPr>
        <w:t>8.</w:t>
      </w:r>
      <w:r>
        <w:rPr>
          <w:szCs w:val="24"/>
        </w:rPr>
        <w:tab/>
        <w:t>Application for making, amending or revoking a declaration</w:t>
      </w:r>
      <w:r>
        <w:tab/>
      </w:r>
      <w:r>
        <w:fldChar w:fldCharType="begin"/>
      </w:r>
      <w:r>
        <w:instrText xml:space="preserve"> PAGEREF _Toc257366571 \h </w:instrText>
      </w:r>
      <w:r>
        <w:fldChar w:fldCharType="separate"/>
      </w:r>
      <w:r>
        <w:t>6</w:t>
      </w:r>
      <w:r>
        <w:fldChar w:fldCharType="end"/>
      </w:r>
    </w:p>
    <w:p>
      <w:pPr>
        <w:pStyle w:val="TOC8"/>
        <w:rPr>
          <w:sz w:val="24"/>
          <w:szCs w:val="24"/>
        </w:rPr>
      </w:pPr>
      <w:r>
        <w:rPr>
          <w:szCs w:val="24"/>
        </w:rPr>
        <w:t>9.</w:t>
      </w:r>
      <w:r>
        <w:rPr>
          <w:szCs w:val="24"/>
        </w:rPr>
        <w:tab/>
        <w:t>Criteria for making a declaration</w:t>
      </w:r>
      <w:r>
        <w:tab/>
      </w:r>
      <w:r>
        <w:fldChar w:fldCharType="begin"/>
      </w:r>
      <w:r>
        <w:instrText xml:space="preserve"> PAGEREF _Toc257366572 \h </w:instrText>
      </w:r>
      <w:r>
        <w:fldChar w:fldCharType="separate"/>
      </w:r>
      <w:r>
        <w:t>6</w:t>
      </w:r>
      <w:r>
        <w:fldChar w:fldCharType="end"/>
      </w:r>
    </w:p>
    <w:p>
      <w:pPr>
        <w:pStyle w:val="TOC8"/>
        <w:rPr>
          <w:sz w:val="24"/>
          <w:szCs w:val="24"/>
        </w:rPr>
      </w:pPr>
      <w:r>
        <w:rPr>
          <w:szCs w:val="24"/>
        </w:rPr>
        <w:t>10.</w:t>
      </w:r>
      <w:r>
        <w:rPr>
          <w:szCs w:val="24"/>
        </w:rPr>
        <w:tab/>
        <w:t>Criteria for revoking a declaration</w:t>
      </w:r>
      <w:r>
        <w:tab/>
      </w:r>
      <w:r>
        <w:fldChar w:fldCharType="begin"/>
      </w:r>
      <w:r>
        <w:instrText xml:space="preserve"> PAGEREF _Toc257366573 \h </w:instrText>
      </w:r>
      <w:r>
        <w:fldChar w:fldCharType="separate"/>
      </w:r>
      <w:r>
        <w:t>7</w:t>
      </w:r>
      <w:r>
        <w:fldChar w:fldCharType="end"/>
      </w:r>
    </w:p>
    <w:p>
      <w:pPr>
        <w:pStyle w:val="TOC8"/>
        <w:rPr>
          <w:sz w:val="24"/>
          <w:szCs w:val="24"/>
        </w:rPr>
      </w:pPr>
      <w:r>
        <w:rPr>
          <w:szCs w:val="24"/>
        </w:rPr>
        <w:t>11.</w:t>
      </w:r>
      <w:r>
        <w:rPr>
          <w:szCs w:val="24"/>
        </w:rPr>
        <w:tab/>
        <w:t>Criteria for amending a declaration</w:t>
      </w:r>
      <w:r>
        <w:tab/>
      </w:r>
      <w:r>
        <w:fldChar w:fldCharType="begin"/>
      </w:r>
      <w:r>
        <w:instrText xml:space="preserve"> PAGEREF _Toc257366574 \h </w:instrText>
      </w:r>
      <w:r>
        <w:fldChar w:fldCharType="separate"/>
      </w:r>
      <w:r>
        <w:t>8</w:t>
      </w:r>
      <w:r>
        <w:fldChar w:fldCharType="end"/>
      </w:r>
    </w:p>
    <w:p>
      <w:pPr>
        <w:pStyle w:val="TOC8"/>
        <w:rPr>
          <w:sz w:val="24"/>
          <w:szCs w:val="24"/>
        </w:rPr>
      </w:pPr>
      <w:r>
        <w:rPr>
          <w:szCs w:val="24"/>
        </w:rPr>
        <w:t>12.</w:t>
      </w:r>
      <w:r>
        <w:rPr>
          <w:szCs w:val="24"/>
        </w:rPr>
        <w:tab/>
        <w:t>Procedure for making, amending or revoking a declaration</w:t>
      </w:r>
      <w:r>
        <w:tab/>
      </w:r>
      <w:r>
        <w:fldChar w:fldCharType="begin"/>
      </w:r>
      <w:r>
        <w:instrText xml:space="preserve"> PAGEREF _Toc257366575 \h </w:instrText>
      </w:r>
      <w:r>
        <w:fldChar w:fldCharType="separate"/>
      </w:r>
      <w:r>
        <w:t>8</w:t>
      </w:r>
      <w:r>
        <w:fldChar w:fldCharType="end"/>
      </w:r>
    </w:p>
    <w:p>
      <w:pPr>
        <w:pStyle w:val="TOC8"/>
        <w:rPr>
          <w:sz w:val="24"/>
          <w:szCs w:val="24"/>
        </w:rPr>
      </w:pPr>
      <w:r>
        <w:rPr>
          <w:szCs w:val="24"/>
        </w:rPr>
        <w:t>13.</w:t>
      </w:r>
      <w:r>
        <w:rPr>
          <w:szCs w:val="24"/>
        </w:rPr>
        <w:tab/>
        <w:t>Content of certain decisions, and to whom copies must be given</w:t>
      </w:r>
      <w:r>
        <w:tab/>
      </w:r>
      <w:r>
        <w:fldChar w:fldCharType="begin"/>
      </w:r>
      <w:r>
        <w:instrText xml:space="preserve"> PAGEREF _Toc257366576 \h </w:instrText>
      </w:r>
      <w:r>
        <w:fldChar w:fldCharType="separate"/>
      </w:r>
      <w:r>
        <w:t>9</w:t>
      </w:r>
      <w:r>
        <w:fldChar w:fldCharType="end"/>
      </w:r>
    </w:p>
    <w:p>
      <w:pPr>
        <w:pStyle w:val="TOC8"/>
        <w:rPr>
          <w:sz w:val="24"/>
          <w:szCs w:val="24"/>
        </w:rPr>
      </w:pPr>
      <w:r>
        <w:rPr>
          <w:szCs w:val="24"/>
        </w:rPr>
        <w:t>14.</w:t>
      </w:r>
      <w:r>
        <w:rPr>
          <w:szCs w:val="24"/>
        </w:rPr>
        <w:tab/>
        <w:t>Publishing description of a PIA pipeline</w:t>
      </w:r>
      <w:r>
        <w:tab/>
      </w:r>
      <w:r>
        <w:fldChar w:fldCharType="begin"/>
      </w:r>
      <w:r>
        <w:instrText xml:space="preserve"> PAGEREF _Toc257366577 \h </w:instrText>
      </w:r>
      <w:r>
        <w:fldChar w:fldCharType="separate"/>
      </w:r>
      <w:r>
        <w:t>10</w:t>
      </w:r>
      <w:r>
        <w:fldChar w:fldCharType="end"/>
      </w:r>
    </w:p>
    <w:p>
      <w:pPr>
        <w:pStyle w:val="TOC8"/>
        <w:rPr>
          <w:sz w:val="24"/>
          <w:szCs w:val="24"/>
        </w:rPr>
      </w:pPr>
      <w:r>
        <w:rPr>
          <w:szCs w:val="24"/>
        </w:rPr>
        <w:t>15.</w:t>
      </w:r>
      <w:r>
        <w:rPr>
          <w:szCs w:val="24"/>
        </w:rPr>
        <w:tab/>
        <w:t>Transitional provision for DBNGP and GGP</w:t>
      </w:r>
      <w:r>
        <w:tab/>
      </w:r>
      <w:r>
        <w:fldChar w:fldCharType="begin"/>
      </w:r>
      <w:r>
        <w:instrText xml:space="preserve"> PAGEREF _Toc257366578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2 — Content of pipeline impact agreements</w:t>
      </w:r>
    </w:p>
    <w:p>
      <w:pPr>
        <w:pStyle w:val="TOC8"/>
        <w:rPr>
          <w:sz w:val="24"/>
          <w:szCs w:val="24"/>
        </w:rPr>
      </w:pPr>
      <w:r>
        <w:rPr>
          <w:szCs w:val="24"/>
        </w:rPr>
        <w:t>16.</w:t>
      </w:r>
      <w:r>
        <w:rPr>
          <w:szCs w:val="24"/>
        </w:rPr>
        <w:tab/>
        <w:t>Additional minimum requirements for a pipeline impact agreement</w:t>
      </w:r>
      <w:r>
        <w:tab/>
      </w:r>
      <w:r>
        <w:fldChar w:fldCharType="begin"/>
      </w:r>
      <w:r>
        <w:instrText xml:space="preserve"> PAGEREF _Toc257366580 \h </w:instrText>
      </w:r>
      <w:r>
        <w:fldChar w:fldCharType="separate"/>
      </w:r>
      <w:r>
        <w:t>10</w:t>
      </w:r>
      <w:r>
        <w:fldChar w:fldCharType="end"/>
      </w:r>
    </w:p>
    <w:p>
      <w:pPr>
        <w:pStyle w:val="TOC4"/>
        <w:tabs>
          <w:tab w:val="right" w:leader="dot" w:pos="7086"/>
        </w:tabs>
        <w:rPr>
          <w:b w:val="0"/>
          <w:sz w:val="24"/>
          <w:szCs w:val="24"/>
        </w:rPr>
      </w:pPr>
      <w:r>
        <w:rPr>
          <w:szCs w:val="26"/>
        </w:rPr>
        <w:t>Division 3 — Relevant effects on a PIA pipeline</w:t>
      </w:r>
    </w:p>
    <w:p>
      <w:pPr>
        <w:pStyle w:val="TOC8"/>
        <w:rPr>
          <w:sz w:val="24"/>
          <w:szCs w:val="24"/>
        </w:rPr>
      </w:pPr>
      <w:r>
        <w:rPr>
          <w:szCs w:val="24"/>
        </w:rPr>
        <w:t>17.</w:t>
      </w:r>
      <w:r>
        <w:rPr>
          <w:szCs w:val="24"/>
        </w:rPr>
        <w:tab/>
        <w:t>Working out the relevant effect on a pipeline’s capacity</w:t>
      </w:r>
      <w:r>
        <w:tab/>
      </w:r>
      <w:r>
        <w:fldChar w:fldCharType="begin"/>
      </w:r>
      <w:r>
        <w:instrText xml:space="preserve"> PAGEREF _Toc257366582 \h </w:instrText>
      </w:r>
      <w:r>
        <w:fldChar w:fldCharType="separate"/>
      </w:r>
      <w:r>
        <w:t>11</w:t>
      </w:r>
      <w:r>
        <w:fldChar w:fldCharType="end"/>
      </w:r>
    </w:p>
    <w:p>
      <w:pPr>
        <w:pStyle w:val="TOC8"/>
        <w:rPr>
          <w:sz w:val="24"/>
          <w:szCs w:val="24"/>
        </w:rPr>
      </w:pPr>
      <w:r>
        <w:rPr>
          <w:szCs w:val="24"/>
        </w:rPr>
        <w:t>18.</w:t>
      </w:r>
      <w:r>
        <w:rPr>
          <w:szCs w:val="24"/>
        </w:rPr>
        <w:tab/>
        <w:t>Working out the relevant effect on a pipeline’s operations and maintenance</w:t>
      </w:r>
      <w:r>
        <w:tab/>
      </w:r>
      <w:r>
        <w:fldChar w:fldCharType="begin"/>
      </w:r>
      <w:r>
        <w:instrText xml:space="preserve"> PAGEREF _Toc257366583 \h </w:instrText>
      </w:r>
      <w:r>
        <w:fldChar w:fldCharType="separate"/>
      </w:r>
      <w:r>
        <w:t>12</w:t>
      </w:r>
      <w:r>
        <w:fldChar w:fldCharType="end"/>
      </w:r>
    </w:p>
    <w:p>
      <w:pPr>
        <w:pStyle w:val="TOC4"/>
        <w:tabs>
          <w:tab w:val="right" w:leader="dot" w:pos="7086"/>
        </w:tabs>
        <w:rPr>
          <w:b w:val="0"/>
          <w:sz w:val="24"/>
          <w:szCs w:val="24"/>
        </w:rPr>
      </w:pPr>
      <w:r>
        <w:rPr>
          <w:szCs w:val="26"/>
        </w:rPr>
        <w:t>Division 4 — Formation of pipeline impact agreements</w:t>
      </w:r>
    </w:p>
    <w:p>
      <w:pPr>
        <w:pStyle w:val="TOC8"/>
        <w:rPr>
          <w:sz w:val="24"/>
          <w:szCs w:val="24"/>
        </w:rPr>
      </w:pPr>
      <w:r>
        <w:rPr>
          <w:szCs w:val="24"/>
        </w:rPr>
        <w:t>19.</w:t>
      </w:r>
      <w:r>
        <w:rPr>
          <w:szCs w:val="24"/>
        </w:rPr>
        <w:tab/>
        <w:t>Default procedure</w:t>
      </w:r>
      <w:r>
        <w:tab/>
      </w:r>
      <w:r>
        <w:fldChar w:fldCharType="begin"/>
      </w:r>
      <w:r>
        <w:instrText xml:space="preserve"> PAGEREF _Toc257366585 \h </w:instrText>
      </w:r>
      <w:r>
        <w:fldChar w:fldCharType="separate"/>
      </w:r>
      <w:r>
        <w:t>13</w:t>
      </w:r>
      <w:r>
        <w:fldChar w:fldCharType="end"/>
      </w:r>
    </w:p>
    <w:p>
      <w:pPr>
        <w:pStyle w:val="TOC8"/>
        <w:rPr>
          <w:sz w:val="24"/>
          <w:szCs w:val="24"/>
        </w:rPr>
      </w:pPr>
      <w:r>
        <w:rPr>
          <w:szCs w:val="24"/>
        </w:rPr>
        <w:t>20.</w:t>
      </w:r>
      <w:r>
        <w:rPr>
          <w:szCs w:val="24"/>
        </w:rPr>
        <w:tab/>
        <w:t>Extension of time</w:t>
      </w:r>
      <w:r>
        <w:tab/>
      </w:r>
      <w:r>
        <w:fldChar w:fldCharType="begin"/>
      </w:r>
      <w:r>
        <w:instrText xml:space="preserve"> PAGEREF _Toc257366586 \h </w:instrText>
      </w:r>
      <w:r>
        <w:fldChar w:fldCharType="separate"/>
      </w:r>
      <w:r>
        <w:t>13</w:t>
      </w:r>
      <w:r>
        <w:fldChar w:fldCharType="end"/>
      </w:r>
    </w:p>
    <w:p>
      <w:pPr>
        <w:pStyle w:val="TOC8"/>
        <w:rPr>
          <w:sz w:val="24"/>
          <w:szCs w:val="24"/>
        </w:rPr>
      </w:pPr>
      <w:r>
        <w:rPr>
          <w:szCs w:val="24"/>
        </w:rPr>
        <w:t>21.</w:t>
      </w:r>
      <w:r>
        <w:rPr>
          <w:szCs w:val="24"/>
        </w:rPr>
        <w:tab/>
        <w:t>Application for a pipeline impact agreement — step 1</w:t>
      </w:r>
      <w:r>
        <w:tab/>
      </w:r>
      <w:r>
        <w:fldChar w:fldCharType="begin"/>
      </w:r>
      <w:r>
        <w:instrText xml:space="preserve"> PAGEREF _Toc257366587 \h </w:instrText>
      </w:r>
      <w:r>
        <w:fldChar w:fldCharType="separate"/>
      </w:r>
      <w:r>
        <w:t>14</w:t>
      </w:r>
      <w:r>
        <w:fldChar w:fldCharType="end"/>
      </w:r>
    </w:p>
    <w:p>
      <w:pPr>
        <w:pStyle w:val="TOC8"/>
        <w:rPr>
          <w:sz w:val="24"/>
          <w:szCs w:val="24"/>
        </w:rPr>
      </w:pPr>
      <w:r>
        <w:rPr>
          <w:szCs w:val="24"/>
        </w:rPr>
        <w:t>22.</w:t>
      </w:r>
      <w:r>
        <w:rPr>
          <w:szCs w:val="24"/>
        </w:rPr>
        <w:tab/>
        <w:t>Determining the relevant effects on the pipeline — step 2</w:t>
      </w:r>
      <w:r>
        <w:tab/>
      </w:r>
      <w:r>
        <w:fldChar w:fldCharType="begin"/>
      </w:r>
      <w:r>
        <w:instrText xml:space="preserve"> PAGEREF _Toc257366588 \h </w:instrText>
      </w:r>
      <w:r>
        <w:fldChar w:fldCharType="separate"/>
      </w:r>
      <w:r>
        <w:t>15</w:t>
      </w:r>
      <w:r>
        <w:fldChar w:fldCharType="end"/>
      </w:r>
    </w:p>
    <w:p>
      <w:pPr>
        <w:pStyle w:val="TOC8"/>
        <w:rPr>
          <w:sz w:val="24"/>
          <w:szCs w:val="24"/>
        </w:rPr>
      </w:pPr>
      <w:r>
        <w:rPr>
          <w:szCs w:val="24"/>
        </w:rPr>
        <w:t>23.</w:t>
      </w:r>
      <w:r>
        <w:rPr>
          <w:szCs w:val="24"/>
        </w:rPr>
        <w:tab/>
        <w:t>Choosing a method to deal with the relevant effects — resolving dispute — step 3</w:t>
      </w:r>
      <w:r>
        <w:tab/>
      </w:r>
      <w:r>
        <w:fldChar w:fldCharType="begin"/>
      </w:r>
      <w:r>
        <w:instrText xml:space="preserve"> PAGEREF _Toc257366589 \h </w:instrText>
      </w:r>
      <w:r>
        <w:fldChar w:fldCharType="separate"/>
      </w:r>
      <w:r>
        <w:t>17</w:t>
      </w:r>
      <w:r>
        <w:fldChar w:fldCharType="end"/>
      </w:r>
    </w:p>
    <w:p>
      <w:pPr>
        <w:pStyle w:val="TOC8"/>
        <w:rPr>
          <w:sz w:val="24"/>
          <w:szCs w:val="24"/>
        </w:rPr>
      </w:pPr>
      <w:r>
        <w:rPr>
          <w:szCs w:val="24"/>
        </w:rPr>
        <w:t>24.</w:t>
      </w:r>
      <w:r>
        <w:rPr>
          <w:szCs w:val="24"/>
        </w:rPr>
        <w:tab/>
        <w:t>Lapse of procedure for delay by gas producer</w:t>
      </w:r>
      <w:r>
        <w:tab/>
      </w:r>
      <w:r>
        <w:fldChar w:fldCharType="begin"/>
      </w:r>
      <w:r>
        <w:instrText xml:space="preserve"> PAGEREF _Toc257366590 \h </w:instrText>
      </w:r>
      <w:r>
        <w:fldChar w:fldCharType="separate"/>
      </w:r>
      <w:r>
        <w:t>18</w:t>
      </w:r>
      <w:r>
        <w:fldChar w:fldCharType="end"/>
      </w:r>
    </w:p>
    <w:p>
      <w:pPr>
        <w:pStyle w:val="TOC8"/>
        <w:rPr>
          <w:sz w:val="24"/>
          <w:szCs w:val="24"/>
        </w:rPr>
      </w:pPr>
      <w:r>
        <w:rPr>
          <w:szCs w:val="24"/>
        </w:rPr>
        <w:t>25.</w:t>
      </w:r>
      <w:r>
        <w:rPr>
          <w:szCs w:val="24"/>
        </w:rPr>
        <w:tab/>
        <w:t>Prescribed method</w:t>
      </w:r>
      <w:r>
        <w:tab/>
      </w:r>
      <w:r>
        <w:fldChar w:fldCharType="begin"/>
      </w:r>
      <w:r>
        <w:instrText xml:space="preserve"> PAGEREF _Toc257366591 \h </w:instrText>
      </w:r>
      <w:r>
        <w:fldChar w:fldCharType="separate"/>
      </w:r>
      <w:r>
        <w:t>18</w:t>
      </w:r>
      <w:r>
        <w:fldChar w:fldCharType="end"/>
      </w:r>
    </w:p>
    <w:p>
      <w:pPr>
        <w:pStyle w:val="TOC8"/>
        <w:rPr>
          <w:sz w:val="24"/>
          <w:szCs w:val="24"/>
        </w:rPr>
      </w:pPr>
      <w:r>
        <w:rPr>
          <w:szCs w:val="24"/>
        </w:rPr>
        <w:t>26.</w:t>
      </w:r>
      <w:r>
        <w:rPr>
          <w:szCs w:val="24"/>
        </w:rPr>
        <w:tab/>
        <w:t>Default pipeline impact agreements</w:t>
      </w:r>
      <w:r>
        <w:tab/>
      </w:r>
      <w:r>
        <w:fldChar w:fldCharType="begin"/>
      </w:r>
      <w:r>
        <w:instrText xml:space="preserve"> PAGEREF _Toc257366592 \h </w:instrText>
      </w:r>
      <w:r>
        <w:fldChar w:fldCharType="separate"/>
      </w:r>
      <w:r>
        <w:t>19</w:t>
      </w:r>
      <w:r>
        <w:fldChar w:fldCharType="end"/>
      </w:r>
    </w:p>
    <w:p>
      <w:pPr>
        <w:pStyle w:val="TOC8"/>
        <w:rPr>
          <w:sz w:val="24"/>
          <w:szCs w:val="24"/>
        </w:rPr>
      </w:pPr>
      <w:r>
        <w:rPr>
          <w:szCs w:val="24"/>
        </w:rPr>
        <w:t>27.</w:t>
      </w:r>
      <w:r>
        <w:rPr>
          <w:szCs w:val="24"/>
        </w:rPr>
        <w:tab/>
        <w:t>Standard form agreements — publishing requirements</w:t>
      </w:r>
      <w:r>
        <w:tab/>
      </w:r>
      <w:r>
        <w:fldChar w:fldCharType="begin"/>
      </w:r>
      <w:r>
        <w:instrText xml:space="preserve"> PAGEREF _Toc257366593 \h </w:instrText>
      </w:r>
      <w:r>
        <w:fldChar w:fldCharType="separate"/>
      </w:r>
      <w:r>
        <w:t>19</w:t>
      </w:r>
      <w:r>
        <w:fldChar w:fldCharType="end"/>
      </w:r>
    </w:p>
    <w:p>
      <w:pPr>
        <w:pStyle w:val="TOC2"/>
        <w:tabs>
          <w:tab w:val="right" w:leader="dot" w:pos="7086"/>
        </w:tabs>
        <w:rPr>
          <w:b w:val="0"/>
          <w:sz w:val="24"/>
          <w:szCs w:val="24"/>
        </w:rPr>
      </w:pPr>
      <w:r>
        <w:rPr>
          <w:szCs w:val="30"/>
        </w:rPr>
        <w:t>Part 3 — Modifying gas contracts</w:t>
      </w:r>
    </w:p>
    <w:p>
      <w:pPr>
        <w:pStyle w:val="TOC8"/>
        <w:rPr>
          <w:sz w:val="24"/>
          <w:szCs w:val="24"/>
        </w:rPr>
      </w:pPr>
      <w:r>
        <w:rPr>
          <w:szCs w:val="24"/>
        </w:rPr>
        <w:t>28.</w:t>
      </w:r>
      <w:r>
        <w:rPr>
          <w:szCs w:val="24"/>
        </w:rPr>
        <w:tab/>
        <w:t>Standard gas quality specifications for pipelines</w:t>
      </w:r>
      <w:r>
        <w:tab/>
      </w:r>
      <w:r>
        <w:fldChar w:fldCharType="begin"/>
      </w:r>
      <w:r>
        <w:instrText xml:space="preserve"> PAGEREF _Toc257366595 \h </w:instrText>
      </w:r>
      <w:r>
        <w:fldChar w:fldCharType="separate"/>
      </w:r>
      <w:r>
        <w:t>20</w:t>
      </w:r>
      <w:r>
        <w:fldChar w:fldCharType="end"/>
      </w:r>
    </w:p>
    <w:p>
      <w:pPr>
        <w:pStyle w:val="TOC8"/>
        <w:rPr>
          <w:sz w:val="24"/>
          <w:szCs w:val="24"/>
        </w:rPr>
      </w:pPr>
      <w:r>
        <w:rPr>
          <w:szCs w:val="24"/>
        </w:rPr>
        <w:t>29.</w:t>
      </w:r>
      <w:r>
        <w:rPr>
          <w:szCs w:val="24"/>
        </w:rPr>
        <w:tab/>
        <w:t>Application of this Part before 1 July 2012</w:t>
      </w:r>
      <w:r>
        <w:tab/>
      </w:r>
      <w:r>
        <w:fldChar w:fldCharType="begin"/>
      </w:r>
      <w:r>
        <w:instrText xml:space="preserve"> PAGEREF _Toc257366596 \h </w:instrText>
      </w:r>
      <w:r>
        <w:fldChar w:fldCharType="separate"/>
      </w:r>
      <w:r>
        <w:t>20</w:t>
      </w:r>
      <w:r>
        <w:fldChar w:fldCharType="end"/>
      </w:r>
    </w:p>
    <w:p>
      <w:pPr>
        <w:pStyle w:val="TOC8"/>
        <w:rPr>
          <w:sz w:val="24"/>
          <w:szCs w:val="24"/>
        </w:rPr>
      </w:pPr>
      <w:r>
        <w:rPr>
          <w:szCs w:val="24"/>
        </w:rPr>
        <w:t>30.</w:t>
      </w:r>
      <w:r>
        <w:rPr>
          <w:szCs w:val="24"/>
        </w:rPr>
        <w:tab/>
        <w:t>Modifying gas contracts — gas quality specifications</w:t>
      </w:r>
      <w:r>
        <w:tab/>
      </w:r>
      <w:r>
        <w:fldChar w:fldCharType="begin"/>
      </w:r>
      <w:r>
        <w:instrText xml:space="preserve"> PAGEREF _Toc257366597 \h </w:instrText>
      </w:r>
      <w:r>
        <w:fldChar w:fldCharType="separate"/>
      </w:r>
      <w:r>
        <w:t>20</w:t>
      </w:r>
      <w:r>
        <w:fldChar w:fldCharType="end"/>
      </w:r>
    </w:p>
    <w:p>
      <w:pPr>
        <w:pStyle w:val="TOC8"/>
        <w:rPr>
          <w:sz w:val="24"/>
          <w:szCs w:val="24"/>
        </w:rPr>
      </w:pPr>
      <w:r>
        <w:rPr>
          <w:szCs w:val="24"/>
        </w:rPr>
        <w:t>31.</w:t>
      </w:r>
      <w:r>
        <w:rPr>
          <w:szCs w:val="24"/>
        </w:rPr>
        <w:tab/>
        <w:t>Modifying gas contracts — system use gas</w:t>
      </w:r>
      <w:r>
        <w:tab/>
      </w:r>
      <w:r>
        <w:fldChar w:fldCharType="begin"/>
      </w:r>
      <w:r>
        <w:instrText xml:space="preserve"> PAGEREF _Toc257366598 \h </w:instrText>
      </w:r>
      <w:r>
        <w:fldChar w:fldCharType="separate"/>
      </w:r>
      <w:r>
        <w:t>27</w:t>
      </w:r>
      <w:r>
        <w:fldChar w:fldCharType="end"/>
      </w:r>
    </w:p>
    <w:p>
      <w:pPr>
        <w:pStyle w:val="TOC2"/>
        <w:tabs>
          <w:tab w:val="right" w:leader="dot" w:pos="7086"/>
        </w:tabs>
        <w:rPr>
          <w:b w:val="0"/>
          <w:sz w:val="24"/>
          <w:szCs w:val="24"/>
        </w:rPr>
      </w:pPr>
      <w:r>
        <w:rPr>
          <w:szCs w:val="30"/>
        </w:rPr>
        <w:t>Part 4 — Compensation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32.</w:t>
      </w:r>
      <w:r>
        <w:rPr>
          <w:szCs w:val="24"/>
        </w:rPr>
        <w:tab/>
        <w:t>Terms used</w:t>
      </w:r>
      <w:r>
        <w:tab/>
      </w:r>
      <w:r>
        <w:fldChar w:fldCharType="begin"/>
      </w:r>
      <w:r>
        <w:instrText xml:space="preserve"> PAGEREF _Toc257366601 \h </w:instrText>
      </w:r>
      <w:r>
        <w:fldChar w:fldCharType="separate"/>
      </w:r>
      <w:r>
        <w:t>28</w:t>
      </w:r>
      <w:r>
        <w:fldChar w:fldCharType="end"/>
      </w:r>
    </w:p>
    <w:p>
      <w:pPr>
        <w:pStyle w:val="TOC4"/>
        <w:tabs>
          <w:tab w:val="right" w:leader="dot" w:pos="7086"/>
        </w:tabs>
        <w:rPr>
          <w:b w:val="0"/>
          <w:sz w:val="24"/>
          <w:szCs w:val="24"/>
        </w:rPr>
      </w:pPr>
      <w:r>
        <w:rPr>
          <w:szCs w:val="26"/>
        </w:rPr>
        <w:t>Division 2 — Entitlement and liability to compensation</w:t>
      </w:r>
    </w:p>
    <w:p>
      <w:pPr>
        <w:pStyle w:val="TOC8"/>
        <w:rPr>
          <w:sz w:val="24"/>
          <w:szCs w:val="24"/>
        </w:rPr>
      </w:pPr>
      <w:r>
        <w:rPr>
          <w:szCs w:val="24"/>
        </w:rPr>
        <w:t>33.</w:t>
      </w:r>
      <w:r>
        <w:rPr>
          <w:szCs w:val="24"/>
        </w:rPr>
        <w:tab/>
        <w:t>Agreements as to compensation</w:t>
      </w:r>
      <w:r>
        <w:tab/>
      </w:r>
      <w:r>
        <w:fldChar w:fldCharType="begin"/>
      </w:r>
      <w:r>
        <w:instrText xml:space="preserve"> PAGEREF _Toc257366603 \h </w:instrText>
      </w:r>
      <w:r>
        <w:fldChar w:fldCharType="separate"/>
      </w:r>
      <w:r>
        <w:t>29</w:t>
      </w:r>
      <w:r>
        <w:fldChar w:fldCharType="end"/>
      </w:r>
    </w:p>
    <w:p>
      <w:pPr>
        <w:pStyle w:val="TOC8"/>
        <w:rPr>
          <w:sz w:val="24"/>
          <w:szCs w:val="24"/>
        </w:rPr>
      </w:pPr>
      <w:r>
        <w:rPr>
          <w:szCs w:val="24"/>
        </w:rPr>
        <w:t>34.</w:t>
      </w:r>
      <w:r>
        <w:rPr>
          <w:szCs w:val="24"/>
        </w:rPr>
        <w:tab/>
        <w:t>Entitlement to compensation — costs incurred</w:t>
      </w:r>
      <w:r>
        <w:tab/>
      </w:r>
      <w:r>
        <w:fldChar w:fldCharType="begin"/>
      </w:r>
      <w:r>
        <w:instrText xml:space="preserve"> PAGEREF _Toc257366604 \h </w:instrText>
      </w:r>
      <w:r>
        <w:fldChar w:fldCharType="separate"/>
      </w:r>
      <w:r>
        <w:t>29</w:t>
      </w:r>
      <w:r>
        <w:fldChar w:fldCharType="end"/>
      </w:r>
    </w:p>
    <w:p>
      <w:pPr>
        <w:pStyle w:val="TOC8"/>
        <w:rPr>
          <w:sz w:val="24"/>
          <w:szCs w:val="24"/>
        </w:rPr>
      </w:pPr>
      <w:r>
        <w:rPr>
          <w:szCs w:val="24"/>
        </w:rPr>
        <w:t>35.</w:t>
      </w:r>
      <w:r>
        <w:rPr>
          <w:szCs w:val="24"/>
        </w:rPr>
        <w:tab/>
        <w:t>Entitlement to compensation — loss of capacity of gas storage facility</w:t>
      </w:r>
      <w:r>
        <w:tab/>
      </w:r>
      <w:r>
        <w:fldChar w:fldCharType="begin"/>
      </w:r>
      <w:r>
        <w:instrText xml:space="preserve"> PAGEREF _Toc257366605 \h </w:instrText>
      </w:r>
      <w:r>
        <w:fldChar w:fldCharType="separate"/>
      </w:r>
      <w:r>
        <w:t>32</w:t>
      </w:r>
      <w:r>
        <w:fldChar w:fldCharType="end"/>
      </w:r>
    </w:p>
    <w:p>
      <w:pPr>
        <w:pStyle w:val="TOC8"/>
        <w:rPr>
          <w:sz w:val="24"/>
          <w:szCs w:val="24"/>
        </w:rPr>
      </w:pPr>
      <w:r>
        <w:rPr>
          <w:szCs w:val="24"/>
        </w:rPr>
        <w:t>36.</w:t>
      </w:r>
      <w:r>
        <w:rPr>
          <w:szCs w:val="24"/>
        </w:rPr>
        <w:tab/>
        <w:t>Total amount of compensation</w:t>
      </w:r>
      <w:r>
        <w:tab/>
      </w:r>
      <w:r>
        <w:fldChar w:fldCharType="begin"/>
      </w:r>
      <w:r>
        <w:instrText xml:space="preserve"> PAGEREF _Toc257366606 \h </w:instrText>
      </w:r>
      <w:r>
        <w:fldChar w:fldCharType="separate"/>
      </w:r>
      <w:r>
        <w:t>33</w:t>
      </w:r>
      <w:r>
        <w:fldChar w:fldCharType="end"/>
      </w:r>
    </w:p>
    <w:p>
      <w:pPr>
        <w:pStyle w:val="TOC8"/>
        <w:rPr>
          <w:sz w:val="24"/>
          <w:szCs w:val="24"/>
        </w:rPr>
      </w:pPr>
      <w:r>
        <w:rPr>
          <w:szCs w:val="24"/>
        </w:rPr>
        <w:t>37.</w:t>
      </w:r>
      <w:r>
        <w:rPr>
          <w:szCs w:val="24"/>
        </w:rPr>
        <w:tab/>
        <w:t>The extent to which a relevant cost is claimable</w:t>
      </w:r>
      <w:r>
        <w:tab/>
      </w:r>
      <w:r>
        <w:fldChar w:fldCharType="begin"/>
      </w:r>
      <w:r>
        <w:instrText xml:space="preserve"> PAGEREF _Toc257366607 \h </w:instrText>
      </w:r>
      <w:r>
        <w:fldChar w:fldCharType="separate"/>
      </w:r>
      <w:r>
        <w:t>34</w:t>
      </w:r>
      <w:r>
        <w:fldChar w:fldCharType="end"/>
      </w:r>
    </w:p>
    <w:p>
      <w:pPr>
        <w:pStyle w:val="TOC8"/>
        <w:rPr>
          <w:sz w:val="24"/>
          <w:szCs w:val="24"/>
        </w:rPr>
      </w:pPr>
      <w:r>
        <w:rPr>
          <w:szCs w:val="24"/>
        </w:rPr>
        <w:t>38.</w:t>
      </w:r>
      <w:r>
        <w:rPr>
          <w:szCs w:val="24"/>
        </w:rPr>
        <w:tab/>
        <w:t>Adjustment of the compensable and claimable proportion of a relevant cost — fixed costs</w:t>
      </w:r>
      <w:r>
        <w:tab/>
      </w:r>
      <w:r>
        <w:fldChar w:fldCharType="begin"/>
      </w:r>
      <w:r>
        <w:instrText xml:space="preserve"> PAGEREF _Toc257366608 \h </w:instrText>
      </w:r>
      <w:r>
        <w:fldChar w:fldCharType="separate"/>
      </w:r>
      <w:r>
        <w:t>34</w:t>
      </w:r>
      <w:r>
        <w:fldChar w:fldCharType="end"/>
      </w:r>
    </w:p>
    <w:p>
      <w:pPr>
        <w:pStyle w:val="TOC8"/>
        <w:rPr>
          <w:sz w:val="24"/>
          <w:szCs w:val="24"/>
        </w:rPr>
      </w:pPr>
      <w:r>
        <w:rPr>
          <w:szCs w:val="24"/>
        </w:rPr>
        <w:t>39.</w:t>
      </w:r>
      <w:r>
        <w:rPr>
          <w:szCs w:val="24"/>
        </w:rPr>
        <w:tab/>
        <w:t>Adjustment of the total claimable ongoing costs</w:t>
      </w:r>
      <w:r>
        <w:tab/>
      </w:r>
      <w:r>
        <w:fldChar w:fldCharType="begin"/>
      </w:r>
      <w:r>
        <w:instrText xml:space="preserve"> PAGEREF _Toc257366609 \h </w:instrText>
      </w:r>
      <w:r>
        <w:fldChar w:fldCharType="separate"/>
      </w:r>
      <w:r>
        <w:t>36</w:t>
      </w:r>
      <w:r>
        <w:fldChar w:fldCharType="end"/>
      </w:r>
    </w:p>
    <w:p>
      <w:pPr>
        <w:pStyle w:val="TOC8"/>
        <w:rPr>
          <w:sz w:val="24"/>
          <w:szCs w:val="24"/>
        </w:rPr>
      </w:pPr>
      <w:r>
        <w:rPr>
          <w:szCs w:val="24"/>
        </w:rPr>
        <w:t>40.</w:t>
      </w:r>
      <w:r>
        <w:rPr>
          <w:szCs w:val="24"/>
        </w:rPr>
        <w:tab/>
        <w:t>Liability to compensation and extent of liability</w:t>
      </w:r>
      <w:r>
        <w:tab/>
      </w:r>
      <w:r>
        <w:fldChar w:fldCharType="begin"/>
      </w:r>
      <w:r>
        <w:instrText xml:space="preserve"> PAGEREF _Toc257366610 \h </w:instrText>
      </w:r>
      <w:r>
        <w:fldChar w:fldCharType="separate"/>
      </w:r>
      <w:r>
        <w:t>37</w:t>
      </w:r>
      <w:r>
        <w:fldChar w:fldCharType="end"/>
      </w:r>
    </w:p>
    <w:p>
      <w:pPr>
        <w:pStyle w:val="TOC8"/>
        <w:rPr>
          <w:sz w:val="24"/>
          <w:szCs w:val="24"/>
        </w:rPr>
      </w:pPr>
      <w:r>
        <w:rPr>
          <w:szCs w:val="24"/>
        </w:rPr>
        <w:t>41.</w:t>
      </w:r>
      <w:r>
        <w:rPr>
          <w:szCs w:val="24"/>
        </w:rPr>
        <w:tab/>
        <w:t>Recovery of compensation</w:t>
      </w:r>
      <w:r>
        <w:tab/>
      </w:r>
      <w:r>
        <w:fldChar w:fldCharType="begin"/>
      </w:r>
      <w:r>
        <w:instrText xml:space="preserve"> PAGEREF _Toc257366611 \h </w:instrText>
      </w:r>
      <w:r>
        <w:fldChar w:fldCharType="separate"/>
      </w:r>
      <w:r>
        <w:t>40</w:t>
      </w:r>
      <w:r>
        <w:fldChar w:fldCharType="end"/>
      </w:r>
    </w:p>
    <w:p>
      <w:pPr>
        <w:pStyle w:val="TOC4"/>
        <w:tabs>
          <w:tab w:val="right" w:leader="dot" w:pos="7086"/>
        </w:tabs>
        <w:rPr>
          <w:b w:val="0"/>
          <w:sz w:val="24"/>
          <w:szCs w:val="24"/>
        </w:rPr>
      </w:pPr>
      <w:r>
        <w:rPr>
          <w:szCs w:val="26"/>
        </w:rPr>
        <w:t>Division 3 — Extent to which relevant costs compensable</w:t>
      </w:r>
    </w:p>
    <w:p>
      <w:pPr>
        <w:pStyle w:val="TOC8"/>
        <w:rPr>
          <w:sz w:val="24"/>
          <w:szCs w:val="24"/>
        </w:rPr>
      </w:pPr>
      <w:r>
        <w:rPr>
          <w:szCs w:val="24"/>
        </w:rPr>
        <w:t>42.</w:t>
      </w:r>
      <w:r>
        <w:rPr>
          <w:szCs w:val="24"/>
        </w:rPr>
        <w:tab/>
        <w:t>Extent to which relevant costs are compensable</w:t>
      </w:r>
      <w:r>
        <w:tab/>
      </w:r>
      <w:r>
        <w:fldChar w:fldCharType="begin"/>
      </w:r>
      <w:r>
        <w:instrText xml:space="preserve"> PAGEREF _Toc257366613 \h </w:instrText>
      </w:r>
      <w:r>
        <w:fldChar w:fldCharType="separate"/>
      </w:r>
      <w:r>
        <w:t>41</w:t>
      </w:r>
      <w:r>
        <w:fldChar w:fldCharType="end"/>
      </w:r>
    </w:p>
    <w:p>
      <w:pPr>
        <w:pStyle w:val="TOC8"/>
        <w:rPr>
          <w:sz w:val="24"/>
          <w:szCs w:val="24"/>
        </w:rPr>
      </w:pPr>
      <w:r>
        <w:rPr>
          <w:szCs w:val="24"/>
        </w:rPr>
        <w:t>43.</w:t>
      </w:r>
      <w:r>
        <w:rPr>
          <w:szCs w:val="24"/>
        </w:rPr>
        <w:tab/>
        <w:t>Costs to restore capacity, or plant and equipment costs — compensable to the extent attributable to the gas not complying with the relevant gas quality specification</w:t>
      </w:r>
      <w:r>
        <w:tab/>
      </w:r>
      <w:r>
        <w:fldChar w:fldCharType="begin"/>
      </w:r>
      <w:r>
        <w:instrText xml:space="preserve"> PAGEREF _Toc257366614 \h </w:instrText>
      </w:r>
      <w:r>
        <w:fldChar w:fldCharType="separate"/>
      </w:r>
      <w:r>
        <w:t>42</w:t>
      </w:r>
      <w:r>
        <w:fldChar w:fldCharType="end"/>
      </w:r>
    </w:p>
    <w:p>
      <w:pPr>
        <w:pStyle w:val="TOC8"/>
        <w:rPr>
          <w:sz w:val="24"/>
          <w:szCs w:val="24"/>
        </w:rPr>
      </w:pPr>
      <w:r>
        <w:rPr>
          <w:szCs w:val="24"/>
        </w:rPr>
        <w:t>44.</w:t>
      </w:r>
      <w:r>
        <w:rPr>
          <w:szCs w:val="24"/>
        </w:rPr>
        <w:tab/>
        <w:t>Costs to restore capacity, or plant and equipment costs — compensable to the extent prudent</w:t>
      </w:r>
      <w:r>
        <w:tab/>
      </w:r>
      <w:r>
        <w:fldChar w:fldCharType="begin"/>
      </w:r>
      <w:r>
        <w:instrText xml:space="preserve"> PAGEREF _Toc257366615 \h </w:instrText>
      </w:r>
      <w:r>
        <w:fldChar w:fldCharType="separate"/>
      </w:r>
      <w:r>
        <w:t>43</w:t>
      </w:r>
      <w:r>
        <w:fldChar w:fldCharType="end"/>
      </w:r>
    </w:p>
    <w:p>
      <w:pPr>
        <w:pStyle w:val="TOC8"/>
        <w:rPr>
          <w:sz w:val="24"/>
          <w:szCs w:val="24"/>
        </w:rPr>
      </w:pPr>
      <w:r>
        <w:rPr>
          <w:szCs w:val="24"/>
        </w:rPr>
        <w:t>45.</w:t>
      </w:r>
      <w:r>
        <w:rPr>
          <w:szCs w:val="24"/>
        </w:rPr>
        <w:tab/>
        <w:t>Costs to restore capacity — compensable when, and to the extent to which, capacity needed</w:t>
      </w:r>
      <w:r>
        <w:tab/>
      </w:r>
      <w:r>
        <w:fldChar w:fldCharType="begin"/>
      </w:r>
      <w:r>
        <w:instrText xml:space="preserve"> PAGEREF _Toc257366616 \h </w:instrText>
      </w:r>
      <w:r>
        <w:fldChar w:fldCharType="separate"/>
      </w:r>
      <w:r>
        <w:t>45</w:t>
      </w:r>
      <w:r>
        <w:fldChar w:fldCharType="end"/>
      </w:r>
    </w:p>
    <w:p>
      <w:pPr>
        <w:pStyle w:val="TOC8"/>
        <w:rPr>
          <w:sz w:val="24"/>
          <w:szCs w:val="24"/>
        </w:rPr>
      </w:pPr>
      <w:r>
        <w:rPr>
          <w:szCs w:val="24"/>
        </w:rPr>
        <w:t>46.</w:t>
      </w:r>
      <w:r>
        <w:rPr>
          <w:szCs w:val="24"/>
        </w:rPr>
        <w:tab/>
        <w:t>Averaged quality, quantity and conditions</w:t>
      </w:r>
      <w:r>
        <w:tab/>
      </w:r>
      <w:r>
        <w:fldChar w:fldCharType="begin"/>
      </w:r>
      <w:r>
        <w:instrText xml:space="preserve"> PAGEREF _Toc257366617 \h </w:instrText>
      </w:r>
      <w:r>
        <w:fldChar w:fldCharType="separate"/>
      </w:r>
      <w:r>
        <w:t>46</w:t>
      </w:r>
      <w:r>
        <w:fldChar w:fldCharType="end"/>
      </w:r>
    </w:p>
    <w:p>
      <w:pPr>
        <w:pStyle w:val="TOC8"/>
        <w:rPr>
          <w:sz w:val="24"/>
          <w:szCs w:val="24"/>
        </w:rPr>
      </w:pPr>
      <w:r>
        <w:rPr>
          <w:szCs w:val="24"/>
        </w:rPr>
        <w:t>47.</w:t>
      </w:r>
      <w:r>
        <w:rPr>
          <w:szCs w:val="24"/>
        </w:rPr>
        <w:tab/>
        <w:t>Relevant gas quality specification for operator of the Mondarra Gas Storage Facility</w:t>
      </w:r>
      <w:r>
        <w:tab/>
      </w:r>
      <w:r>
        <w:fldChar w:fldCharType="begin"/>
      </w:r>
      <w:r>
        <w:instrText xml:space="preserve"> PAGEREF _Toc257366618 \h </w:instrText>
      </w:r>
      <w:r>
        <w:fldChar w:fldCharType="separate"/>
      </w:r>
      <w:r>
        <w:t>46</w:t>
      </w:r>
      <w:r>
        <w:fldChar w:fldCharType="end"/>
      </w:r>
    </w:p>
    <w:p>
      <w:pPr>
        <w:pStyle w:val="TOC8"/>
        <w:rPr>
          <w:sz w:val="24"/>
          <w:szCs w:val="24"/>
        </w:rPr>
      </w:pPr>
      <w:r>
        <w:rPr>
          <w:szCs w:val="24"/>
        </w:rPr>
        <w:t>48.</w:t>
      </w:r>
      <w:r>
        <w:rPr>
          <w:szCs w:val="24"/>
        </w:rPr>
        <w:tab/>
        <w:t>Operating and maintenance costs — method</w:t>
      </w:r>
      <w:r>
        <w:tab/>
      </w:r>
      <w:r>
        <w:fldChar w:fldCharType="begin"/>
      </w:r>
      <w:r>
        <w:instrText xml:space="preserve"> PAGEREF _Toc257366619 \h </w:instrText>
      </w:r>
      <w:r>
        <w:fldChar w:fldCharType="separate"/>
      </w:r>
      <w:r>
        <w:t>46</w:t>
      </w:r>
      <w:r>
        <w:fldChar w:fldCharType="end"/>
      </w:r>
    </w:p>
    <w:p>
      <w:pPr>
        <w:pStyle w:val="TOC2"/>
        <w:tabs>
          <w:tab w:val="right" w:leader="dot" w:pos="7086"/>
        </w:tabs>
        <w:rPr>
          <w:b w:val="0"/>
          <w:sz w:val="24"/>
          <w:szCs w:val="24"/>
        </w:rPr>
      </w:pPr>
      <w:r>
        <w:rPr>
          <w:szCs w:val="30"/>
        </w:rPr>
        <w:t>Part 5 — Dispute resolution</w:t>
      </w:r>
    </w:p>
    <w:p>
      <w:pPr>
        <w:pStyle w:val="TOC8"/>
        <w:rPr>
          <w:sz w:val="24"/>
          <w:szCs w:val="24"/>
        </w:rPr>
      </w:pPr>
      <w:r>
        <w:rPr>
          <w:szCs w:val="24"/>
        </w:rPr>
        <w:t>49.</w:t>
      </w:r>
      <w:r>
        <w:rPr>
          <w:szCs w:val="24"/>
        </w:rPr>
        <w:tab/>
        <w:t xml:space="preserve">Arbitration under the </w:t>
      </w:r>
      <w:r>
        <w:rPr>
          <w:i/>
          <w:szCs w:val="24"/>
        </w:rPr>
        <w:t>Commercial Arbitration Act </w:t>
      </w:r>
      <w:r>
        <w:rPr>
          <w:i/>
          <w:iCs/>
          <w:szCs w:val="24"/>
        </w:rPr>
        <w:t>1985</w:t>
      </w:r>
      <w:r>
        <w:tab/>
      </w:r>
      <w:r>
        <w:fldChar w:fldCharType="begin"/>
      </w:r>
      <w:r>
        <w:instrText xml:space="preserve"> PAGEREF _Toc257366621 \h </w:instrText>
      </w:r>
      <w:r>
        <w:fldChar w:fldCharType="separate"/>
      </w:r>
      <w:r>
        <w:t>47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Standard gas quality specifications for gas transmission pipelines</w:t>
      </w:r>
    </w:p>
    <w:p>
      <w:pPr>
        <w:pStyle w:val="TOC8"/>
        <w:rPr>
          <w:sz w:val="24"/>
          <w:szCs w:val="24"/>
        </w:rPr>
      </w:pPr>
      <w:r>
        <w:rPr>
          <w:szCs w:val="22"/>
        </w:rPr>
        <w:t>1.</w:t>
      </w:r>
      <w:r>
        <w:rPr>
          <w:szCs w:val="22"/>
        </w:rPr>
        <w:tab/>
        <w:t>Western Australian standard specification</w:t>
      </w:r>
      <w:r>
        <w:tab/>
      </w:r>
      <w:r>
        <w:fldChar w:fldCharType="begin"/>
      </w:r>
      <w:r>
        <w:instrText xml:space="preserve"> PAGEREF _Toc257366623 \h </w:instrText>
      </w:r>
      <w:r>
        <w:fldChar w:fldCharType="separate"/>
      </w:r>
      <w:r>
        <w:t>48</w:t>
      </w:r>
      <w:r>
        <w:fldChar w:fldCharType="end"/>
      </w:r>
    </w:p>
    <w:p>
      <w:pPr>
        <w:pStyle w:val="TOC8"/>
        <w:rPr>
          <w:sz w:val="24"/>
          <w:szCs w:val="24"/>
        </w:rPr>
      </w:pPr>
      <w:r>
        <w:rPr>
          <w:szCs w:val="22"/>
        </w:rPr>
        <w:t>2.</w:t>
      </w:r>
      <w:r>
        <w:rPr>
          <w:szCs w:val="22"/>
        </w:rPr>
        <w:tab/>
        <w:t>Parmelia Pipeline standard specification</w:t>
      </w:r>
      <w:r>
        <w:tab/>
      </w:r>
      <w:r>
        <w:fldChar w:fldCharType="begin"/>
      </w:r>
      <w:r>
        <w:instrText xml:space="preserve"> PAGEREF _Toc257366624 \h </w:instrText>
      </w:r>
      <w:r>
        <w:fldChar w:fldCharType="separate"/>
      </w:r>
      <w:r>
        <w:t>49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Reference specifications</w:t>
      </w:r>
    </w:p>
    <w:p>
      <w:pPr>
        <w:pStyle w:val="TOC8"/>
        <w:rPr>
          <w:sz w:val="24"/>
          <w:szCs w:val="24"/>
        </w:rPr>
      </w:pPr>
      <w:r>
        <w:rPr>
          <w:szCs w:val="22"/>
        </w:rPr>
        <w:t>1.</w:t>
      </w:r>
      <w:r>
        <w:rPr>
          <w:szCs w:val="22"/>
        </w:rPr>
        <w:tab/>
        <w:t>Reference gas quality specification — the DBNGP, Mid West Pipeline and Mondarra Interconnect Pipeline</w:t>
      </w:r>
      <w:r>
        <w:tab/>
      </w:r>
      <w:r>
        <w:fldChar w:fldCharType="begin"/>
      </w:r>
      <w:r>
        <w:instrText xml:space="preserve"> PAGEREF _Toc257366626 \h </w:instrText>
      </w:r>
      <w:r>
        <w:fldChar w:fldCharType="separate"/>
      </w:r>
      <w:r>
        <w:t>51</w:t>
      </w:r>
      <w:r>
        <w:fldChar w:fldCharType="end"/>
      </w:r>
    </w:p>
    <w:p>
      <w:pPr>
        <w:pStyle w:val="TOC8"/>
        <w:rPr>
          <w:sz w:val="24"/>
          <w:szCs w:val="24"/>
        </w:rPr>
      </w:pPr>
      <w:r>
        <w:rPr>
          <w:szCs w:val="22"/>
        </w:rPr>
        <w:t>2.</w:t>
      </w:r>
      <w:r>
        <w:rPr>
          <w:szCs w:val="22"/>
        </w:rPr>
        <w:tab/>
        <w:t>Reference gas quality specification — the Parmelia Pipeline</w:t>
      </w:r>
      <w:r>
        <w:tab/>
      </w:r>
      <w:r>
        <w:fldChar w:fldCharType="begin"/>
      </w:r>
      <w:r>
        <w:instrText xml:space="preserve"> PAGEREF _Toc257366627 \h </w:instrText>
      </w:r>
      <w:r>
        <w:fldChar w:fldCharType="separate"/>
      </w:r>
      <w:r>
        <w:t>52</w:t>
      </w:r>
      <w:r>
        <w:fldChar w:fldCharType="end"/>
      </w:r>
    </w:p>
    <w:p>
      <w:pPr>
        <w:pStyle w:val="TOC8"/>
        <w:rPr>
          <w:sz w:val="24"/>
          <w:szCs w:val="24"/>
        </w:rPr>
      </w:pPr>
      <w:r>
        <w:rPr>
          <w:szCs w:val="22"/>
        </w:rPr>
        <w:t>3.</w:t>
      </w:r>
      <w:r>
        <w:rPr>
          <w:szCs w:val="22"/>
        </w:rPr>
        <w:tab/>
        <w:t>Reference gas quality specification — certain lateral pipelines</w:t>
      </w:r>
      <w:r>
        <w:tab/>
      </w:r>
      <w:r>
        <w:fldChar w:fldCharType="begin"/>
      </w:r>
      <w:r>
        <w:instrText xml:space="preserve"> PAGEREF _Toc257366628 \h </w:instrText>
      </w:r>
      <w:r>
        <w:fldChar w:fldCharType="separate"/>
      </w:r>
      <w:r>
        <w:t>53</w:t>
      </w:r>
      <w:r>
        <w:fldChar w:fldCharType="end"/>
      </w:r>
    </w:p>
    <w:p>
      <w:pPr>
        <w:pStyle w:val="TOC8"/>
        <w:rPr>
          <w:sz w:val="24"/>
          <w:szCs w:val="24"/>
        </w:rPr>
      </w:pPr>
      <w:r>
        <w:rPr>
          <w:szCs w:val="22"/>
        </w:rPr>
        <w:t>4.</w:t>
      </w:r>
      <w:r>
        <w:rPr>
          <w:szCs w:val="22"/>
        </w:rPr>
        <w:tab/>
        <w:t>Reference gas quality specification — new pipelines and extensions</w:t>
      </w:r>
      <w:r>
        <w:tab/>
      </w:r>
      <w:r>
        <w:fldChar w:fldCharType="begin"/>
      </w:r>
      <w:r>
        <w:instrText xml:space="preserve"> PAGEREF _Toc257366629 \h </w:instrText>
      </w:r>
      <w:r>
        <w:fldChar w:fldCharType="separate"/>
      </w:r>
      <w:r>
        <w:t>53</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Relevant sections of PIA pipelines</w:t>
      </w:r>
    </w:p>
    <w:p>
      <w:pPr>
        <w:pStyle w:val="TOC8"/>
        <w:rPr>
          <w:sz w:val="24"/>
          <w:szCs w:val="24"/>
        </w:rPr>
      </w:pPr>
      <w:r>
        <w:rPr>
          <w:szCs w:val="22"/>
        </w:rPr>
        <w:t>1.</w:t>
      </w:r>
      <w:r>
        <w:rPr>
          <w:szCs w:val="22"/>
        </w:rPr>
        <w:tab/>
        <w:t>Relevant sections of the DBNGP</w:t>
      </w:r>
      <w:r>
        <w:tab/>
      </w:r>
      <w:r>
        <w:fldChar w:fldCharType="begin"/>
      </w:r>
      <w:r>
        <w:instrText xml:space="preserve"> PAGEREF _Toc257366631 \h </w:instrText>
      </w:r>
      <w:r>
        <w:fldChar w:fldCharType="separate"/>
      </w:r>
      <w:r>
        <w:t>54</w:t>
      </w:r>
      <w:r>
        <w:fldChar w:fldCharType="end"/>
      </w:r>
    </w:p>
    <w:p>
      <w:pPr>
        <w:pStyle w:val="TOC8"/>
        <w:rPr>
          <w:sz w:val="24"/>
          <w:szCs w:val="24"/>
        </w:rPr>
      </w:pPr>
      <w:r>
        <w:rPr>
          <w:szCs w:val="22"/>
        </w:rPr>
        <w:t>2.</w:t>
      </w:r>
      <w:r>
        <w:rPr>
          <w:szCs w:val="22"/>
        </w:rPr>
        <w:tab/>
        <w:t>Relevant sections of other PIA pipelines</w:t>
      </w:r>
      <w:r>
        <w:tab/>
      </w:r>
      <w:r>
        <w:fldChar w:fldCharType="begin"/>
      </w:r>
      <w:r>
        <w:instrText xml:space="preserve"> PAGEREF _Toc257366632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_Toc257366634 \h </w:instrText>
      </w:r>
      <w:r>
        <w:fldChar w:fldCharType="separate"/>
      </w:r>
      <w:r>
        <w:t>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2" w:name="_Toc243390268"/>
      <w:bookmarkStart w:id="3" w:name="_Toc243392738"/>
      <w:bookmarkStart w:id="4" w:name="_Toc243468213"/>
      <w:bookmarkStart w:id="5" w:name="_Toc243469441"/>
      <w:bookmarkStart w:id="6" w:name="_Toc243473149"/>
      <w:bookmarkStart w:id="7" w:name="_Toc244340333"/>
      <w:bookmarkStart w:id="8" w:name="_Toc244345847"/>
      <w:bookmarkStart w:id="9" w:name="_Toc244429112"/>
      <w:bookmarkStart w:id="10" w:name="_Toc244514911"/>
      <w:bookmarkStart w:id="11" w:name="_Toc244599499"/>
      <w:bookmarkStart w:id="12" w:name="_Toc244601285"/>
      <w:bookmarkStart w:id="13" w:name="_Toc244658660"/>
      <w:bookmarkStart w:id="14" w:name="_Toc244663583"/>
      <w:bookmarkStart w:id="15" w:name="_Toc244682958"/>
      <w:bookmarkStart w:id="16" w:name="_Toc244922381"/>
      <w:bookmarkStart w:id="17" w:name="_Toc244944126"/>
      <w:bookmarkStart w:id="18" w:name="_Toc244944549"/>
      <w:bookmarkStart w:id="19" w:name="_Toc245287563"/>
      <w:bookmarkStart w:id="20" w:name="_Toc245288061"/>
      <w:bookmarkStart w:id="21" w:name="_Toc245532307"/>
      <w:bookmarkStart w:id="22" w:name="_Toc245551461"/>
      <w:bookmarkStart w:id="23" w:name="_Toc245551608"/>
      <w:bookmarkStart w:id="24" w:name="_Toc245609269"/>
      <w:bookmarkStart w:id="25" w:name="_Toc245636195"/>
      <w:bookmarkStart w:id="26" w:name="_Toc245720432"/>
      <w:bookmarkStart w:id="27" w:name="_Toc245727925"/>
      <w:bookmarkStart w:id="28" w:name="_Toc245790152"/>
      <w:bookmarkStart w:id="29" w:name="_Toc245806676"/>
      <w:bookmarkStart w:id="30" w:name="_Toc245811643"/>
      <w:bookmarkStart w:id="31" w:name="_Toc245892797"/>
      <w:bookmarkStart w:id="32" w:name="_Toc246153412"/>
      <w:bookmarkStart w:id="33" w:name="_Toc246157533"/>
      <w:bookmarkStart w:id="34" w:name="_Toc246239937"/>
      <w:bookmarkStart w:id="35" w:name="_Toc246241604"/>
      <w:bookmarkStart w:id="36" w:name="_Toc246243664"/>
      <w:bookmarkStart w:id="37" w:name="_Toc246302446"/>
      <w:bookmarkStart w:id="38" w:name="_Toc246329661"/>
      <w:bookmarkStart w:id="39" w:name="_Toc246384877"/>
      <w:bookmarkStart w:id="40" w:name="_Toc246409649"/>
      <w:bookmarkStart w:id="41" w:name="_Toc246410743"/>
      <w:bookmarkStart w:id="42" w:name="_Toc246411362"/>
      <w:bookmarkStart w:id="43" w:name="_Toc246412381"/>
      <w:bookmarkStart w:id="44" w:name="_Toc246470758"/>
      <w:bookmarkStart w:id="45" w:name="_Toc246474689"/>
      <w:bookmarkStart w:id="46" w:name="_Toc246475657"/>
      <w:bookmarkStart w:id="47" w:name="_Toc246476349"/>
      <w:bookmarkStart w:id="48" w:name="_Toc246760273"/>
      <w:bookmarkStart w:id="49" w:name="_Toc246825586"/>
      <w:bookmarkStart w:id="50" w:name="_Toc246829484"/>
      <w:bookmarkStart w:id="51" w:name="_Toc246832905"/>
      <w:bookmarkStart w:id="52" w:name="_Toc246930640"/>
      <w:bookmarkStart w:id="53" w:name="_Toc246934818"/>
      <w:bookmarkStart w:id="54" w:name="_Toc246993973"/>
      <w:bookmarkStart w:id="55" w:name="_Toc247020594"/>
      <w:bookmarkStart w:id="56" w:name="_Toc247099529"/>
      <w:bookmarkStart w:id="57" w:name="_Toc247343219"/>
      <w:bookmarkStart w:id="58" w:name="_Toc247345366"/>
      <w:bookmarkStart w:id="59" w:name="_Toc247366018"/>
      <w:bookmarkStart w:id="60" w:name="_Toc247425363"/>
      <w:bookmarkStart w:id="61" w:name="_Toc247427832"/>
      <w:bookmarkStart w:id="62" w:name="_Toc247452133"/>
      <w:bookmarkStart w:id="63" w:name="_Toc247538290"/>
      <w:bookmarkStart w:id="64" w:name="_Toc247606424"/>
      <w:bookmarkStart w:id="65" w:name="_Toc247606695"/>
      <w:bookmarkStart w:id="66" w:name="_Toc247624406"/>
      <w:bookmarkStart w:id="67" w:name="_Toc247705582"/>
      <w:bookmarkStart w:id="68" w:name="_Toc247971301"/>
      <w:bookmarkStart w:id="69" w:name="_Toc248029041"/>
      <w:bookmarkStart w:id="70" w:name="_Toc248057740"/>
      <w:bookmarkStart w:id="71" w:name="_Toc248144561"/>
      <w:bookmarkStart w:id="72" w:name="_Toc248202888"/>
      <w:bookmarkStart w:id="73" w:name="_Toc248208196"/>
      <w:bookmarkStart w:id="74" w:name="_Toc248209185"/>
      <w:bookmarkStart w:id="75" w:name="_Toc248209255"/>
      <w:bookmarkStart w:id="76" w:name="_Toc248217272"/>
      <w:bookmarkStart w:id="77" w:name="_Toc248558716"/>
      <w:bookmarkStart w:id="78" w:name="_Toc248576376"/>
      <w:bookmarkStart w:id="79" w:name="_Toc248656206"/>
      <w:bookmarkStart w:id="80" w:name="_Toc248657076"/>
      <w:bookmarkStart w:id="81" w:name="_Toc248661872"/>
      <w:bookmarkStart w:id="82" w:name="_Toc248720650"/>
      <w:bookmarkStart w:id="83" w:name="_Toc248743587"/>
      <w:bookmarkStart w:id="84" w:name="_Toc248753308"/>
      <w:bookmarkStart w:id="85" w:name="_Toc248801954"/>
      <w:bookmarkStart w:id="86" w:name="_Toc248807898"/>
      <w:bookmarkStart w:id="87" w:name="_Toc248808742"/>
      <w:bookmarkStart w:id="88" w:name="_Toc248809549"/>
      <w:bookmarkStart w:id="89" w:name="_Toc248812055"/>
      <w:bookmarkStart w:id="90" w:name="_Toc248814054"/>
      <w:bookmarkStart w:id="91" w:name="_Toc248836630"/>
      <w:bookmarkStart w:id="92" w:name="_Toc248890219"/>
      <w:bookmarkStart w:id="93" w:name="_Toc248891328"/>
      <w:bookmarkStart w:id="94" w:name="_Toc248912136"/>
      <w:bookmarkStart w:id="95" w:name="_Toc248912234"/>
      <w:bookmarkStart w:id="96" w:name="_Toc248915908"/>
      <w:bookmarkStart w:id="97" w:name="_Toc248916506"/>
      <w:bookmarkStart w:id="98" w:name="_Toc248917746"/>
      <w:bookmarkStart w:id="99" w:name="_Toc249149540"/>
      <w:bookmarkStart w:id="100" w:name="_Toc249152069"/>
      <w:bookmarkStart w:id="101" w:name="_Toc249167491"/>
      <w:bookmarkStart w:id="102" w:name="_Toc249168277"/>
      <w:bookmarkStart w:id="103" w:name="_Toc249168728"/>
      <w:bookmarkStart w:id="104" w:name="_Toc249177173"/>
      <w:bookmarkStart w:id="105" w:name="_Toc249177535"/>
      <w:bookmarkStart w:id="106" w:name="_Toc252891048"/>
      <w:bookmarkStart w:id="107" w:name="_Toc252982282"/>
      <w:bookmarkStart w:id="108" w:name="_Toc253046813"/>
      <w:bookmarkStart w:id="109" w:name="_Toc253069143"/>
      <w:bookmarkStart w:id="110" w:name="_Toc253150635"/>
      <w:bookmarkStart w:id="111" w:name="_Toc253387170"/>
      <w:bookmarkStart w:id="112" w:name="_Toc253387246"/>
      <w:bookmarkStart w:id="113" w:name="_Toc253414457"/>
      <w:bookmarkStart w:id="114" w:name="_Toc253504663"/>
      <w:bookmarkStart w:id="115" w:name="_Toc253588186"/>
      <w:bookmarkStart w:id="116" w:name="_Toc253659498"/>
      <w:bookmarkStart w:id="117" w:name="_Toc253672634"/>
      <w:bookmarkStart w:id="118" w:name="_Toc253748311"/>
      <w:bookmarkStart w:id="119" w:name="_Toc253749402"/>
      <w:bookmarkStart w:id="120" w:name="_Toc253749534"/>
      <w:bookmarkStart w:id="121" w:name="_Toc253750137"/>
      <w:bookmarkStart w:id="122" w:name="_Toc254105808"/>
      <w:bookmarkStart w:id="123" w:name="_Toc254188613"/>
      <w:bookmarkStart w:id="124" w:name="_Toc254190614"/>
      <w:bookmarkStart w:id="125" w:name="_Toc254271529"/>
      <w:bookmarkStart w:id="126" w:name="_Toc254343695"/>
      <w:bookmarkStart w:id="127" w:name="_Toc254347631"/>
      <w:bookmarkStart w:id="128" w:name="_Toc254358444"/>
      <w:bookmarkStart w:id="129" w:name="_Toc254359191"/>
      <w:bookmarkStart w:id="130" w:name="_Toc254359374"/>
      <w:bookmarkStart w:id="131" w:name="_Toc254596255"/>
      <w:bookmarkStart w:id="132" w:name="_Toc254596665"/>
      <w:bookmarkStart w:id="133" w:name="_Toc254600713"/>
      <w:bookmarkStart w:id="134" w:name="_Toc254601164"/>
      <w:bookmarkStart w:id="135" w:name="_Toc254601237"/>
      <w:bookmarkStart w:id="136" w:name="_Toc254601784"/>
      <w:bookmarkStart w:id="137" w:name="_Toc254602309"/>
      <w:bookmarkStart w:id="138" w:name="_Toc254684180"/>
      <w:bookmarkStart w:id="139" w:name="_Toc254684252"/>
      <w:bookmarkStart w:id="140" w:name="_Toc254686551"/>
      <w:bookmarkStart w:id="141" w:name="_Toc254703726"/>
      <w:bookmarkStart w:id="142" w:name="_Toc254705045"/>
      <w:bookmarkStart w:id="143" w:name="_Toc254708246"/>
      <w:bookmarkStart w:id="144" w:name="_Toc254772878"/>
      <w:bookmarkStart w:id="145" w:name="_Toc254795987"/>
      <w:bookmarkStart w:id="146" w:name="_Toc254855410"/>
      <w:bookmarkStart w:id="147" w:name="_Toc254877498"/>
      <w:bookmarkStart w:id="148" w:name="_Toc254881209"/>
      <w:bookmarkStart w:id="149" w:name="_Toc254938487"/>
      <w:bookmarkStart w:id="150" w:name="_Toc254939249"/>
      <w:bookmarkStart w:id="151" w:name="_Toc254944114"/>
      <w:bookmarkStart w:id="152" w:name="_Toc254944186"/>
      <w:bookmarkStart w:id="153" w:name="_Toc254952350"/>
      <w:bookmarkStart w:id="154" w:name="_Toc254956717"/>
      <w:bookmarkStart w:id="155" w:name="_Toc254959121"/>
      <w:bookmarkStart w:id="156" w:name="_Toc254959316"/>
      <w:bookmarkStart w:id="157" w:name="_Toc256000630"/>
      <w:bookmarkStart w:id="158" w:name="_Toc256073234"/>
      <w:bookmarkStart w:id="159" w:name="_Toc256092734"/>
      <w:bookmarkStart w:id="160" w:name="_Toc256150242"/>
      <w:bookmarkStart w:id="161" w:name="_Toc256171777"/>
      <w:bookmarkStart w:id="162" w:name="_Toc256172087"/>
      <w:bookmarkStart w:id="163" w:name="_Toc256172446"/>
      <w:bookmarkStart w:id="164" w:name="_Toc256172722"/>
      <w:bookmarkStart w:id="165" w:name="_Toc256413968"/>
      <w:bookmarkStart w:id="166" w:name="_Toc256414325"/>
      <w:bookmarkStart w:id="167" w:name="_Toc256414679"/>
      <w:bookmarkStart w:id="168" w:name="_Toc256414751"/>
      <w:bookmarkStart w:id="169" w:name="_Toc256414905"/>
      <w:bookmarkStart w:id="170" w:name="_Toc256415124"/>
      <w:bookmarkStart w:id="171" w:name="_Toc256415293"/>
      <w:bookmarkStart w:id="172" w:name="_Toc256415571"/>
      <w:bookmarkStart w:id="173" w:name="_Toc256415663"/>
      <w:bookmarkStart w:id="174" w:name="_Toc256418992"/>
      <w:bookmarkStart w:id="175" w:name="_Toc256419566"/>
      <w:bookmarkStart w:id="176" w:name="_Toc256419651"/>
      <w:bookmarkStart w:id="177" w:name="_Toc256419723"/>
      <w:bookmarkStart w:id="178" w:name="_Toc257363393"/>
      <w:bookmarkStart w:id="179" w:name="_Toc257363477"/>
      <w:bookmarkStart w:id="180" w:name="_Toc2573665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423332722"/>
      <w:bookmarkStart w:id="182" w:name="_Toc425219441"/>
      <w:bookmarkStart w:id="183" w:name="_Toc426249308"/>
      <w:bookmarkStart w:id="184" w:name="_Toc449924704"/>
      <w:bookmarkStart w:id="185" w:name="_Toc449947722"/>
      <w:bookmarkStart w:id="186" w:name="_Toc454185713"/>
      <w:bookmarkStart w:id="187" w:name="_Toc515958686"/>
      <w:bookmarkStart w:id="188" w:name="_Toc256419724"/>
      <w:bookmarkStart w:id="189" w:name="_Toc257363394"/>
      <w:bookmarkStart w:id="190" w:name="_Toc257366562"/>
      <w:r>
        <w:rPr>
          <w:rStyle w:val="CharSectno"/>
        </w:rPr>
        <w:t>1</w:t>
      </w:r>
      <w:r>
        <w:t>.</w:t>
      </w:r>
      <w:r>
        <w:tab/>
        <w:t>Citation</w:t>
      </w:r>
      <w:bookmarkEnd w:id="181"/>
      <w:bookmarkEnd w:id="182"/>
      <w:bookmarkEnd w:id="183"/>
      <w:bookmarkEnd w:id="184"/>
      <w:bookmarkEnd w:id="185"/>
      <w:bookmarkEnd w:id="186"/>
      <w:bookmarkEnd w:id="187"/>
      <w:bookmarkEnd w:id="188"/>
      <w:bookmarkEnd w:id="189"/>
      <w:bookmarkEnd w:id="190"/>
    </w:p>
    <w:p>
      <w:pPr>
        <w:pStyle w:val="Subsection"/>
        <w:rPr>
          <w:i/>
        </w:rPr>
      </w:pPr>
      <w:r>
        <w:tab/>
      </w:r>
      <w:r>
        <w:tab/>
      </w:r>
      <w:bookmarkStart w:id="191" w:name="Start_Cursor"/>
      <w:bookmarkEnd w:id="191"/>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192" w:name="_Toc423332723"/>
      <w:bookmarkStart w:id="193" w:name="_Toc425219442"/>
      <w:bookmarkStart w:id="194" w:name="_Toc426249309"/>
      <w:bookmarkStart w:id="195" w:name="_Toc449924705"/>
      <w:bookmarkStart w:id="196" w:name="_Toc449947723"/>
      <w:bookmarkStart w:id="197" w:name="_Toc454185714"/>
      <w:bookmarkStart w:id="198" w:name="_Toc515958687"/>
      <w:bookmarkStart w:id="199" w:name="_Toc256419725"/>
      <w:bookmarkStart w:id="200" w:name="_Toc257363395"/>
      <w:bookmarkStart w:id="201" w:name="_Toc257366563"/>
      <w:r>
        <w:rPr>
          <w:rStyle w:val="CharSectno"/>
        </w:rPr>
        <w:t>2</w:t>
      </w:r>
      <w:r>
        <w:rPr>
          <w:spacing w:val="-2"/>
        </w:rPr>
        <w:t>.</w:t>
      </w:r>
      <w:r>
        <w:rPr>
          <w:spacing w:val="-2"/>
        </w:rPr>
        <w:tab/>
        <w:t>Commencement</w:t>
      </w:r>
      <w:bookmarkEnd w:id="192"/>
      <w:bookmarkEnd w:id="193"/>
      <w:bookmarkEnd w:id="194"/>
      <w:bookmarkEnd w:id="195"/>
      <w:bookmarkEnd w:id="196"/>
      <w:bookmarkEnd w:id="197"/>
      <w:bookmarkEnd w:id="198"/>
      <w:bookmarkEnd w:id="199"/>
      <w:bookmarkEnd w:id="200"/>
      <w:bookmarkEnd w:id="201"/>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202" w:name="_Toc256419726"/>
      <w:bookmarkStart w:id="203" w:name="_Toc257363396"/>
      <w:bookmarkStart w:id="204" w:name="_Toc257366564"/>
      <w:r>
        <w:rPr>
          <w:rStyle w:val="CharSectno"/>
        </w:rPr>
        <w:t>3</w:t>
      </w:r>
      <w:r>
        <w:t>.</w:t>
      </w:r>
      <w:r>
        <w:tab/>
        <w:t>Terms used</w:t>
      </w:r>
      <w:bookmarkEnd w:id="202"/>
      <w:bookmarkEnd w:id="203"/>
      <w:bookmarkEnd w:id="204"/>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lang w:eastAsia="en-AU"/>
        </w:rPr>
        <w:drawing>
          <wp:inline distT="0" distB="0" distL="0" distR="0">
            <wp:extent cx="1333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Heading5"/>
      </w:pPr>
      <w:bookmarkStart w:id="205" w:name="_Toc256419727"/>
      <w:bookmarkStart w:id="206" w:name="_Toc257363397"/>
      <w:bookmarkStart w:id="207" w:name="_Toc257366565"/>
      <w:r>
        <w:rPr>
          <w:rStyle w:val="CharSectno"/>
        </w:rPr>
        <w:t>4</w:t>
      </w:r>
      <w:r>
        <w:t>.</w:t>
      </w:r>
      <w:r>
        <w:tab/>
        <w:t>Use of notes and examples</w:t>
      </w:r>
      <w:bookmarkEnd w:id="205"/>
      <w:bookmarkEnd w:id="206"/>
      <w:bookmarkEnd w:id="207"/>
    </w:p>
    <w:p>
      <w:pPr>
        <w:pStyle w:val="Subsection"/>
      </w:pPr>
      <w:r>
        <w:tab/>
      </w:r>
      <w:r>
        <w:tab/>
        <w:t>A note or example included in these regulations is explanatory and is not part of these regulations.</w:t>
      </w:r>
    </w:p>
    <w:p>
      <w:pPr>
        <w:pStyle w:val="Heading5"/>
      </w:pPr>
      <w:bookmarkStart w:id="208" w:name="_Toc256419728"/>
      <w:bookmarkStart w:id="209" w:name="_Toc257363398"/>
      <w:bookmarkStart w:id="210" w:name="_Toc257366566"/>
      <w:r>
        <w:rPr>
          <w:rStyle w:val="CharSectno"/>
        </w:rPr>
        <w:t>5</w:t>
      </w:r>
      <w:r>
        <w:t>.</w:t>
      </w:r>
      <w:r>
        <w:tab/>
        <w:t>Gas transmission pipelines</w:t>
      </w:r>
      <w:bookmarkEnd w:id="208"/>
      <w:bookmarkEnd w:id="209"/>
      <w:bookmarkEnd w:id="210"/>
    </w:p>
    <w:p>
      <w:pPr>
        <w:pStyle w:val="Subsection"/>
      </w:pPr>
      <w:r>
        <w:tab/>
      </w:r>
      <w:r>
        <w:tab/>
        <w:t xml:space="preserve">For the purposes of the definition of </w:t>
      </w:r>
      <w:r>
        <w:rPr>
          <w:b/>
          <w:bCs/>
          <w:i/>
          <w:iCs/>
        </w:rPr>
        <w:t>gas transmission pipeline</w:t>
      </w:r>
      <w:r>
        <w:t xml:space="preserve"> in section 3(1) of the Act, the DBNGP and the Mid West Pipeline are declared to be gas transmission pipelines.</w:t>
      </w:r>
    </w:p>
    <w:p>
      <w:pPr>
        <w:pStyle w:val="Heading5"/>
      </w:pPr>
      <w:bookmarkStart w:id="211" w:name="_Toc256419729"/>
      <w:bookmarkStart w:id="212" w:name="_Toc257363399"/>
      <w:bookmarkStart w:id="213" w:name="_Toc257366567"/>
      <w:r>
        <w:rPr>
          <w:rStyle w:val="CharSectno"/>
        </w:rPr>
        <w:t>6</w:t>
      </w:r>
      <w:r>
        <w:t>.</w:t>
      </w:r>
      <w:r>
        <w:tab/>
        <w:t>Gas storage facilities</w:t>
      </w:r>
      <w:bookmarkEnd w:id="211"/>
      <w:bookmarkEnd w:id="212"/>
      <w:bookmarkEnd w:id="213"/>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214" w:name="_Toc256419730"/>
      <w:bookmarkStart w:id="215" w:name="_Toc257363400"/>
      <w:bookmarkStart w:id="216" w:name="_Toc257366568"/>
      <w:r>
        <w:rPr>
          <w:rStyle w:val="CharSectno"/>
        </w:rPr>
        <w:t>7</w:t>
      </w:r>
      <w:r>
        <w:t>.</w:t>
      </w:r>
      <w:r>
        <w:tab/>
        <w:t>Reference gas quality specifications</w:t>
      </w:r>
      <w:bookmarkEnd w:id="214"/>
      <w:bookmarkEnd w:id="215"/>
      <w:bookmarkEnd w:id="216"/>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217" w:name="_Toc243390274"/>
      <w:bookmarkStart w:id="218" w:name="_Toc243392744"/>
      <w:bookmarkStart w:id="219" w:name="_Toc243468219"/>
      <w:bookmarkStart w:id="220" w:name="_Toc243469447"/>
      <w:bookmarkStart w:id="221" w:name="_Toc243473155"/>
      <w:bookmarkStart w:id="222" w:name="_Toc244340339"/>
      <w:bookmarkStart w:id="223" w:name="_Toc244345853"/>
      <w:bookmarkStart w:id="224" w:name="_Toc244429118"/>
      <w:bookmarkStart w:id="225" w:name="_Toc244514917"/>
      <w:bookmarkStart w:id="226" w:name="_Toc244599505"/>
      <w:bookmarkStart w:id="227" w:name="_Toc244601291"/>
      <w:bookmarkStart w:id="228" w:name="_Toc244658666"/>
      <w:bookmarkStart w:id="229" w:name="_Toc244663589"/>
      <w:bookmarkStart w:id="230" w:name="_Toc244682964"/>
      <w:bookmarkStart w:id="231" w:name="_Toc244922387"/>
      <w:bookmarkStart w:id="232" w:name="_Toc244944132"/>
      <w:bookmarkStart w:id="233" w:name="_Toc244944555"/>
      <w:bookmarkStart w:id="234" w:name="_Toc245287569"/>
      <w:bookmarkStart w:id="235" w:name="_Toc245288067"/>
      <w:bookmarkStart w:id="236" w:name="_Toc245532313"/>
      <w:bookmarkStart w:id="237" w:name="_Toc245551467"/>
      <w:bookmarkStart w:id="238" w:name="_Toc245551614"/>
      <w:bookmarkStart w:id="239" w:name="_Toc245609275"/>
      <w:bookmarkStart w:id="240" w:name="_Toc245636201"/>
      <w:bookmarkStart w:id="241" w:name="_Toc245720438"/>
      <w:bookmarkStart w:id="242" w:name="_Toc245727931"/>
      <w:bookmarkStart w:id="243" w:name="_Toc245790158"/>
      <w:bookmarkStart w:id="244" w:name="_Toc245806682"/>
      <w:bookmarkStart w:id="245" w:name="_Toc245811649"/>
      <w:bookmarkStart w:id="246" w:name="_Toc245892803"/>
      <w:bookmarkStart w:id="247" w:name="_Toc246153418"/>
      <w:bookmarkStart w:id="248" w:name="_Toc246157539"/>
      <w:bookmarkStart w:id="249" w:name="_Toc246239943"/>
      <w:bookmarkStart w:id="250" w:name="_Toc246241610"/>
      <w:bookmarkStart w:id="251" w:name="_Toc246243670"/>
      <w:bookmarkStart w:id="252" w:name="_Toc246302452"/>
      <w:bookmarkStart w:id="253" w:name="_Toc246329668"/>
      <w:bookmarkStart w:id="254" w:name="_Toc246384884"/>
      <w:bookmarkStart w:id="255" w:name="_Toc246409656"/>
      <w:bookmarkStart w:id="256" w:name="_Toc246410750"/>
      <w:bookmarkStart w:id="257" w:name="_Toc246411369"/>
      <w:bookmarkStart w:id="258" w:name="_Toc246412388"/>
      <w:bookmarkStart w:id="259" w:name="_Toc246470765"/>
      <w:bookmarkStart w:id="260" w:name="_Toc246474696"/>
      <w:bookmarkStart w:id="261" w:name="_Toc246475664"/>
      <w:bookmarkStart w:id="262" w:name="_Toc246476356"/>
      <w:bookmarkStart w:id="263" w:name="_Toc246760280"/>
      <w:bookmarkStart w:id="264" w:name="_Toc246825593"/>
      <w:bookmarkStart w:id="265" w:name="_Toc246829491"/>
      <w:bookmarkStart w:id="266" w:name="_Toc246832912"/>
      <w:bookmarkStart w:id="267" w:name="_Toc246930647"/>
      <w:bookmarkStart w:id="268" w:name="_Toc246934825"/>
      <w:bookmarkStart w:id="269" w:name="_Toc246993980"/>
      <w:bookmarkStart w:id="270" w:name="_Toc247020601"/>
      <w:bookmarkStart w:id="271" w:name="_Toc247099536"/>
      <w:bookmarkStart w:id="272" w:name="_Toc247343226"/>
      <w:bookmarkStart w:id="273" w:name="_Toc247345373"/>
      <w:bookmarkStart w:id="274" w:name="_Toc247366025"/>
      <w:bookmarkStart w:id="275" w:name="_Toc247425370"/>
      <w:bookmarkStart w:id="276" w:name="_Toc247427839"/>
      <w:bookmarkStart w:id="277" w:name="_Toc247452140"/>
      <w:bookmarkStart w:id="278" w:name="_Toc247538297"/>
      <w:bookmarkStart w:id="279" w:name="_Toc247606431"/>
      <w:bookmarkStart w:id="280" w:name="_Toc247606702"/>
      <w:bookmarkStart w:id="281" w:name="_Toc247624414"/>
      <w:bookmarkStart w:id="282" w:name="_Toc247705590"/>
      <w:bookmarkStart w:id="283" w:name="_Toc247971309"/>
      <w:bookmarkStart w:id="284" w:name="_Toc248029049"/>
      <w:bookmarkStart w:id="285" w:name="_Toc248057748"/>
      <w:bookmarkStart w:id="286" w:name="_Toc248144569"/>
      <w:bookmarkStart w:id="287" w:name="_Toc248202896"/>
      <w:bookmarkStart w:id="288" w:name="_Toc248208204"/>
      <w:bookmarkStart w:id="289" w:name="_Toc248209193"/>
      <w:bookmarkStart w:id="290" w:name="_Toc248209263"/>
      <w:bookmarkStart w:id="291" w:name="_Toc248217280"/>
      <w:bookmarkStart w:id="292" w:name="_Toc248558724"/>
      <w:bookmarkStart w:id="293" w:name="_Toc248576384"/>
      <w:bookmarkStart w:id="294" w:name="_Toc248656214"/>
      <w:bookmarkStart w:id="295" w:name="_Toc248657084"/>
      <w:bookmarkStart w:id="296" w:name="_Toc248661880"/>
      <w:bookmarkStart w:id="297" w:name="_Toc248720658"/>
      <w:bookmarkStart w:id="298" w:name="_Toc248743595"/>
      <w:bookmarkStart w:id="299" w:name="_Toc248753316"/>
      <w:bookmarkStart w:id="300" w:name="_Toc248801962"/>
      <w:bookmarkStart w:id="301" w:name="_Toc248807906"/>
      <w:bookmarkStart w:id="302" w:name="_Toc248808750"/>
      <w:bookmarkStart w:id="303" w:name="_Toc248809557"/>
      <w:bookmarkStart w:id="304" w:name="_Toc248812063"/>
      <w:bookmarkStart w:id="305" w:name="_Toc248814062"/>
      <w:bookmarkStart w:id="306" w:name="_Toc248836638"/>
      <w:bookmarkStart w:id="307" w:name="_Toc248890227"/>
      <w:bookmarkStart w:id="308" w:name="_Toc248891336"/>
      <w:bookmarkStart w:id="309" w:name="_Toc248912144"/>
      <w:bookmarkStart w:id="310" w:name="_Toc248912242"/>
      <w:bookmarkStart w:id="311" w:name="_Toc248915916"/>
      <w:bookmarkStart w:id="312" w:name="_Toc248916514"/>
      <w:bookmarkStart w:id="313" w:name="_Toc248917754"/>
      <w:bookmarkStart w:id="314" w:name="_Toc249149548"/>
      <w:bookmarkStart w:id="315" w:name="_Toc249152077"/>
      <w:bookmarkStart w:id="316" w:name="_Toc249167499"/>
      <w:bookmarkStart w:id="317" w:name="_Toc249168285"/>
      <w:bookmarkStart w:id="318" w:name="_Toc249168736"/>
      <w:bookmarkStart w:id="319" w:name="_Toc249177181"/>
      <w:bookmarkStart w:id="320" w:name="_Toc249177543"/>
      <w:bookmarkStart w:id="321" w:name="_Toc252891056"/>
      <w:bookmarkStart w:id="322" w:name="_Toc252982290"/>
      <w:bookmarkStart w:id="323" w:name="_Toc253046821"/>
      <w:bookmarkStart w:id="324" w:name="_Toc253069151"/>
      <w:bookmarkStart w:id="325" w:name="_Toc253150643"/>
      <w:bookmarkStart w:id="326" w:name="_Toc253387178"/>
      <w:bookmarkStart w:id="327" w:name="_Toc253387254"/>
      <w:bookmarkStart w:id="328" w:name="_Toc253414465"/>
      <w:bookmarkStart w:id="329" w:name="_Toc253504671"/>
      <w:bookmarkStart w:id="330" w:name="_Toc253588194"/>
      <w:bookmarkStart w:id="331" w:name="_Toc253659506"/>
      <w:bookmarkStart w:id="332" w:name="_Toc253672642"/>
      <w:bookmarkStart w:id="333" w:name="_Toc253748319"/>
      <w:bookmarkStart w:id="334" w:name="_Toc253749410"/>
      <w:bookmarkStart w:id="335" w:name="_Toc253749542"/>
      <w:bookmarkStart w:id="336" w:name="_Toc253750145"/>
      <w:bookmarkStart w:id="337" w:name="_Toc254105816"/>
      <w:bookmarkStart w:id="338" w:name="_Toc254188621"/>
      <w:bookmarkStart w:id="339" w:name="_Toc254190622"/>
      <w:bookmarkStart w:id="340" w:name="_Toc254271537"/>
      <w:bookmarkStart w:id="341" w:name="_Toc254343703"/>
      <w:bookmarkStart w:id="342" w:name="_Toc254347639"/>
      <w:bookmarkStart w:id="343" w:name="_Toc254358452"/>
      <w:bookmarkStart w:id="344" w:name="_Toc254359199"/>
      <w:bookmarkStart w:id="345" w:name="_Toc254359382"/>
      <w:bookmarkStart w:id="346" w:name="_Toc254596263"/>
      <w:bookmarkStart w:id="347" w:name="_Toc254596673"/>
      <w:bookmarkStart w:id="348" w:name="_Toc254600721"/>
      <w:bookmarkStart w:id="349" w:name="_Toc254601172"/>
      <w:bookmarkStart w:id="350" w:name="_Toc254601245"/>
      <w:bookmarkStart w:id="351" w:name="_Toc254601792"/>
      <w:bookmarkStart w:id="352" w:name="_Toc254602317"/>
      <w:bookmarkStart w:id="353" w:name="_Toc254684188"/>
      <w:bookmarkStart w:id="354" w:name="_Toc254684260"/>
      <w:bookmarkStart w:id="355" w:name="_Toc254686559"/>
      <w:bookmarkStart w:id="356" w:name="_Toc254703734"/>
      <w:bookmarkStart w:id="357" w:name="_Toc254705053"/>
      <w:bookmarkStart w:id="358" w:name="_Toc254708254"/>
      <w:bookmarkStart w:id="359" w:name="_Toc254772886"/>
      <w:bookmarkStart w:id="360" w:name="_Toc254795995"/>
      <w:bookmarkStart w:id="361" w:name="_Toc254855418"/>
      <w:bookmarkStart w:id="362" w:name="_Toc254877506"/>
      <w:bookmarkStart w:id="363" w:name="_Toc254881217"/>
      <w:bookmarkStart w:id="364" w:name="_Toc254938495"/>
      <w:bookmarkStart w:id="365" w:name="_Toc254939257"/>
      <w:bookmarkStart w:id="366" w:name="_Toc254944122"/>
      <w:bookmarkStart w:id="367" w:name="_Toc254944194"/>
      <w:bookmarkStart w:id="368" w:name="_Toc254952358"/>
      <w:bookmarkStart w:id="369" w:name="_Toc254956725"/>
      <w:bookmarkStart w:id="370" w:name="_Toc254959129"/>
      <w:bookmarkStart w:id="371" w:name="_Toc254959324"/>
      <w:bookmarkStart w:id="372" w:name="_Toc256000638"/>
      <w:bookmarkStart w:id="373" w:name="_Toc256073242"/>
      <w:bookmarkStart w:id="374" w:name="_Toc256092742"/>
      <w:bookmarkStart w:id="375" w:name="_Toc256150250"/>
      <w:bookmarkStart w:id="376" w:name="_Toc256171785"/>
      <w:bookmarkStart w:id="377" w:name="_Toc256172095"/>
      <w:bookmarkStart w:id="378" w:name="_Toc256172454"/>
      <w:bookmarkStart w:id="379" w:name="_Toc256172730"/>
      <w:bookmarkStart w:id="380" w:name="_Toc256413976"/>
      <w:bookmarkStart w:id="381" w:name="_Toc256414333"/>
      <w:bookmarkStart w:id="382" w:name="_Toc256414687"/>
      <w:bookmarkStart w:id="383" w:name="_Toc256414759"/>
      <w:bookmarkStart w:id="384" w:name="_Toc256414913"/>
      <w:bookmarkStart w:id="385" w:name="_Toc256415132"/>
      <w:bookmarkStart w:id="386" w:name="_Toc256415301"/>
      <w:bookmarkStart w:id="387" w:name="_Toc256415579"/>
      <w:bookmarkStart w:id="388" w:name="_Toc256415671"/>
      <w:bookmarkStart w:id="389" w:name="_Toc256419000"/>
      <w:bookmarkStart w:id="390" w:name="_Toc256419574"/>
      <w:bookmarkStart w:id="391" w:name="_Toc256419659"/>
      <w:bookmarkStart w:id="392" w:name="_Toc256419731"/>
      <w:bookmarkStart w:id="393" w:name="_Toc257363401"/>
      <w:bookmarkStart w:id="394" w:name="_Toc257363485"/>
      <w:bookmarkStart w:id="395" w:name="_Toc257366569"/>
      <w:r>
        <w:rPr>
          <w:rStyle w:val="CharPartNo"/>
        </w:rPr>
        <w:t>Part 2</w:t>
      </w:r>
      <w:r>
        <w:t> — </w:t>
      </w:r>
      <w:r>
        <w:rPr>
          <w:rStyle w:val="CharPartText"/>
        </w:rPr>
        <w:t>Gas quality and capacity of PIA pipelines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3"/>
      </w:pPr>
      <w:bookmarkStart w:id="396" w:name="_Toc243390275"/>
      <w:bookmarkStart w:id="397" w:name="_Toc243392745"/>
      <w:bookmarkStart w:id="398" w:name="_Toc243468220"/>
      <w:bookmarkStart w:id="399" w:name="_Toc243469448"/>
      <w:bookmarkStart w:id="400" w:name="_Toc243473156"/>
      <w:bookmarkStart w:id="401" w:name="_Toc244340340"/>
      <w:bookmarkStart w:id="402" w:name="_Toc244345854"/>
      <w:bookmarkStart w:id="403" w:name="_Toc244429119"/>
      <w:bookmarkStart w:id="404" w:name="_Toc244514918"/>
      <w:bookmarkStart w:id="405" w:name="_Toc244599506"/>
      <w:bookmarkStart w:id="406" w:name="_Toc244601292"/>
      <w:bookmarkStart w:id="407" w:name="_Toc244658667"/>
      <w:bookmarkStart w:id="408" w:name="_Toc244663590"/>
      <w:bookmarkStart w:id="409" w:name="_Toc244682965"/>
      <w:bookmarkStart w:id="410" w:name="_Toc244922388"/>
      <w:bookmarkStart w:id="411" w:name="_Toc244944133"/>
      <w:bookmarkStart w:id="412" w:name="_Toc244944556"/>
      <w:bookmarkStart w:id="413" w:name="_Toc245287570"/>
      <w:bookmarkStart w:id="414" w:name="_Toc245288068"/>
      <w:bookmarkStart w:id="415" w:name="_Toc245532314"/>
      <w:bookmarkStart w:id="416" w:name="_Toc245551468"/>
      <w:bookmarkStart w:id="417" w:name="_Toc245551615"/>
      <w:bookmarkStart w:id="418" w:name="_Toc245609276"/>
      <w:bookmarkStart w:id="419" w:name="_Toc245636202"/>
      <w:bookmarkStart w:id="420" w:name="_Toc245720439"/>
      <w:bookmarkStart w:id="421" w:name="_Toc245727932"/>
      <w:bookmarkStart w:id="422" w:name="_Toc245790159"/>
      <w:bookmarkStart w:id="423" w:name="_Toc245806683"/>
      <w:bookmarkStart w:id="424" w:name="_Toc245811650"/>
      <w:bookmarkStart w:id="425" w:name="_Toc245892804"/>
      <w:bookmarkStart w:id="426" w:name="_Toc246153419"/>
      <w:bookmarkStart w:id="427" w:name="_Toc246157540"/>
      <w:bookmarkStart w:id="428" w:name="_Toc246239944"/>
      <w:bookmarkStart w:id="429" w:name="_Toc246241611"/>
      <w:bookmarkStart w:id="430" w:name="_Toc246243671"/>
      <w:bookmarkStart w:id="431" w:name="_Toc246302453"/>
      <w:bookmarkStart w:id="432" w:name="_Toc246329669"/>
      <w:bookmarkStart w:id="433" w:name="_Toc246384885"/>
      <w:bookmarkStart w:id="434" w:name="_Toc246409657"/>
      <w:bookmarkStart w:id="435" w:name="_Toc246410751"/>
      <w:bookmarkStart w:id="436" w:name="_Toc246411370"/>
      <w:bookmarkStart w:id="437" w:name="_Toc246412389"/>
      <w:bookmarkStart w:id="438" w:name="_Toc246470766"/>
      <w:bookmarkStart w:id="439" w:name="_Toc246474697"/>
      <w:bookmarkStart w:id="440" w:name="_Toc246475665"/>
      <w:bookmarkStart w:id="441" w:name="_Toc246476357"/>
      <w:bookmarkStart w:id="442" w:name="_Toc246760281"/>
      <w:bookmarkStart w:id="443" w:name="_Toc246825594"/>
      <w:bookmarkStart w:id="444" w:name="_Toc246829492"/>
      <w:bookmarkStart w:id="445" w:name="_Toc246832913"/>
      <w:bookmarkStart w:id="446" w:name="_Toc246930648"/>
      <w:bookmarkStart w:id="447" w:name="_Toc246934826"/>
      <w:bookmarkStart w:id="448" w:name="_Toc246993981"/>
      <w:bookmarkStart w:id="449" w:name="_Toc247020602"/>
      <w:bookmarkStart w:id="450" w:name="_Toc247099537"/>
      <w:bookmarkStart w:id="451" w:name="_Toc247343227"/>
      <w:bookmarkStart w:id="452" w:name="_Toc247345374"/>
      <w:bookmarkStart w:id="453" w:name="_Toc247366026"/>
      <w:bookmarkStart w:id="454" w:name="_Toc247425371"/>
      <w:bookmarkStart w:id="455" w:name="_Toc247427840"/>
      <w:bookmarkStart w:id="456" w:name="_Toc247452141"/>
      <w:bookmarkStart w:id="457" w:name="_Toc247538298"/>
      <w:bookmarkStart w:id="458" w:name="_Toc247606432"/>
      <w:bookmarkStart w:id="459" w:name="_Toc247606703"/>
      <w:bookmarkStart w:id="460" w:name="_Toc247624415"/>
      <w:bookmarkStart w:id="461" w:name="_Toc247705591"/>
      <w:bookmarkStart w:id="462" w:name="_Toc247971310"/>
      <w:bookmarkStart w:id="463" w:name="_Toc248029050"/>
      <w:bookmarkStart w:id="464" w:name="_Toc248057749"/>
      <w:bookmarkStart w:id="465" w:name="_Toc248144570"/>
      <w:bookmarkStart w:id="466" w:name="_Toc248202897"/>
      <w:bookmarkStart w:id="467" w:name="_Toc248208205"/>
      <w:bookmarkStart w:id="468" w:name="_Toc248209194"/>
      <w:bookmarkStart w:id="469" w:name="_Toc248209264"/>
      <w:bookmarkStart w:id="470" w:name="_Toc248217281"/>
      <w:bookmarkStart w:id="471" w:name="_Toc248558725"/>
      <w:bookmarkStart w:id="472" w:name="_Toc248576385"/>
      <w:bookmarkStart w:id="473" w:name="_Toc248656215"/>
      <w:bookmarkStart w:id="474" w:name="_Toc248657085"/>
      <w:bookmarkStart w:id="475" w:name="_Toc248661881"/>
      <w:bookmarkStart w:id="476" w:name="_Toc248720659"/>
      <w:bookmarkStart w:id="477" w:name="_Toc248743596"/>
      <w:bookmarkStart w:id="478" w:name="_Toc248753317"/>
      <w:bookmarkStart w:id="479" w:name="_Toc248801963"/>
      <w:bookmarkStart w:id="480" w:name="_Toc248807907"/>
      <w:bookmarkStart w:id="481" w:name="_Toc248808751"/>
      <w:bookmarkStart w:id="482" w:name="_Toc248809558"/>
      <w:bookmarkStart w:id="483" w:name="_Toc248812064"/>
      <w:bookmarkStart w:id="484" w:name="_Toc248814063"/>
      <w:bookmarkStart w:id="485" w:name="_Toc248836639"/>
      <w:bookmarkStart w:id="486" w:name="_Toc248890228"/>
      <w:bookmarkStart w:id="487" w:name="_Toc248891337"/>
      <w:bookmarkStart w:id="488" w:name="_Toc248912145"/>
      <w:bookmarkStart w:id="489" w:name="_Toc248912243"/>
      <w:bookmarkStart w:id="490" w:name="_Toc248915917"/>
      <w:bookmarkStart w:id="491" w:name="_Toc248916515"/>
      <w:bookmarkStart w:id="492" w:name="_Toc248917755"/>
      <w:bookmarkStart w:id="493" w:name="_Toc249149549"/>
      <w:bookmarkStart w:id="494" w:name="_Toc249152078"/>
      <w:bookmarkStart w:id="495" w:name="_Toc249167500"/>
      <w:bookmarkStart w:id="496" w:name="_Toc249168286"/>
      <w:bookmarkStart w:id="497" w:name="_Toc249168737"/>
      <w:bookmarkStart w:id="498" w:name="_Toc249177182"/>
      <w:bookmarkStart w:id="499" w:name="_Toc249177544"/>
      <w:bookmarkStart w:id="500" w:name="_Toc252891057"/>
      <w:bookmarkStart w:id="501" w:name="_Toc252982291"/>
      <w:bookmarkStart w:id="502" w:name="_Toc253046822"/>
      <w:bookmarkStart w:id="503" w:name="_Toc253069152"/>
      <w:bookmarkStart w:id="504" w:name="_Toc253150644"/>
      <w:bookmarkStart w:id="505" w:name="_Toc253387179"/>
      <w:bookmarkStart w:id="506" w:name="_Toc253387255"/>
      <w:bookmarkStart w:id="507" w:name="_Toc253414466"/>
      <w:bookmarkStart w:id="508" w:name="_Toc253504672"/>
      <w:bookmarkStart w:id="509" w:name="_Toc253588195"/>
      <w:bookmarkStart w:id="510" w:name="_Toc253659507"/>
      <w:bookmarkStart w:id="511" w:name="_Toc253672643"/>
      <w:bookmarkStart w:id="512" w:name="_Toc253748320"/>
      <w:bookmarkStart w:id="513" w:name="_Toc253749411"/>
      <w:bookmarkStart w:id="514" w:name="_Toc253749543"/>
      <w:bookmarkStart w:id="515" w:name="_Toc253750146"/>
      <w:bookmarkStart w:id="516" w:name="_Toc254105817"/>
      <w:bookmarkStart w:id="517" w:name="_Toc254188622"/>
      <w:bookmarkStart w:id="518" w:name="_Toc254190623"/>
      <w:bookmarkStart w:id="519" w:name="_Toc254271538"/>
      <w:bookmarkStart w:id="520" w:name="_Toc254343704"/>
      <w:bookmarkStart w:id="521" w:name="_Toc254347640"/>
      <w:bookmarkStart w:id="522" w:name="_Toc254358453"/>
      <w:bookmarkStart w:id="523" w:name="_Toc254359200"/>
      <w:bookmarkStart w:id="524" w:name="_Toc254359383"/>
      <w:bookmarkStart w:id="525" w:name="_Toc254596264"/>
      <w:bookmarkStart w:id="526" w:name="_Toc254596674"/>
      <w:bookmarkStart w:id="527" w:name="_Toc254600722"/>
      <w:bookmarkStart w:id="528" w:name="_Toc254601173"/>
      <w:bookmarkStart w:id="529" w:name="_Toc254601246"/>
      <w:bookmarkStart w:id="530" w:name="_Toc254601793"/>
      <w:bookmarkStart w:id="531" w:name="_Toc254602318"/>
      <w:bookmarkStart w:id="532" w:name="_Toc254684189"/>
      <w:bookmarkStart w:id="533" w:name="_Toc254684261"/>
      <w:bookmarkStart w:id="534" w:name="_Toc254686560"/>
      <w:bookmarkStart w:id="535" w:name="_Toc254703735"/>
      <w:bookmarkStart w:id="536" w:name="_Toc254705054"/>
      <w:bookmarkStart w:id="537" w:name="_Toc254708255"/>
      <w:bookmarkStart w:id="538" w:name="_Toc254772887"/>
      <w:bookmarkStart w:id="539" w:name="_Toc254795996"/>
      <w:bookmarkStart w:id="540" w:name="_Toc254855419"/>
      <w:bookmarkStart w:id="541" w:name="_Toc254877507"/>
      <w:bookmarkStart w:id="542" w:name="_Toc254881218"/>
      <w:bookmarkStart w:id="543" w:name="_Toc254938496"/>
      <w:bookmarkStart w:id="544" w:name="_Toc254939258"/>
      <w:bookmarkStart w:id="545" w:name="_Toc254944123"/>
      <w:bookmarkStart w:id="546" w:name="_Toc254944195"/>
      <w:bookmarkStart w:id="547" w:name="_Toc254952359"/>
      <w:bookmarkStart w:id="548" w:name="_Toc254956726"/>
      <w:bookmarkStart w:id="549" w:name="_Toc254959130"/>
      <w:bookmarkStart w:id="550" w:name="_Toc254959325"/>
      <w:bookmarkStart w:id="551" w:name="_Toc256000639"/>
      <w:bookmarkStart w:id="552" w:name="_Toc256073243"/>
      <w:bookmarkStart w:id="553" w:name="_Toc256092743"/>
      <w:bookmarkStart w:id="554" w:name="_Toc256150251"/>
      <w:bookmarkStart w:id="555" w:name="_Toc256171786"/>
      <w:bookmarkStart w:id="556" w:name="_Toc256172096"/>
      <w:bookmarkStart w:id="557" w:name="_Toc256172455"/>
      <w:bookmarkStart w:id="558" w:name="_Toc256172731"/>
      <w:bookmarkStart w:id="559" w:name="_Toc256413977"/>
      <w:bookmarkStart w:id="560" w:name="_Toc256414334"/>
      <w:bookmarkStart w:id="561" w:name="_Toc256414688"/>
      <w:bookmarkStart w:id="562" w:name="_Toc256414760"/>
      <w:bookmarkStart w:id="563" w:name="_Toc256414914"/>
      <w:bookmarkStart w:id="564" w:name="_Toc256415133"/>
      <w:bookmarkStart w:id="565" w:name="_Toc256415302"/>
      <w:bookmarkStart w:id="566" w:name="_Toc256415580"/>
      <w:bookmarkStart w:id="567" w:name="_Toc256415672"/>
      <w:bookmarkStart w:id="568" w:name="_Toc256419001"/>
      <w:bookmarkStart w:id="569" w:name="_Toc256419575"/>
      <w:bookmarkStart w:id="570" w:name="_Toc256419660"/>
      <w:bookmarkStart w:id="571" w:name="_Toc256419732"/>
      <w:bookmarkStart w:id="572" w:name="_Toc257363402"/>
      <w:bookmarkStart w:id="573" w:name="_Toc257363486"/>
      <w:bookmarkStart w:id="574" w:name="_Toc257366570"/>
      <w:r>
        <w:rPr>
          <w:rStyle w:val="CharDivNo"/>
        </w:rPr>
        <w:t>Division 1</w:t>
      </w:r>
      <w:r>
        <w:t> — </w:t>
      </w:r>
      <w:r>
        <w:rPr>
          <w:rStyle w:val="CharDivText"/>
        </w:rPr>
        <w:t>PIA pipelines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256419733"/>
      <w:bookmarkStart w:id="576" w:name="_Toc257363403"/>
      <w:bookmarkStart w:id="577" w:name="_Toc257366571"/>
      <w:r>
        <w:rPr>
          <w:rStyle w:val="CharSectno"/>
        </w:rPr>
        <w:t>8</w:t>
      </w:r>
      <w:r>
        <w:t>.</w:t>
      </w:r>
      <w:r>
        <w:tab/>
        <w:t>Application for making, amending or revoking a declaration</w:t>
      </w:r>
      <w:bookmarkEnd w:id="575"/>
      <w:bookmarkEnd w:id="576"/>
      <w:bookmarkEnd w:id="577"/>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578" w:name="_Toc256419734"/>
      <w:bookmarkStart w:id="579" w:name="_Toc257363404"/>
      <w:bookmarkStart w:id="580" w:name="_Toc257366572"/>
      <w:r>
        <w:rPr>
          <w:rStyle w:val="CharSectno"/>
        </w:rPr>
        <w:t>9</w:t>
      </w:r>
      <w:r>
        <w:t>.</w:t>
      </w:r>
      <w:r>
        <w:tab/>
        <w:t>Criteria for making a declaration</w:t>
      </w:r>
      <w:bookmarkEnd w:id="578"/>
      <w:bookmarkEnd w:id="579"/>
      <w:bookmarkEnd w:id="580"/>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581" w:name="_Toc256419735"/>
      <w:bookmarkStart w:id="582" w:name="_Toc257363405"/>
      <w:bookmarkStart w:id="583" w:name="_Toc257366573"/>
      <w:r>
        <w:rPr>
          <w:rStyle w:val="CharSectno"/>
        </w:rPr>
        <w:t>10</w:t>
      </w:r>
      <w:r>
        <w:t>.</w:t>
      </w:r>
      <w:r>
        <w:tab/>
        <w:t>Criteria for revoking a declaration</w:t>
      </w:r>
      <w:bookmarkEnd w:id="581"/>
      <w:bookmarkEnd w:id="582"/>
      <w:bookmarkEnd w:id="583"/>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584" w:name="_Toc256419736"/>
      <w:bookmarkStart w:id="585" w:name="_Toc257363406"/>
      <w:bookmarkStart w:id="586" w:name="_Toc257366574"/>
      <w:r>
        <w:rPr>
          <w:rStyle w:val="CharSectno"/>
        </w:rPr>
        <w:t>11</w:t>
      </w:r>
      <w:r>
        <w:t>.</w:t>
      </w:r>
      <w:r>
        <w:tab/>
        <w:t>Criteria for amending a declaration</w:t>
      </w:r>
      <w:bookmarkEnd w:id="584"/>
      <w:bookmarkEnd w:id="585"/>
      <w:bookmarkEnd w:id="586"/>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587" w:name="_Toc256419737"/>
      <w:bookmarkStart w:id="588" w:name="_Toc257363407"/>
      <w:bookmarkStart w:id="589" w:name="_Toc257366575"/>
      <w:r>
        <w:rPr>
          <w:rStyle w:val="CharSectno"/>
        </w:rPr>
        <w:t>12</w:t>
      </w:r>
      <w:r>
        <w:t>.</w:t>
      </w:r>
      <w:r>
        <w:tab/>
        <w:t>Procedure for making, amending or revoking a declaration</w:t>
      </w:r>
      <w:bookmarkEnd w:id="587"/>
      <w:bookmarkEnd w:id="588"/>
      <w:bookmarkEnd w:id="589"/>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590" w:name="_Toc256419738"/>
      <w:bookmarkStart w:id="591" w:name="_Toc257363408"/>
      <w:bookmarkStart w:id="592" w:name="_Toc257366576"/>
      <w:r>
        <w:rPr>
          <w:rStyle w:val="CharSectno"/>
        </w:rPr>
        <w:t>13</w:t>
      </w:r>
      <w:r>
        <w:t>.</w:t>
      </w:r>
      <w:r>
        <w:tab/>
        <w:t>Content of certain decisions, and to whom copies must be given</w:t>
      </w:r>
      <w:bookmarkEnd w:id="590"/>
      <w:bookmarkEnd w:id="591"/>
      <w:bookmarkEnd w:id="592"/>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30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45 days of making the decision — ensure that the decision is published on the website of the Department.</w:t>
      </w:r>
    </w:p>
    <w:p>
      <w:pPr>
        <w:pStyle w:val="Subsection"/>
      </w:pPr>
      <w:r>
        <w:tab/>
        <w:t>(3)</w:t>
      </w:r>
      <w:r>
        <w:tab/>
        <w:t xml:space="preserve">The operator of the pipeline must, within 30 days of receiving a copy of the decision, give a copy of it to — </w:t>
      </w:r>
    </w:p>
    <w:p>
      <w:pPr>
        <w:pStyle w:val="Indenta"/>
      </w:pPr>
      <w:r>
        <w:tab/>
        <w:t>(a)</w:t>
      </w:r>
      <w:r>
        <w:tab/>
        <w:t>each user of the pipeline; and</w:t>
      </w:r>
    </w:p>
    <w:p>
      <w:pPr>
        <w:pStyle w:val="Indenta"/>
      </w:pPr>
      <w:r>
        <w:tab/>
        <w:t>(b)</w:t>
      </w:r>
      <w:r>
        <w:tab/>
        <w:t>the operator of each gas transmission pipeline and each gas distribution system that is connected to the pipeline; and</w:t>
      </w:r>
    </w:p>
    <w:p>
      <w:pPr>
        <w:pStyle w:val="Indenta"/>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Heading5"/>
      </w:pPr>
      <w:bookmarkStart w:id="593" w:name="_Toc256419739"/>
      <w:bookmarkStart w:id="594" w:name="_Toc257363409"/>
      <w:bookmarkStart w:id="595" w:name="_Toc257366577"/>
      <w:r>
        <w:rPr>
          <w:rStyle w:val="CharSectno"/>
        </w:rPr>
        <w:t>14</w:t>
      </w:r>
      <w:r>
        <w:t>.</w:t>
      </w:r>
      <w:r>
        <w:tab/>
        <w:t>Publishing description of a PIA pipeline</w:t>
      </w:r>
      <w:bookmarkEnd w:id="593"/>
      <w:bookmarkEnd w:id="594"/>
      <w:bookmarkEnd w:id="595"/>
    </w:p>
    <w:p>
      <w:pPr>
        <w:pStyle w:val="Subsection"/>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pPr>
      <w:bookmarkStart w:id="596" w:name="_Toc256419740"/>
      <w:bookmarkStart w:id="597" w:name="_Toc257363410"/>
      <w:bookmarkStart w:id="598" w:name="_Toc257366578"/>
      <w:r>
        <w:rPr>
          <w:rStyle w:val="CharSectno"/>
        </w:rPr>
        <w:t>15</w:t>
      </w:r>
      <w:r>
        <w:t>.</w:t>
      </w:r>
      <w:r>
        <w:tab/>
        <w:t>Transitional provision for DBNGP and GGP</w:t>
      </w:r>
      <w:bookmarkEnd w:id="596"/>
      <w:bookmarkEnd w:id="597"/>
      <w:bookmarkEnd w:id="598"/>
    </w:p>
    <w:p>
      <w:pPr>
        <w:pStyle w:val="Subsection"/>
      </w:pPr>
      <w:r>
        <w:tab/>
      </w:r>
      <w:r>
        <w:tab/>
        <w:t>Regulations 8, 9 and 12 do not apply to the first declarations under section 5 of the Act that the DBNGP and the GGP are, or that parts of those pipelines are, PIA pipelines.</w:t>
      </w:r>
    </w:p>
    <w:p>
      <w:pPr>
        <w:pStyle w:val="Heading3"/>
      </w:pPr>
      <w:bookmarkStart w:id="599" w:name="_Toc243390281"/>
      <w:bookmarkStart w:id="600" w:name="_Toc243392751"/>
      <w:bookmarkStart w:id="601" w:name="_Toc243468226"/>
      <w:bookmarkStart w:id="602" w:name="_Toc243469454"/>
      <w:bookmarkStart w:id="603" w:name="_Toc243473162"/>
      <w:bookmarkStart w:id="604" w:name="_Toc244340346"/>
      <w:bookmarkStart w:id="605" w:name="_Toc244345860"/>
      <w:bookmarkStart w:id="606" w:name="_Toc244429125"/>
      <w:bookmarkStart w:id="607" w:name="_Toc244514924"/>
      <w:bookmarkStart w:id="608" w:name="_Toc244599514"/>
      <w:bookmarkStart w:id="609" w:name="_Toc244601300"/>
      <w:bookmarkStart w:id="610" w:name="_Toc244658675"/>
      <w:bookmarkStart w:id="611" w:name="_Toc244663598"/>
      <w:bookmarkStart w:id="612" w:name="_Toc244682973"/>
      <w:bookmarkStart w:id="613" w:name="_Toc244922396"/>
      <w:bookmarkStart w:id="614" w:name="_Toc244944141"/>
      <w:bookmarkStart w:id="615" w:name="_Toc244944564"/>
      <w:bookmarkStart w:id="616" w:name="_Toc245287578"/>
      <w:bookmarkStart w:id="617" w:name="_Toc245288076"/>
      <w:bookmarkStart w:id="618" w:name="_Toc245532322"/>
      <w:bookmarkStart w:id="619" w:name="_Toc245551476"/>
      <w:bookmarkStart w:id="620" w:name="_Toc245551623"/>
      <w:bookmarkStart w:id="621" w:name="_Toc245609284"/>
      <w:bookmarkStart w:id="622" w:name="_Toc245636210"/>
      <w:bookmarkStart w:id="623" w:name="_Toc245720447"/>
      <w:bookmarkStart w:id="624" w:name="_Toc245727940"/>
      <w:bookmarkStart w:id="625" w:name="_Toc245790167"/>
      <w:bookmarkStart w:id="626" w:name="_Toc245806691"/>
      <w:bookmarkStart w:id="627" w:name="_Toc245811658"/>
      <w:bookmarkStart w:id="628" w:name="_Toc245892812"/>
      <w:bookmarkStart w:id="629" w:name="_Toc246153427"/>
      <w:bookmarkStart w:id="630" w:name="_Toc246157548"/>
      <w:bookmarkStart w:id="631" w:name="_Toc246239952"/>
      <w:bookmarkStart w:id="632" w:name="_Toc246241619"/>
      <w:bookmarkStart w:id="633" w:name="_Toc246243679"/>
      <w:bookmarkStart w:id="634" w:name="_Toc246302461"/>
      <w:bookmarkStart w:id="635" w:name="_Toc246329677"/>
      <w:bookmarkStart w:id="636" w:name="_Toc246384893"/>
      <w:bookmarkStart w:id="637" w:name="_Toc246409665"/>
      <w:bookmarkStart w:id="638" w:name="_Toc246410759"/>
      <w:bookmarkStart w:id="639" w:name="_Toc246411378"/>
      <w:bookmarkStart w:id="640" w:name="_Toc246412397"/>
      <w:bookmarkStart w:id="641" w:name="_Toc246470774"/>
      <w:bookmarkStart w:id="642" w:name="_Toc246474705"/>
      <w:bookmarkStart w:id="643" w:name="_Toc246475673"/>
      <w:bookmarkStart w:id="644" w:name="_Toc246476365"/>
      <w:bookmarkStart w:id="645" w:name="_Toc246760289"/>
      <w:bookmarkStart w:id="646" w:name="_Toc246825602"/>
      <w:bookmarkStart w:id="647" w:name="_Toc246829500"/>
      <w:bookmarkStart w:id="648" w:name="_Toc246832921"/>
      <w:bookmarkStart w:id="649" w:name="_Toc246930656"/>
      <w:bookmarkStart w:id="650" w:name="_Toc246934834"/>
      <w:bookmarkStart w:id="651" w:name="_Toc246993989"/>
      <w:bookmarkStart w:id="652" w:name="_Toc247020610"/>
      <w:bookmarkStart w:id="653" w:name="_Toc247099545"/>
      <w:bookmarkStart w:id="654" w:name="_Toc247343235"/>
      <w:bookmarkStart w:id="655" w:name="_Toc247345382"/>
      <w:bookmarkStart w:id="656" w:name="_Toc247366034"/>
      <w:bookmarkStart w:id="657" w:name="_Toc247425379"/>
      <w:bookmarkStart w:id="658" w:name="_Toc247427848"/>
      <w:bookmarkStart w:id="659" w:name="_Toc247452149"/>
      <w:bookmarkStart w:id="660" w:name="_Toc247538306"/>
      <w:bookmarkStart w:id="661" w:name="_Toc247606440"/>
      <w:bookmarkStart w:id="662" w:name="_Toc247606711"/>
      <w:bookmarkStart w:id="663" w:name="_Toc247624424"/>
      <w:bookmarkStart w:id="664" w:name="_Toc247705600"/>
      <w:bookmarkStart w:id="665" w:name="_Toc247971319"/>
      <w:bookmarkStart w:id="666" w:name="_Toc248029059"/>
      <w:bookmarkStart w:id="667" w:name="_Toc248057758"/>
      <w:bookmarkStart w:id="668" w:name="_Toc248144579"/>
      <w:bookmarkStart w:id="669" w:name="_Toc248202906"/>
      <w:bookmarkStart w:id="670" w:name="_Toc248208214"/>
      <w:bookmarkStart w:id="671" w:name="_Toc248209203"/>
      <w:bookmarkStart w:id="672" w:name="_Toc248209273"/>
      <w:bookmarkStart w:id="673" w:name="_Toc248217290"/>
      <w:bookmarkStart w:id="674" w:name="_Toc248558734"/>
      <w:bookmarkStart w:id="675" w:name="_Toc248576394"/>
      <w:bookmarkStart w:id="676" w:name="_Toc248656224"/>
      <w:bookmarkStart w:id="677" w:name="_Toc248657094"/>
      <w:bookmarkStart w:id="678" w:name="_Toc248661890"/>
      <w:bookmarkStart w:id="679" w:name="_Toc248720668"/>
      <w:bookmarkStart w:id="680" w:name="_Toc248743605"/>
      <w:bookmarkStart w:id="681" w:name="_Toc248753326"/>
      <w:bookmarkStart w:id="682" w:name="_Toc248801972"/>
      <w:bookmarkStart w:id="683" w:name="_Toc248807916"/>
      <w:bookmarkStart w:id="684" w:name="_Toc248808760"/>
      <w:bookmarkStart w:id="685" w:name="_Toc248809567"/>
      <w:bookmarkStart w:id="686" w:name="_Toc248812073"/>
      <w:bookmarkStart w:id="687" w:name="_Toc248814072"/>
      <w:bookmarkStart w:id="688" w:name="_Toc248836648"/>
      <w:bookmarkStart w:id="689" w:name="_Toc248890237"/>
      <w:bookmarkStart w:id="690" w:name="_Toc248891346"/>
      <w:bookmarkStart w:id="691" w:name="_Toc248912154"/>
      <w:bookmarkStart w:id="692" w:name="_Toc248912252"/>
      <w:bookmarkStart w:id="693" w:name="_Toc248915926"/>
      <w:bookmarkStart w:id="694" w:name="_Toc248916524"/>
      <w:bookmarkStart w:id="695" w:name="_Toc248917764"/>
      <w:bookmarkStart w:id="696" w:name="_Toc249149558"/>
      <w:bookmarkStart w:id="697" w:name="_Toc249152087"/>
      <w:bookmarkStart w:id="698" w:name="_Toc249167509"/>
      <w:bookmarkStart w:id="699" w:name="_Toc249168295"/>
      <w:bookmarkStart w:id="700" w:name="_Toc249168746"/>
      <w:bookmarkStart w:id="701" w:name="_Toc249177191"/>
      <w:bookmarkStart w:id="702" w:name="_Toc249177553"/>
      <w:bookmarkStart w:id="703" w:name="_Toc252891066"/>
      <w:bookmarkStart w:id="704" w:name="_Toc252982300"/>
      <w:bookmarkStart w:id="705" w:name="_Toc253046831"/>
      <w:bookmarkStart w:id="706" w:name="_Toc253069161"/>
      <w:bookmarkStart w:id="707" w:name="_Toc253150653"/>
      <w:bookmarkStart w:id="708" w:name="_Toc253387188"/>
      <w:bookmarkStart w:id="709" w:name="_Toc253387264"/>
      <w:bookmarkStart w:id="710" w:name="_Toc253414475"/>
      <w:bookmarkStart w:id="711" w:name="_Toc253504681"/>
      <w:bookmarkStart w:id="712" w:name="_Toc253588204"/>
      <w:bookmarkStart w:id="713" w:name="_Toc253659516"/>
      <w:bookmarkStart w:id="714" w:name="_Toc253672652"/>
      <w:bookmarkStart w:id="715" w:name="_Toc253748329"/>
      <w:bookmarkStart w:id="716" w:name="_Toc253749420"/>
      <w:bookmarkStart w:id="717" w:name="_Toc253749552"/>
      <w:bookmarkStart w:id="718" w:name="_Toc253750155"/>
      <w:bookmarkStart w:id="719" w:name="_Toc254105826"/>
      <w:bookmarkStart w:id="720" w:name="_Toc254188631"/>
      <w:bookmarkStart w:id="721" w:name="_Toc254190632"/>
      <w:bookmarkStart w:id="722" w:name="_Toc254271547"/>
      <w:bookmarkStart w:id="723" w:name="_Toc254343713"/>
      <w:bookmarkStart w:id="724" w:name="_Toc254347649"/>
      <w:bookmarkStart w:id="725" w:name="_Toc254358462"/>
      <w:bookmarkStart w:id="726" w:name="_Toc254359209"/>
      <w:bookmarkStart w:id="727" w:name="_Toc254359392"/>
      <w:bookmarkStart w:id="728" w:name="_Toc254596273"/>
      <w:bookmarkStart w:id="729" w:name="_Toc254596683"/>
      <w:bookmarkStart w:id="730" w:name="_Toc254600731"/>
      <w:bookmarkStart w:id="731" w:name="_Toc254601182"/>
      <w:bookmarkStart w:id="732" w:name="_Toc254601255"/>
      <w:bookmarkStart w:id="733" w:name="_Toc254601802"/>
      <w:bookmarkStart w:id="734" w:name="_Toc254602327"/>
      <w:bookmarkStart w:id="735" w:name="_Toc254684198"/>
      <w:bookmarkStart w:id="736" w:name="_Toc254684270"/>
      <w:bookmarkStart w:id="737" w:name="_Toc254686569"/>
      <w:bookmarkStart w:id="738" w:name="_Toc254703744"/>
      <w:bookmarkStart w:id="739" w:name="_Toc254705063"/>
      <w:bookmarkStart w:id="740" w:name="_Toc254708264"/>
      <w:bookmarkStart w:id="741" w:name="_Toc254772896"/>
      <w:bookmarkStart w:id="742" w:name="_Toc254796005"/>
      <w:bookmarkStart w:id="743" w:name="_Toc254855428"/>
      <w:bookmarkStart w:id="744" w:name="_Toc254877516"/>
      <w:bookmarkStart w:id="745" w:name="_Toc254881227"/>
      <w:bookmarkStart w:id="746" w:name="_Toc254938505"/>
      <w:bookmarkStart w:id="747" w:name="_Toc254939267"/>
      <w:bookmarkStart w:id="748" w:name="_Toc254944132"/>
      <w:bookmarkStart w:id="749" w:name="_Toc254944204"/>
      <w:bookmarkStart w:id="750" w:name="_Toc254952368"/>
      <w:bookmarkStart w:id="751" w:name="_Toc254956735"/>
      <w:bookmarkStart w:id="752" w:name="_Toc254959139"/>
      <w:bookmarkStart w:id="753" w:name="_Toc254959334"/>
      <w:bookmarkStart w:id="754" w:name="_Toc256000648"/>
      <w:bookmarkStart w:id="755" w:name="_Toc256073252"/>
      <w:bookmarkStart w:id="756" w:name="_Toc256092752"/>
      <w:bookmarkStart w:id="757" w:name="_Toc256150260"/>
      <w:bookmarkStart w:id="758" w:name="_Toc256171795"/>
      <w:bookmarkStart w:id="759" w:name="_Toc256172105"/>
      <w:bookmarkStart w:id="760" w:name="_Toc256172464"/>
      <w:bookmarkStart w:id="761" w:name="_Toc256172740"/>
      <w:bookmarkStart w:id="762" w:name="_Toc256413986"/>
      <w:bookmarkStart w:id="763" w:name="_Toc256414343"/>
      <w:bookmarkStart w:id="764" w:name="_Toc256414697"/>
      <w:bookmarkStart w:id="765" w:name="_Toc256414769"/>
      <w:bookmarkStart w:id="766" w:name="_Toc256414923"/>
      <w:bookmarkStart w:id="767" w:name="_Toc256415142"/>
      <w:bookmarkStart w:id="768" w:name="_Toc256415311"/>
      <w:bookmarkStart w:id="769" w:name="_Toc256415589"/>
      <w:bookmarkStart w:id="770" w:name="_Toc256415681"/>
      <w:bookmarkStart w:id="771" w:name="_Toc256419010"/>
      <w:bookmarkStart w:id="772" w:name="_Toc256419584"/>
      <w:bookmarkStart w:id="773" w:name="_Toc256419669"/>
      <w:bookmarkStart w:id="774" w:name="_Toc256419741"/>
      <w:bookmarkStart w:id="775" w:name="_Toc257363411"/>
      <w:bookmarkStart w:id="776" w:name="_Toc257363495"/>
      <w:bookmarkStart w:id="777" w:name="_Toc257366579"/>
      <w:r>
        <w:rPr>
          <w:rStyle w:val="CharDivNo"/>
        </w:rPr>
        <w:t>Division 2</w:t>
      </w:r>
      <w:r>
        <w:t> — </w:t>
      </w:r>
      <w:r>
        <w:rPr>
          <w:rStyle w:val="CharDivText"/>
        </w:rPr>
        <w:t>Content of pipeline impact agreements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256419742"/>
      <w:bookmarkStart w:id="779" w:name="_Toc257363412"/>
      <w:bookmarkStart w:id="780" w:name="_Toc257366580"/>
      <w:r>
        <w:rPr>
          <w:rStyle w:val="CharSectno"/>
        </w:rPr>
        <w:t>16</w:t>
      </w:r>
      <w:r>
        <w:t>.</w:t>
      </w:r>
      <w:r>
        <w:tab/>
        <w:t>Additional minimum requirements for a pipeline impact agreement</w:t>
      </w:r>
      <w:bookmarkEnd w:id="778"/>
      <w:bookmarkEnd w:id="779"/>
      <w:bookmarkEnd w:id="780"/>
    </w:p>
    <w:p>
      <w:pPr>
        <w:pStyle w:val="Subsection"/>
      </w:pPr>
      <w:r>
        <w:tab/>
      </w:r>
      <w:r>
        <w:tab/>
        <w:t xml:space="preserve">For the purposes of section 7(1)(g) of the Act, the following matters are prescribed — </w:t>
      </w:r>
    </w:p>
    <w:p>
      <w:pPr>
        <w:pStyle w:val="Indenta"/>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781" w:name="_Toc243390283"/>
      <w:bookmarkStart w:id="782" w:name="_Toc243392753"/>
      <w:bookmarkStart w:id="783" w:name="_Toc243468228"/>
      <w:bookmarkStart w:id="784" w:name="_Toc243469456"/>
      <w:bookmarkStart w:id="785" w:name="_Toc243473164"/>
      <w:bookmarkStart w:id="786" w:name="_Toc244340348"/>
      <w:bookmarkStart w:id="787" w:name="_Toc244345862"/>
      <w:bookmarkStart w:id="788" w:name="_Toc244429127"/>
      <w:bookmarkStart w:id="789" w:name="_Toc244514926"/>
      <w:bookmarkStart w:id="790" w:name="_Toc244599516"/>
      <w:bookmarkStart w:id="791" w:name="_Toc244601302"/>
      <w:bookmarkStart w:id="792" w:name="_Toc244658677"/>
      <w:bookmarkStart w:id="793" w:name="_Toc244663600"/>
      <w:bookmarkStart w:id="794" w:name="_Toc244682975"/>
      <w:bookmarkStart w:id="795" w:name="_Toc244922398"/>
      <w:bookmarkStart w:id="796" w:name="_Toc244944143"/>
      <w:bookmarkStart w:id="797" w:name="_Toc244944566"/>
      <w:bookmarkStart w:id="798" w:name="_Toc245287580"/>
      <w:bookmarkStart w:id="799" w:name="_Toc245288078"/>
      <w:bookmarkStart w:id="800" w:name="_Toc245532324"/>
      <w:bookmarkStart w:id="801" w:name="_Toc245551478"/>
      <w:bookmarkStart w:id="802" w:name="_Toc245551625"/>
      <w:bookmarkStart w:id="803" w:name="_Toc245609286"/>
      <w:bookmarkStart w:id="804" w:name="_Toc245636212"/>
      <w:bookmarkStart w:id="805" w:name="_Toc245720449"/>
      <w:bookmarkStart w:id="806" w:name="_Toc245727942"/>
      <w:bookmarkStart w:id="807" w:name="_Toc245790169"/>
      <w:bookmarkStart w:id="808" w:name="_Toc245806693"/>
      <w:bookmarkStart w:id="809" w:name="_Toc245811660"/>
      <w:bookmarkStart w:id="810" w:name="_Toc245892814"/>
      <w:bookmarkStart w:id="811" w:name="_Toc246153429"/>
      <w:bookmarkStart w:id="812" w:name="_Toc246157550"/>
      <w:bookmarkStart w:id="813" w:name="_Toc246239954"/>
      <w:bookmarkStart w:id="814" w:name="_Toc246241621"/>
      <w:bookmarkStart w:id="815" w:name="_Toc246243681"/>
      <w:bookmarkStart w:id="816" w:name="_Toc246302463"/>
      <w:bookmarkStart w:id="817" w:name="_Toc246329679"/>
      <w:bookmarkStart w:id="818" w:name="_Toc246384895"/>
      <w:bookmarkStart w:id="819" w:name="_Toc246409667"/>
      <w:bookmarkStart w:id="820" w:name="_Toc246410761"/>
      <w:bookmarkStart w:id="821" w:name="_Toc246411380"/>
      <w:bookmarkStart w:id="822" w:name="_Toc246412399"/>
      <w:bookmarkStart w:id="823" w:name="_Toc246470776"/>
      <w:bookmarkStart w:id="824" w:name="_Toc246474707"/>
      <w:bookmarkStart w:id="825" w:name="_Toc246475675"/>
      <w:bookmarkStart w:id="826" w:name="_Toc246476367"/>
      <w:bookmarkStart w:id="827" w:name="_Toc246760291"/>
      <w:bookmarkStart w:id="828" w:name="_Toc246825604"/>
      <w:bookmarkStart w:id="829" w:name="_Toc246829502"/>
      <w:bookmarkStart w:id="830" w:name="_Toc246832923"/>
      <w:bookmarkStart w:id="831" w:name="_Toc246930658"/>
      <w:bookmarkStart w:id="832" w:name="_Toc246934836"/>
      <w:bookmarkStart w:id="833" w:name="_Toc246993991"/>
      <w:bookmarkStart w:id="834" w:name="_Toc247020612"/>
      <w:bookmarkStart w:id="835" w:name="_Toc247099547"/>
      <w:bookmarkStart w:id="836" w:name="_Toc247343237"/>
      <w:bookmarkStart w:id="837" w:name="_Toc247345384"/>
      <w:bookmarkStart w:id="838" w:name="_Toc247366036"/>
      <w:bookmarkStart w:id="839" w:name="_Toc247425381"/>
      <w:bookmarkStart w:id="840" w:name="_Toc247427850"/>
      <w:bookmarkStart w:id="841" w:name="_Toc247452151"/>
      <w:bookmarkStart w:id="842" w:name="_Toc247538308"/>
      <w:bookmarkStart w:id="843" w:name="_Toc247606442"/>
      <w:bookmarkStart w:id="844" w:name="_Toc247606713"/>
      <w:bookmarkStart w:id="845" w:name="_Toc247624426"/>
      <w:bookmarkStart w:id="846" w:name="_Toc247705602"/>
      <w:bookmarkStart w:id="847" w:name="_Toc247971321"/>
      <w:bookmarkStart w:id="848" w:name="_Toc248029061"/>
      <w:bookmarkStart w:id="849" w:name="_Toc248057760"/>
      <w:bookmarkStart w:id="850" w:name="_Toc248144581"/>
      <w:bookmarkStart w:id="851" w:name="_Toc248202908"/>
      <w:bookmarkStart w:id="852" w:name="_Toc248208216"/>
      <w:bookmarkStart w:id="853" w:name="_Toc248209205"/>
      <w:bookmarkStart w:id="854" w:name="_Toc248209275"/>
      <w:bookmarkStart w:id="855" w:name="_Toc248217292"/>
      <w:bookmarkStart w:id="856" w:name="_Toc248558736"/>
      <w:bookmarkStart w:id="857" w:name="_Toc248576396"/>
      <w:bookmarkStart w:id="858" w:name="_Toc248656226"/>
      <w:bookmarkStart w:id="859" w:name="_Toc248657096"/>
      <w:bookmarkStart w:id="860" w:name="_Toc248661892"/>
      <w:bookmarkStart w:id="861" w:name="_Toc248720670"/>
      <w:bookmarkStart w:id="862" w:name="_Toc248743607"/>
      <w:bookmarkStart w:id="863" w:name="_Toc248753328"/>
      <w:bookmarkStart w:id="864" w:name="_Toc248801974"/>
      <w:bookmarkStart w:id="865" w:name="_Toc248807918"/>
      <w:bookmarkStart w:id="866" w:name="_Toc248808762"/>
      <w:bookmarkStart w:id="867" w:name="_Toc248809569"/>
      <w:bookmarkStart w:id="868" w:name="_Toc248812075"/>
      <w:bookmarkStart w:id="869" w:name="_Toc248814074"/>
      <w:bookmarkStart w:id="870" w:name="_Toc248836650"/>
      <w:bookmarkStart w:id="871" w:name="_Toc248890239"/>
      <w:bookmarkStart w:id="872" w:name="_Toc248891348"/>
      <w:bookmarkStart w:id="873" w:name="_Toc248912156"/>
      <w:bookmarkStart w:id="874" w:name="_Toc248912254"/>
      <w:bookmarkStart w:id="875" w:name="_Toc248915928"/>
      <w:bookmarkStart w:id="876" w:name="_Toc248916526"/>
      <w:bookmarkStart w:id="877" w:name="_Toc248917766"/>
      <w:bookmarkStart w:id="878" w:name="_Toc249149560"/>
      <w:bookmarkStart w:id="879" w:name="_Toc249152089"/>
      <w:bookmarkStart w:id="880" w:name="_Toc249167511"/>
      <w:bookmarkStart w:id="881" w:name="_Toc249168297"/>
      <w:bookmarkStart w:id="882" w:name="_Toc249168748"/>
      <w:bookmarkStart w:id="883" w:name="_Toc249177193"/>
      <w:bookmarkStart w:id="884" w:name="_Toc249177555"/>
      <w:bookmarkStart w:id="885" w:name="_Toc252891068"/>
      <w:bookmarkStart w:id="886" w:name="_Toc252982302"/>
      <w:bookmarkStart w:id="887" w:name="_Toc253046833"/>
      <w:bookmarkStart w:id="888" w:name="_Toc253069163"/>
      <w:bookmarkStart w:id="889" w:name="_Toc253150655"/>
      <w:bookmarkStart w:id="890" w:name="_Toc253387190"/>
      <w:bookmarkStart w:id="891" w:name="_Toc253387266"/>
      <w:bookmarkStart w:id="892" w:name="_Toc253414477"/>
      <w:bookmarkStart w:id="893" w:name="_Toc253504683"/>
      <w:bookmarkStart w:id="894" w:name="_Toc253588206"/>
      <w:bookmarkStart w:id="895" w:name="_Toc253659518"/>
      <w:bookmarkStart w:id="896" w:name="_Toc253672654"/>
      <w:bookmarkStart w:id="897" w:name="_Toc253748331"/>
      <w:bookmarkStart w:id="898" w:name="_Toc253749422"/>
      <w:bookmarkStart w:id="899" w:name="_Toc253749554"/>
      <w:bookmarkStart w:id="900" w:name="_Toc253750157"/>
      <w:bookmarkStart w:id="901" w:name="_Toc254105828"/>
      <w:bookmarkStart w:id="902" w:name="_Toc254188633"/>
      <w:bookmarkStart w:id="903" w:name="_Toc254190634"/>
      <w:bookmarkStart w:id="904" w:name="_Toc254271549"/>
      <w:bookmarkStart w:id="905" w:name="_Toc254343715"/>
      <w:bookmarkStart w:id="906" w:name="_Toc254347651"/>
      <w:bookmarkStart w:id="907" w:name="_Toc254358464"/>
      <w:bookmarkStart w:id="908" w:name="_Toc254359211"/>
      <w:bookmarkStart w:id="909" w:name="_Toc254359394"/>
      <w:bookmarkStart w:id="910" w:name="_Toc254596275"/>
      <w:bookmarkStart w:id="911" w:name="_Toc254596685"/>
      <w:bookmarkStart w:id="912" w:name="_Toc254600733"/>
      <w:bookmarkStart w:id="913" w:name="_Toc254601184"/>
      <w:bookmarkStart w:id="914" w:name="_Toc254601257"/>
      <w:bookmarkStart w:id="915" w:name="_Toc254601804"/>
      <w:bookmarkStart w:id="916" w:name="_Toc254602329"/>
      <w:bookmarkStart w:id="917" w:name="_Toc254684200"/>
      <w:bookmarkStart w:id="918" w:name="_Toc254684272"/>
      <w:bookmarkStart w:id="919" w:name="_Toc254686571"/>
      <w:bookmarkStart w:id="920" w:name="_Toc254703746"/>
      <w:bookmarkStart w:id="921" w:name="_Toc254705065"/>
      <w:bookmarkStart w:id="922" w:name="_Toc254708266"/>
      <w:bookmarkStart w:id="923" w:name="_Toc254772898"/>
      <w:bookmarkStart w:id="924" w:name="_Toc254796007"/>
      <w:bookmarkStart w:id="925" w:name="_Toc254855430"/>
      <w:bookmarkStart w:id="926" w:name="_Toc254877518"/>
      <w:bookmarkStart w:id="927" w:name="_Toc254881229"/>
      <w:bookmarkStart w:id="928" w:name="_Toc254938507"/>
      <w:bookmarkStart w:id="929" w:name="_Toc254939269"/>
      <w:bookmarkStart w:id="930" w:name="_Toc254944134"/>
      <w:bookmarkStart w:id="931" w:name="_Toc254944206"/>
      <w:bookmarkStart w:id="932" w:name="_Toc254952370"/>
      <w:bookmarkStart w:id="933" w:name="_Toc254956737"/>
      <w:bookmarkStart w:id="934" w:name="_Toc254959141"/>
      <w:bookmarkStart w:id="935" w:name="_Toc254959336"/>
      <w:bookmarkStart w:id="936" w:name="_Toc256000650"/>
      <w:bookmarkStart w:id="937" w:name="_Toc256073254"/>
      <w:bookmarkStart w:id="938" w:name="_Toc256092754"/>
      <w:bookmarkStart w:id="939" w:name="_Toc256150262"/>
      <w:bookmarkStart w:id="940" w:name="_Toc256171797"/>
      <w:bookmarkStart w:id="941" w:name="_Toc256172107"/>
      <w:bookmarkStart w:id="942" w:name="_Toc256172466"/>
      <w:bookmarkStart w:id="943" w:name="_Toc256172742"/>
      <w:bookmarkStart w:id="944" w:name="_Toc256413988"/>
      <w:bookmarkStart w:id="945" w:name="_Toc256414345"/>
      <w:bookmarkStart w:id="946" w:name="_Toc256414699"/>
      <w:bookmarkStart w:id="947" w:name="_Toc256414771"/>
      <w:bookmarkStart w:id="948" w:name="_Toc256414925"/>
      <w:bookmarkStart w:id="949" w:name="_Toc256415144"/>
      <w:bookmarkStart w:id="950" w:name="_Toc256415313"/>
      <w:bookmarkStart w:id="951" w:name="_Toc256415591"/>
      <w:bookmarkStart w:id="952" w:name="_Toc256415683"/>
      <w:bookmarkStart w:id="953" w:name="_Toc256419012"/>
      <w:bookmarkStart w:id="954" w:name="_Toc256419586"/>
      <w:bookmarkStart w:id="955" w:name="_Toc256419671"/>
      <w:bookmarkStart w:id="956" w:name="_Toc256419743"/>
      <w:bookmarkStart w:id="957" w:name="_Toc257363413"/>
      <w:bookmarkStart w:id="958" w:name="_Toc257363497"/>
      <w:bookmarkStart w:id="959" w:name="_Toc257366581"/>
      <w:r>
        <w:rPr>
          <w:rStyle w:val="CharDivNo"/>
        </w:rPr>
        <w:t>Division 3</w:t>
      </w:r>
      <w:r>
        <w:t> — </w:t>
      </w:r>
      <w:r>
        <w:rPr>
          <w:rStyle w:val="CharDivText"/>
        </w:rPr>
        <w:t>Relevant effects on a PIA pipeline</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256419744"/>
      <w:bookmarkStart w:id="961" w:name="_Toc257363414"/>
      <w:bookmarkStart w:id="962" w:name="_Toc257366582"/>
      <w:r>
        <w:rPr>
          <w:rStyle w:val="CharSectno"/>
        </w:rPr>
        <w:t>17</w:t>
      </w:r>
      <w:r>
        <w:t>.</w:t>
      </w:r>
      <w:r>
        <w:tab/>
        <w:t>Working out the relevant effect on a pipeline’s capacity</w:t>
      </w:r>
      <w:bookmarkEnd w:id="960"/>
      <w:bookmarkEnd w:id="961"/>
      <w:bookmarkEnd w:id="962"/>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963" w:name="_Toc256419745"/>
      <w:bookmarkStart w:id="964" w:name="_Toc257363415"/>
      <w:bookmarkStart w:id="965" w:name="_Toc257366583"/>
      <w:r>
        <w:rPr>
          <w:rStyle w:val="CharSectno"/>
        </w:rPr>
        <w:t>18</w:t>
      </w:r>
      <w:r>
        <w:t>.</w:t>
      </w:r>
      <w:r>
        <w:tab/>
        <w:t>Working out the relevant effect on a pipeline’s operations and maintenance</w:t>
      </w:r>
      <w:bookmarkEnd w:id="963"/>
      <w:bookmarkEnd w:id="964"/>
      <w:bookmarkEnd w:id="965"/>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966" w:name="_Toc243390286"/>
      <w:bookmarkStart w:id="967" w:name="_Toc243392756"/>
      <w:bookmarkStart w:id="968" w:name="_Toc243468231"/>
      <w:bookmarkStart w:id="969" w:name="_Toc243469459"/>
      <w:bookmarkStart w:id="970" w:name="_Toc243473167"/>
      <w:bookmarkStart w:id="971" w:name="_Toc244340351"/>
      <w:bookmarkStart w:id="972" w:name="_Toc244345865"/>
      <w:bookmarkStart w:id="973" w:name="_Toc244429130"/>
      <w:bookmarkStart w:id="974" w:name="_Toc244514929"/>
      <w:bookmarkStart w:id="975" w:name="_Toc244599519"/>
      <w:bookmarkStart w:id="976" w:name="_Toc244601305"/>
      <w:bookmarkStart w:id="977" w:name="_Toc244658680"/>
      <w:bookmarkStart w:id="978" w:name="_Toc244663603"/>
      <w:bookmarkStart w:id="979" w:name="_Toc244682977"/>
      <w:bookmarkStart w:id="980" w:name="_Toc244922400"/>
      <w:bookmarkStart w:id="981" w:name="_Toc244944145"/>
      <w:bookmarkStart w:id="982" w:name="_Toc244944568"/>
      <w:bookmarkStart w:id="983" w:name="_Toc245287582"/>
      <w:bookmarkStart w:id="984" w:name="_Toc245288080"/>
      <w:bookmarkStart w:id="985" w:name="_Toc245532326"/>
      <w:bookmarkStart w:id="986" w:name="_Toc245551480"/>
      <w:bookmarkStart w:id="987" w:name="_Toc245551627"/>
      <w:bookmarkStart w:id="988" w:name="_Toc245609288"/>
      <w:bookmarkStart w:id="989" w:name="_Toc245636214"/>
      <w:bookmarkStart w:id="990" w:name="_Toc245720451"/>
      <w:bookmarkStart w:id="991" w:name="_Toc245727944"/>
      <w:bookmarkStart w:id="992" w:name="_Toc245790171"/>
      <w:bookmarkStart w:id="993" w:name="_Toc245806696"/>
      <w:bookmarkStart w:id="994" w:name="_Toc245811663"/>
      <w:bookmarkStart w:id="995" w:name="_Toc245892817"/>
      <w:bookmarkStart w:id="996" w:name="_Toc246153432"/>
      <w:bookmarkStart w:id="997" w:name="_Toc246157553"/>
      <w:bookmarkStart w:id="998" w:name="_Toc246239957"/>
      <w:bookmarkStart w:id="999" w:name="_Toc246241624"/>
      <w:bookmarkStart w:id="1000" w:name="_Toc246243684"/>
      <w:bookmarkStart w:id="1001" w:name="_Toc246302466"/>
      <w:bookmarkStart w:id="1002" w:name="_Toc246329682"/>
      <w:bookmarkStart w:id="1003" w:name="_Toc246384898"/>
      <w:bookmarkStart w:id="1004" w:name="_Toc246409670"/>
      <w:bookmarkStart w:id="1005" w:name="_Toc246410764"/>
      <w:bookmarkStart w:id="1006" w:name="_Toc246411383"/>
      <w:bookmarkStart w:id="1007" w:name="_Toc246412402"/>
      <w:bookmarkStart w:id="1008" w:name="_Toc246470779"/>
      <w:bookmarkStart w:id="1009" w:name="_Toc246474710"/>
      <w:bookmarkStart w:id="1010" w:name="_Toc246475678"/>
      <w:bookmarkStart w:id="1011" w:name="_Toc246476370"/>
      <w:bookmarkStart w:id="1012" w:name="_Toc246760294"/>
      <w:bookmarkStart w:id="1013" w:name="_Toc246825607"/>
      <w:bookmarkStart w:id="1014" w:name="_Toc246829505"/>
      <w:bookmarkStart w:id="1015" w:name="_Toc246832926"/>
      <w:bookmarkStart w:id="1016" w:name="_Toc246930661"/>
      <w:bookmarkStart w:id="1017" w:name="_Toc246934839"/>
      <w:bookmarkStart w:id="1018" w:name="_Toc246993994"/>
      <w:bookmarkStart w:id="1019" w:name="_Toc247020615"/>
      <w:bookmarkStart w:id="1020" w:name="_Toc247099550"/>
      <w:bookmarkStart w:id="1021" w:name="_Toc247343240"/>
      <w:bookmarkStart w:id="1022" w:name="_Toc247345387"/>
      <w:bookmarkStart w:id="1023" w:name="_Toc247366039"/>
      <w:bookmarkStart w:id="1024" w:name="_Toc247425384"/>
      <w:bookmarkStart w:id="1025" w:name="_Toc247427853"/>
      <w:bookmarkStart w:id="1026" w:name="_Toc247452154"/>
      <w:bookmarkStart w:id="1027" w:name="_Toc247538311"/>
      <w:bookmarkStart w:id="1028" w:name="_Toc247606445"/>
      <w:bookmarkStart w:id="1029" w:name="_Toc247606716"/>
      <w:bookmarkStart w:id="1030" w:name="_Toc247624429"/>
      <w:bookmarkStart w:id="1031" w:name="_Toc247705605"/>
      <w:bookmarkStart w:id="1032" w:name="_Toc247971324"/>
      <w:bookmarkStart w:id="1033" w:name="_Toc248029064"/>
      <w:bookmarkStart w:id="1034" w:name="_Toc248057763"/>
      <w:bookmarkStart w:id="1035" w:name="_Toc248144584"/>
      <w:bookmarkStart w:id="1036" w:name="_Toc248202911"/>
      <w:bookmarkStart w:id="1037" w:name="_Toc248208219"/>
      <w:bookmarkStart w:id="1038" w:name="_Toc248209208"/>
      <w:bookmarkStart w:id="1039" w:name="_Toc248209278"/>
      <w:bookmarkStart w:id="1040" w:name="_Toc248217295"/>
      <w:bookmarkStart w:id="1041" w:name="_Toc248558739"/>
      <w:bookmarkStart w:id="1042" w:name="_Toc248576399"/>
      <w:bookmarkStart w:id="1043" w:name="_Toc248656229"/>
      <w:bookmarkStart w:id="1044" w:name="_Toc248657099"/>
      <w:bookmarkStart w:id="1045" w:name="_Toc248661895"/>
      <w:bookmarkStart w:id="1046" w:name="_Toc248720673"/>
      <w:bookmarkStart w:id="1047" w:name="_Toc248743610"/>
      <w:bookmarkStart w:id="1048" w:name="_Toc248753331"/>
      <w:bookmarkStart w:id="1049" w:name="_Toc248801977"/>
      <w:bookmarkStart w:id="1050" w:name="_Toc248807921"/>
      <w:bookmarkStart w:id="1051" w:name="_Toc248808765"/>
      <w:bookmarkStart w:id="1052" w:name="_Toc248809572"/>
      <w:bookmarkStart w:id="1053" w:name="_Toc248812078"/>
      <w:bookmarkStart w:id="1054" w:name="_Toc248814077"/>
      <w:bookmarkStart w:id="1055" w:name="_Toc248836653"/>
      <w:bookmarkStart w:id="1056" w:name="_Toc248890242"/>
      <w:bookmarkStart w:id="1057" w:name="_Toc248891351"/>
      <w:bookmarkStart w:id="1058" w:name="_Toc248912159"/>
      <w:bookmarkStart w:id="1059" w:name="_Toc248912257"/>
      <w:bookmarkStart w:id="1060" w:name="_Toc248915931"/>
      <w:bookmarkStart w:id="1061" w:name="_Toc248916529"/>
      <w:bookmarkStart w:id="1062" w:name="_Toc248917769"/>
      <w:bookmarkStart w:id="1063" w:name="_Toc249149563"/>
      <w:bookmarkStart w:id="1064" w:name="_Toc249152092"/>
      <w:bookmarkStart w:id="1065" w:name="_Toc249167514"/>
      <w:bookmarkStart w:id="1066" w:name="_Toc249168300"/>
      <w:bookmarkStart w:id="1067" w:name="_Toc249168751"/>
      <w:bookmarkStart w:id="1068" w:name="_Toc249177196"/>
      <w:bookmarkStart w:id="1069" w:name="_Toc249177558"/>
      <w:bookmarkStart w:id="1070" w:name="_Toc252891071"/>
      <w:bookmarkStart w:id="1071" w:name="_Toc252982305"/>
      <w:bookmarkStart w:id="1072" w:name="_Toc253046836"/>
      <w:bookmarkStart w:id="1073" w:name="_Toc253069166"/>
      <w:bookmarkStart w:id="1074" w:name="_Toc253150658"/>
      <w:bookmarkStart w:id="1075" w:name="_Toc253387193"/>
      <w:bookmarkStart w:id="1076" w:name="_Toc253387269"/>
      <w:bookmarkStart w:id="1077" w:name="_Toc253414480"/>
      <w:bookmarkStart w:id="1078" w:name="_Toc253504686"/>
      <w:bookmarkStart w:id="1079" w:name="_Toc253588209"/>
      <w:bookmarkStart w:id="1080" w:name="_Toc253659521"/>
      <w:bookmarkStart w:id="1081" w:name="_Toc253672657"/>
      <w:bookmarkStart w:id="1082" w:name="_Toc253748334"/>
      <w:bookmarkStart w:id="1083" w:name="_Toc253749425"/>
      <w:bookmarkStart w:id="1084" w:name="_Toc253749557"/>
      <w:bookmarkStart w:id="1085" w:name="_Toc253750160"/>
      <w:bookmarkStart w:id="1086" w:name="_Toc254105831"/>
      <w:bookmarkStart w:id="1087" w:name="_Toc254188636"/>
      <w:bookmarkStart w:id="1088" w:name="_Toc254190637"/>
      <w:bookmarkStart w:id="1089" w:name="_Toc254271552"/>
      <w:bookmarkStart w:id="1090" w:name="_Toc254343718"/>
      <w:bookmarkStart w:id="1091" w:name="_Toc254347654"/>
      <w:bookmarkStart w:id="1092" w:name="_Toc254358467"/>
      <w:bookmarkStart w:id="1093" w:name="_Toc254359214"/>
      <w:bookmarkStart w:id="1094" w:name="_Toc254359397"/>
      <w:bookmarkStart w:id="1095" w:name="_Toc254596278"/>
      <w:bookmarkStart w:id="1096" w:name="_Toc254596688"/>
      <w:bookmarkStart w:id="1097" w:name="_Toc254600736"/>
      <w:bookmarkStart w:id="1098" w:name="_Toc254601187"/>
      <w:bookmarkStart w:id="1099" w:name="_Toc254601260"/>
      <w:bookmarkStart w:id="1100" w:name="_Toc254601807"/>
      <w:bookmarkStart w:id="1101" w:name="_Toc254602332"/>
      <w:bookmarkStart w:id="1102" w:name="_Toc254684203"/>
      <w:bookmarkStart w:id="1103" w:name="_Toc254684275"/>
      <w:bookmarkStart w:id="1104" w:name="_Toc254686574"/>
      <w:bookmarkStart w:id="1105" w:name="_Toc254703749"/>
      <w:bookmarkStart w:id="1106" w:name="_Toc254705068"/>
      <w:bookmarkStart w:id="1107" w:name="_Toc254708269"/>
      <w:bookmarkStart w:id="1108" w:name="_Toc254772901"/>
      <w:bookmarkStart w:id="1109" w:name="_Toc254796010"/>
      <w:bookmarkStart w:id="1110" w:name="_Toc254855433"/>
      <w:bookmarkStart w:id="1111" w:name="_Toc254877521"/>
      <w:bookmarkStart w:id="1112" w:name="_Toc254881232"/>
      <w:bookmarkStart w:id="1113" w:name="_Toc254938510"/>
      <w:bookmarkStart w:id="1114" w:name="_Toc254939272"/>
      <w:bookmarkStart w:id="1115" w:name="_Toc254944137"/>
      <w:bookmarkStart w:id="1116" w:name="_Toc254944209"/>
      <w:bookmarkStart w:id="1117" w:name="_Toc254952373"/>
      <w:bookmarkStart w:id="1118" w:name="_Toc254956740"/>
      <w:bookmarkStart w:id="1119" w:name="_Toc254959144"/>
      <w:bookmarkStart w:id="1120" w:name="_Toc254959339"/>
      <w:bookmarkStart w:id="1121" w:name="_Toc256000653"/>
      <w:bookmarkStart w:id="1122" w:name="_Toc256073257"/>
      <w:bookmarkStart w:id="1123" w:name="_Toc256092757"/>
      <w:bookmarkStart w:id="1124" w:name="_Toc256150265"/>
      <w:bookmarkStart w:id="1125" w:name="_Toc256171800"/>
      <w:bookmarkStart w:id="1126" w:name="_Toc256172110"/>
      <w:bookmarkStart w:id="1127" w:name="_Toc256172469"/>
      <w:bookmarkStart w:id="1128" w:name="_Toc256172745"/>
      <w:bookmarkStart w:id="1129" w:name="_Toc256413991"/>
      <w:bookmarkStart w:id="1130" w:name="_Toc256414348"/>
      <w:bookmarkStart w:id="1131" w:name="_Toc256414702"/>
      <w:bookmarkStart w:id="1132" w:name="_Toc256414774"/>
      <w:bookmarkStart w:id="1133" w:name="_Toc256414928"/>
      <w:bookmarkStart w:id="1134" w:name="_Toc256415147"/>
      <w:bookmarkStart w:id="1135" w:name="_Toc256415316"/>
      <w:bookmarkStart w:id="1136" w:name="_Toc256415594"/>
      <w:bookmarkStart w:id="1137" w:name="_Toc256415686"/>
      <w:bookmarkStart w:id="1138" w:name="_Toc256419015"/>
      <w:bookmarkStart w:id="1139" w:name="_Toc256419589"/>
      <w:bookmarkStart w:id="1140" w:name="_Toc256419674"/>
      <w:bookmarkStart w:id="1141" w:name="_Toc256419746"/>
      <w:bookmarkStart w:id="1142" w:name="_Toc257363416"/>
      <w:bookmarkStart w:id="1143" w:name="_Toc257363500"/>
      <w:bookmarkStart w:id="1144" w:name="_Toc257366584"/>
      <w:r>
        <w:rPr>
          <w:rStyle w:val="CharDivNo"/>
        </w:rPr>
        <w:t>Division 4</w:t>
      </w:r>
      <w:r>
        <w:t> — </w:t>
      </w:r>
      <w:r>
        <w:rPr>
          <w:rStyle w:val="CharDivText"/>
        </w:rPr>
        <w:t>Formation of pipeline impact agreements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256419747"/>
      <w:bookmarkStart w:id="1146" w:name="_Toc257363417"/>
      <w:bookmarkStart w:id="1147" w:name="_Toc257366585"/>
      <w:r>
        <w:rPr>
          <w:rStyle w:val="CharSectno"/>
        </w:rPr>
        <w:t>19</w:t>
      </w:r>
      <w:r>
        <w:t>.</w:t>
      </w:r>
      <w:r>
        <w:tab/>
        <w:t>Default procedure</w:t>
      </w:r>
      <w:bookmarkEnd w:id="1145"/>
      <w:bookmarkEnd w:id="1146"/>
      <w:bookmarkEnd w:id="1147"/>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1148" w:name="_Toc256419748"/>
      <w:bookmarkStart w:id="1149" w:name="_Toc257363418"/>
      <w:bookmarkStart w:id="1150" w:name="_Toc257366586"/>
      <w:r>
        <w:rPr>
          <w:rStyle w:val="CharSectno"/>
        </w:rPr>
        <w:t>20</w:t>
      </w:r>
      <w:r>
        <w:t>.</w:t>
      </w:r>
      <w:r>
        <w:tab/>
        <w:t>Extension of time</w:t>
      </w:r>
      <w:bookmarkEnd w:id="1148"/>
      <w:bookmarkEnd w:id="1149"/>
      <w:bookmarkEnd w:id="1150"/>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1151" w:name="_Toc256419749"/>
      <w:bookmarkStart w:id="1152" w:name="_Toc257363419"/>
      <w:bookmarkStart w:id="1153" w:name="_Toc257366587"/>
      <w:r>
        <w:rPr>
          <w:rStyle w:val="CharSectno"/>
        </w:rPr>
        <w:t>21</w:t>
      </w:r>
      <w:r>
        <w:t>.</w:t>
      </w:r>
      <w:r>
        <w:tab/>
        <w:t>Application for a pipeline impact agreement — step 1</w:t>
      </w:r>
      <w:bookmarkEnd w:id="1151"/>
      <w:bookmarkEnd w:id="1152"/>
      <w:bookmarkEnd w:id="1153"/>
    </w:p>
    <w:p>
      <w:pPr>
        <w:pStyle w:val="Subsection"/>
      </w:pPr>
      <w:r>
        <w:tab/>
        <w:t>(1)</w:t>
      </w:r>
      <w:r>
        <w:tab/>
        <w:t>If a gas producer gives the operator of the PIA pipeline an application for a pipeline impact agreement in relation to the supply of gas, the operator must, within 15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An arbitration of a dispute about the application — </w:t>
      </w:r>
    </w:p>
    <w:p>
      <w:pPr>
        <w:pStyle w:val="Indenta"/>
      </w:pPr>
      <w:r>
        <w:tab/>
        <w:t>(a)</w:t>
      </w:r>
      <w:r>
        <w:tab/>
        <w:t>cannot be commenced unless the operator has notified the gas producer, under subregulation (1), that the application does not meet the application criteria; and</w:t>
      </w:r>
    </w:p>
    <w:p>
      <w:pPr>
        <w:pStyle w:val="Indenta"/>
      </w:pPr>
      <w:r>
        <w:tab/>
        <w:t>(b)</w:t>
      </w:r>
      <w:r>
        <w:tab/>
        <w:t>cannot be commenced more than 15 days after the last day of the period referred to in subregulation (1).</w:t>
      </w:r>
    </w:p>
    <w:p>
      <w:pPr>
        <w:pStyle w:val="Subsection"/>
      </w:pPr>
      <w:r>
        <w:tab/>
        <w:t>(5)</w:t>
      </w:r>
      <w:r>
        <w:tab/>
        <w:t>An arbitrator of a dispute about the application must determine whether or not the application meets the application criteria within 45 days of the arbitration commencing.</w:t>
      </w:r>
    </w:p>
    <w:p>
      <w:pPr>
        <w:pStyle w:val="Heading5"/>
      </w:pPr>
      <w:bookmarkStart w:id="1154" w:name="_Toc256419750"/>
      <w:bookmarkStart w:id="1155" w:name="_Toc257363420"/>
      <w:bookmarkStart w:id="1156" w:name="_Toc257366588"/>
      <w:r>
        <w:rPr>
          <w:rStyle w:val="CharSectno"/>
        </w:rPr>
        <w:t>22</w:t>
      </w:r>
      <w:r>
        <w:t>.</w:t>
      </w:r>
      <w:r>
        <w:tab/>
        <w:t>Determining the relevant effects on the pipeline — step 2</w:t>
      </w:r>
      <w:bookmarkEnd w:id="1154"/>
      <w:bookmarkEnd w:id="1155"/>
      <w:bookmarkEnd w:id="1156"/>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30 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30 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An arbitration of a dispute about the relevant effects or their extent, cannot be commenced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days of the arbitration commencing.</w:t>
      </w:r>
    </w:p>
    <w:p>
      <w:pPr>
        <w:pStyle w:val="Heading5"/>
      </w:pPr>
      <w:bookmarkStart w:id="1157" w:name="_Toc256419751"/>
      <w:bookmarkStart w:id="1158" w:name="_Toc257363421"/>
      <w:bookmarkStart w:id="1159" w:name="_Toc257366589"/>
      <w:r>
        <w:rPr>
          <w:rStyle w:val="CharSectno"/>
        </w:rPr>
        <w:t>23</w:t>
      </w:r>
      <w:r>
        <w:t>.</w:t>
      </w:r>
      <w:r>
        <w:tab/>
        <w:t>Choosing a method to deal with the relevant effects — resolving dispute — step 3</w:t>
      </w:r>
      <w:bookmarkEnd w:id="1157"/>
      <w:bookmarkEnd w:id="1158"/>
      <w:bookmarkEnd w:id="1159"/>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30 days after the day on which the gas producer gives the information, determine whether or not the information is complete, accurate and correct, and notify the gas producer accordingly.</w:t>
      </w:r>
    </w:p>
    <w:p>
      <w:pPr>
        <w:pStyle w:val="Subsection"/>
      </w:pPr>
      <w:r>
        <w:tab/>
        <w:t>(4)</w:t>
      </w:r>
      <w:r>
        <w:tab/>
        <w:t xml:space="preserve">An arbitration of a dispute about the completeness, accuracy or correctness of the information referred to in subregulation (3) — </w:t>
      </w:r>
    </w:p>
    <w:p>
      <w:pPr>
        <w:pStyle w:val="Indenta"/>
      </w:pPr>
      <w:r>
        <w:tab/>
        <w:t>(a)</w:t>
      </w:r>
      <w:r>
        <w:tab/>
        <w:t xml:space="preserve">cannot be commenced 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cannot be commenced 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days of the arbitration commencing.</w:t>
      </w:r>
    </w:p>
    <w:p>
      <w:pPr>
        <w:pStyle w:val="Heading5"/>
      </w:pPr>
      <w:bookmarkStart w:id="1160" w:name="_Toc256419752"/>
      <w:bookmarkStart w:id="1161" w:name="_Toc257363422"/>
      <w:bookmarkStart w:id="1162" w:name="_Toc257366590"/>
      <w:r>
        <w:rPr>
          <w:rStyle w:val="CharSectno"/>
        </w:rPr>
        <w:t>24</w:t>
      </w:r>
      <w:r>
        <w:t>.</w:t>
      </w:r>
      <w:r>
        <w:tab/>
        <w:t>Lapse of procedure for delay by gas producer</w:t>
      </w:r>
      <w:bookmarkEnd w:id="1160"/>
      <w:bookmarkEnd w:id="1161"/>
      <w:bookmarkEnd w:id="1162"/>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1163" w:name="_Toc256419753"/>
      <w:bookmarkStart w:id="1164" w:name="_Toc257363423"/>
      <w:bookmarkStart w:id="1165" w:name="_Toc257366591"/>
      <w:r>
        <w:rPr>
          <w:rStyle w:val="CharSectno"/>
        </w:rPr>
        <w:t>25</w:t>
      </w:r>
      <w:r>
        <w:t>.</w:t>
      </w:r>
      <w:r>
        <w:tab/>
        <w:t>Prescribed method</w:t>
      </w:r>
      <w:bookmarkEnd w:id="1163"/>
      <w:bookmarkEnd w:id="1164"/>
      <w:bookmarkEnd w:id="1165"/>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1166" w:name="_Toc256419754"/>
      <w:bookmarkStart w:id="1167" w:name="_Toc257363424"/>
      <w:bookmarkStart w:id="1168" w:name="_Toc257366592"/>
      <w:r>
        <w:rPr>
          <w:rStyle w:val="CharSectno"/>
        </w:rPr>
        <w:t>26</w:t>
      </w:r>
      <w:r>
        <w:t>.</w:t>
      </w:r>
      <w:r>
        <w:tab/>
        <w:t>Default pipeline impact agreements</w:t>
      </w:r>
      <w:bookmarkEnd w:id="1166"/>
      <w:bookmarkEnd w:id="1167"/>
      <w:bookmarkEnd w:id="1168"/>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1169" w:name="_Toc256419755"/>
      <w:bookmarkStart w:id="1170" w:name="_Toc257363425"/>
      <w:bookmarkStart w:id="1171" w:name="_Toc257366593"/>
      <w:r>
        <w:rPr>
          <w:rStyle w:val="CharSectno"/>
        </w:rPr>
        <w:t>27</w:t>
      </w:r>
      <w:r>
        <w:t>.</w:t>
      </w:r>
      <w:r>
        <w:tab/>
        <w:t>Standard form agreements — publishing requirements</w:t>
      </w:r>
      <w:bookmarkEnd w:id="1169"/>
      <w:bookmarkEnd w:id="1170"/>
      <w:bookmarkEnd w:id="1171"/>
    </w:p>
    <w:p>
      <w:pPr>
        <w:pStyle w:val="Subsection"/>
      </w:pPr>
      <w:r>
        <w:tab/>
      </w:r>
      <w:r>
        <w:tab/>
        <w:t xml:space="preserve">For the purposes of section 8(7) of the Act, a standard form agreement must be published in the </w:t>
      </w:r>
      <w:r>
        <w:rPr>
          <w:i/>
          <w:iCs/>
        </w:rPr>
        <w:t>Gazette</w:t>
      </w:r>
      <w:r>
        <w:t>.</w:t>
      </w:r>
    </w:p>
    <w:p>
      <w:pPr>
        <w:pStyle w:val="Heading2"/>
      </w:pPr>
      <w:bookmarkStart w:id="1172" w:name="_Toc243390287"/>
      <w:bookmarkStart w:id="1173" w:name="_Toc243392757"/>
      <w:bookmarkStart w:id="1174" w:name="_Toc243468232"/>
      <w:bookmarkStart w:id="1175" w:name="_Toc243469460"/>
      <w:bookmarkStart w:id="1176" w:name="_Toc243473168"/>
      <w:bookmarkStart w:id="1177" w:name="_Toc244340356"/>
      <w:bookmarkStart w:id="1178" w:name="_Toc244345870"/>
      <w:bookmarkStart w:id="1179" w:name="_Toc244429135"/>
      <w:bookmarkStart w:id="1180" w:name="_Toc244514934"/>
      <w:bookmarkStart w:id="1181" w:name="_Toc244599526"/>
      <w:bookmarkStart w:id="1182" w:name="_Toc244601313"/>
      <w:bookmarkStart w:id="1183" w:name="_Toc244658688"/>
      <w:bookmarkStart w:id="1184" w:name="_Toc244663611"/>
      <w:bookmarkStart w:id="1185" w:name="_Toc244682986"/>
      <w:bookmarkStart w:id="1186" w:name="_Toc244922409"/>
      <w:bookmarkStart w:id="1187" w:name="_Toc244944154"/>
      <w:bookmarkStart w:id="1188" w:name="_Toc244944577"/>
      <w:bookmarkStart w:id="1189" w:name="_Toc245287592"/>
      <w:bookmarkStart w:id="1190" w:name="_Toc245288090"/>
      <w:bookmarkStart w:id="1191" w:name="_Toc245532336"/>
      <w:bookmarkStart w:id="1192" w:name="_Toc245551490"/>
      <w:bookmarkStart w:id="1193" w:name="_Toc245551637"/>
      <w:bookmarkStart w:id="1194" w:name="_Toc245609298"/>
      <w:bookmarkStart w:id="1195" w:name="_Toc245636224"/>
      <w:bookmarkStart w:id="1196" w:name="_Toc245720461"/>
      <w:bookmarkStart w:id="1197" w:name="_Toc245727954"/>
      <w:bookmarkStart w:id="1198" w:name="_Toc245790181"/>
      <w:bookmarkStart w:id="1199" w:name="_Toc245806706"/>
      <w:bookmarkStart w:id="1200" w:name="_Toc245811673"/>
      <w:bookmarkStart w:id="1201" w:name="_Toc245892827"/>
      <w:bookmarkStart w:id="1202" w:name="_Toc246153442"/>
      <w:bookmarkStart w:id="1203" w:name="_Toc246157563"/>
      <w:bookmarkStart w:id="1204" w:name="_Toc246239967"/>
      <w:bookmarkStart w:id="1205" w:name="_Toc246241634"/>
      <w:bookmarkStart w:id="1206" w:name="_Toc246243694"/>
      <w:bookmarkStart w:id="1207" w:name="_Toc246302476"/>
      <w:bookmarkStart w:id="1208" w:name="_Toc246329692"/>
      <w:bookmarkStart w:id="1209" w:name="_Toc246384908"/>
      <w:bookmarkStart w:id="1210" w:name="_Toc246409680"/>
      <w:bookmarkStart w:id="1211" w:name="_Toc246410774"/>
      <w:bookmarkStart w:id="1212" w:name="_Toc246411393"/>
      <w:bookmarkStart w:id="1213" w:name="_Toc246412412"/>
      <w:bookmarkStart w:id="1214" w:name="_Toc246470789"/>
      <w:bookmarkStart w:id="1215" w:name="_Toc246474720"/>
      <w:bookmarkStart w:id="1216" w:name="_Toc246475688"/>
      <w:bookmarkStart w:id="1217" w:name="_Toc246476380"/>
      <w:bookmarkStart w:id="1218" w:name="_Toc246760304"/>
      <w:bookmarkStart w:id="1219" w:name="_Toc246825617"/>
      <w:bookmarkStart w:id="1220" w:name="_Toc246829515"/>
      <w:bookmarkStart w:id="1221" w:name="_Toc246832936"/>
      <w:bookmarkStart w:id="1222" w:name="_Toc246930671"/>
      <w:bookmarkStart w:id="1223" w:name="_Toc246934849"/>
      <w:bookmarkStart w:id="1224" w:name="_Toc246994004"/>
      <w:bookmarkStart w:id="1225" w:name="_Toc247020625"/>
      <w:bookmarkStart w:id="1226" w:name="_Toc247099560"/>
      <w:bookmarkStart w:id="1227" w:name="_Toc247343250"/>
      <w:bookmarkStart w:id="1228" w:name="_Toc247345397"/>
      <w:bookmarkStart w:id="1229" w:name="_Toc247366049"/>
      <w:bookmarkStart w:id="1230" w:name="_Toc247425394"/>
      <w:bookmarkStart w:id="1231" w:name="_Toc247427863"/>
      <w:bookmarkStart w:id="1232" w:name="_Toc247452164"/>
      <w:bookmarkStart w:id="1233" w:name="_Toc247538321"/>
      <w:bookmarkStart w:id="1234" w:name="_Toc247606455"/>
      <w:bookmarkStart w:id="1235" w:name="_Toc247606726"/>
      <w:bookmarkStart w:id="1236" w:name="_Toc247624439"/>
      <w:bookmarkStart w:id="1237" w:name="_Toc247705615"/>
      <w:bookmarkStart w:id="1238" w:name="_Toc247971334"/>
      <w:bookmarkStart w:id="1239" w:name="_Toc248029074"/>
      <w:bookmarkStart w:id="1240" w:name="_Toc248057773"/>
      <w:bookmarkStart w:id="1241" w:name="_Toc248144594"/>
      <w:bookmarkStart w:id="1242" w:name="_Toc248202921"/>
      <w:bookmarkStart w:id="1243" w:name="_Toc248208229"/>
      <w:bookmarkStart w:id="1244" w:name="_Toc248209218"/>
      <w:bookmarkStart w:id="1245" w:name="_Toc248209288"/>
      <w:bookmarkStart w:id="1246" w:name="_Toc248217305"/>
      <w:bookmarkStart w:id="1247" w:name="_Toc248558748"/>
      <w:bookmarkStart w:id="1248" w:name="_Toc248576408"/>
      <w:bookmarkStart w:id="1249" w:name="_Toc248656239"/>
      <w:bookmarkStart w:id="1250" w:name="_Toc248657109"/>
      <w:bookmarkStart w:id="1251" w:name="_Toc248661905"/>
      <w:bookmarkStart w:id="1252" w:name="_Toc248720683"/>
      <w:bookmarkStart w:id="1253" w:name="_Toc248743620"/>
      <w:bookmarkStart w:id="1254" w:name="_Toc248753341"/>
      <w:bookmarkStart w:id="1255" w:name="_Toc248801987"/>
      <w:bookmarkStart w:id="1256" w:name="_Toc248807931"/>
      <w:bookmarkStart w:id="1257" w:name="_Toc248808775"/>
      <w:bookmarkStart w:id="1258" w:name="_Toc248809582"/>
      <w:bookmarkStart w:id="1259" w:name="_Toc248812088"/>
      <w:bookmarkStart w:id="1260" w:name="_Toc248814087"/>
      <w:bookmarkStart w:id="1261" w:name="_Toc248836663"/>
      <w:bookmarkStart w:id="1262" w:name="_Toc248890252"/>
      <w:bookmarkStart w:id="1263" w:name="_Toc248891361"/>
      <w:bookmarkStart w:id="1264" w:name="_Toc248912169"/>
      <w:bookmarkStart w:id="1265" w:name="_Toc248912267"/>
      <w:bookmarkStart w:id="1266" w:name="_Toc248915941"/>
      <w:bookmarkStart w:id="1267" w:name="_Toc248916539"/>
      <w:bookmarkStart w:id="1268" w:name="_Toc248917779"/>
      <w:bookmarkStart w:id="1269" w:name="_Toc249149573"/>
      <w:bookmarkStart w:id="1270" w:name="_Toc249152102"/>
      <w:bookmarkStart w:id="1271" w:name="_Toc249167524"/>
      <w:bookmarkStart w:id="1272" w:name="_Toc249168310"/>
      <w:bookmarkStart w:id="1273" w:name="_Toc249168761"/>
      <w:bookmarkStart w:id="1274" w:name="_Toc249177206"/>
      <w:bookmarkStart w:id="1275" w:name="_Toc249177568"/>
      <w:bookmarkStart w:id="1276" w:name="_Toc252891081"/>
      <w:bookmarkStart w:id="1277" w:name="_Toc252982315"/>
      <w:bookmarkStart w:id="1278" w:name="_Toc253046846"/>
      <w:bookmarkStart w:id="1279" w:name="_Toc253069176"/>
      <w:bookmarkStart w:id="1280" w:name="_Toc253150668"/>
      <w:bookmarkStart w:id="1281" w:name="_Toc253387203"/>
      <w:bookmarkStart w:id="1282" w:name="_Toc253387279"/>
      <w:bookmarkStart w:id="1283" w:name="_Toc253414490"/>
      <w:bookmarkStart w:id="1284" w:name="_Toc253504696"/>
      <w:bookmarkStart w:id="1285" w:name="_Toc253588219"/>
      <w:bookmarkStart w:id="1286" w:name="_Toc253659531"/>
      <w:bookmarkStart w:id="1287" w:name="_Toc253672667"/>
      <w:bookmarkStart w:id="1288" w:name="_Toc253748344"/>
      <w:bookmarkStart w:id="1289" w:name="_Toc253749435"/>
      <w:bookmarkStart w:id="1290" w:name="_Toc253749567"/>
      <w:bookmarkStart w:id="1291" w:name="_Toc253750170"/>
      <w:bookmarkStart w:id="1292" w:name="_Toc254105841"/>
      <w:bookmarkStart w:id="1293" w:name="_Toc254188646"/>
      <w:bookmarkStart w:id="1294" w:name="_Toc254190647"/>
      <w:bookmarkStart w:id="1295" w:name="_Toc254271562"/>
      <w:bookmarkStart w:id="1296" w:name="_Toc254343728"/>
      <w:bookmarkStart w:id="1297" w:name="_Toc254347664"/>
      <w:bookmarkStart w:id="1298" w:name="_Toc254358477"/>
      <w:bookmarkStart w:id="1299" w:name="_Toc254359224"/>
      <w:bookmarkStart w:id="1300" w:name="_Toc254359407"/>
      <w:bookmarkStart w:id="1301" w:name="_Toc254596288"/>
      <w:bookmarkStart w:id="1302" w:name="_Toc254596698"/>
      <w:bookmarkStart w:id="1303" w:name="_Toc254600746"/>
      <w:bookmarkStart w:id="1304" w:name="_Toc254601197"/>
      <w:bookmarkStart w:id="1305" w:name="_Toc254601270"/>
      <w:bookmarkStart w:id="1306" w:name="_Toc254601817"/>
      <w:bookmarkStart w:id="1307" w:name="_Toc254602342"/>
      <w:bookmarkStart w:id="1308" w:name="_Toc254684213"/>
      <w:bookmarkStart w:id="1309" w:name="_Toc254684285"/>
      <w:bookmarkStart w:id="1310" w:name="_Toc254686584"/>
      <w:bookmarkStart w:id="1311" w:name="_Toc254703759"/>
      <w:bookmarkStart w:id="1312" w:name="_Toc254705078"/>
      <w:bookmarkStart w:id="1313" w:name="_Toc254708279"/>
      <w:bookmarkStart w:id="1314" w:name="_Toc254772911"/>
      <w:bookmarkStart w:id="1315" w:name="_Toc254796020"/>
      <w:bookmarkStart w:id="1316" w:name="_Toc254855443"/>
      <w:bookmarkStart w:id="1317" w:name="_Toc254877531"/>
      <w:bookmarkStart w:id="1318" w:name="_Toc254881242"/>
      <w:bookmarkStart w:id="1319" w:name="_Toc254938520"/>
      <w:bookmarkStart w:id="1320" w:name="_Toc254939282"/>
      <w:bookmarkStart w:id="1321" w:name="_Toc254944147"/>
      <w:bookmarkStart w:id="1322" w:name="_Toc254944219"/>
      <w:bookmarkStart w:id="1323" w:name="_Toc254952383"/>
      <w:bookmarkStart w:id="1324" w:name="_Toc254956750"/>
      <w:bookmarkStart w:id="1325" w:name="_Toc254959154"/>
      <w:bookmarkStart w:id="1326" w:name="_Toc254959349"/>
      <w:bookmarkStart w:id="1327" w:name="_Toc256000663"/>
      <w:bookmarkStart w:id="1328" w:name="_Toc256073267"/>
      <w:bookmarkStart w:id="1329" w:name="_Toc256092767"/>
      <w:bookmarkStart w:id="1330" w:name="_Toc256150275"/>
      <w:bookmarkStart w:id="1331" w:name="_Toc256171810"/>
      <w:bookmarkStart w:id="1332" w:name="_Toc256172120"/>
      <w:bookmarkStart w:id="1333" w:name="_Toc256172479"/>
      <w:bookmarkStart w:id="1334" w:name="_Toc256172755"/>
      <w:bookmarkStart w:id="1335" w:name="_Toc256414001"/>
      <w:bookmarkStart w:id="1336" w:name="_Toc256414358"/>
      <w:bookmarkStart w:id="1337" w:name="_Toc256414712"/>
      <w:bookmarkStart w:id="1338" w:name="_Toc256414784"/>
      <w:bookmarkStart w:id="1339" w:name="_Toc256414938"/>
      <w:bookmarkStart w:id="1340" w:name="_Toc256415157"/>
      <w:bookmarkStart w:id="1341" w:name="_Toc256415326"/>
      <w:bookmarkStart w:id="1342" w:name="_Toc256415604"/>
      <w:bookmarkStart w:id="1343" w:name="_Toc256415696"/>
      <w:bookmarkStart w:id="1344" w:name="_Toc256419025"/>
      <w:bookmarkStart w:id="1345" w:name="_Toc256419599"/>
      <w:bookmarkStart w:id="1346" w:name="_Toc256419684"/>
      <w:bookmarkStart w:id="1347" w:name="_Toc256419756"/>
      <w:bookmarkStart w:id="1348" w:name="_Toc257363426"/>
      <w:bookmarkStart w:id="1349" w:name="_Toc257363510"/>
      <w:bookmarkStart w:id="1350" w:name="_Toc257366594"/>
      <w:r>
        <w:rPr>
          <w:rStyle w:val="CharPartNo"/>
        </w:rPr>
        <w:t>Part 3</w:t>
      </w:r>
      <w:r>
        <w:rPr>
          <w:rStyle w:val="CharDivNo"/>
        </w:rPr>
        <w:t> </w:t>
      </w:r>
      <w:r>
        <w:t>—</w:t>
      </w:r>
      <w:r>
        <w:rPr>
          <w:rStyle w:val="CharDivText"/>
        </w:rPr>
        <w:t> </w:t>
      </w:r>
      <w:r>
        <w:rPr>
          <w:rStyle w:val="CharPartText"/>
        </w:rPr>
        <w:t>Modifying gas contracts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256419757"/>
      <w:bookmarkStart w:id="1352" w:name="_Toc257363427"/>
      <w:bookmarkStart w:id="1353" w:name="_Toc257366595"/>
      <w:r>
        <w:rPr>
          <w:rStyle w:val="CharSectno"/>
        </w:rPr>
        <w:t>28</w:t>
      </w:r>
      <w:r>
        <w:t>.</w:t>
      </w:r>
      <w:r>
        <w:tab/>
        <w:t>Standard gas quality specifications for pipelines</w:t>
      </w:r>
      <w:bookmarkEnd w:id="1351"/>
      <w:bookmarkEnd w:id="1352"/>
      <w:bookmarkEnd w:id="1353"/>
    </w:p>
    <w:p>
      <w:pPr>
        <w:pStyle w:val="Subsection"/>
      </w:pPr>
      <w:r>
        <w:tab/>
      </w:r>
      <w:r>
        <w:tab/>
        <w:t>For the purposes of section 13 of the Act, the standard gas quality specifications for gas transmission pipelines are set out in Schedule 1.</w:t>
      </w:r>
    </w:p>
    <w:p>
      <w:pPr>
        <w:pStyle w:val="Heading5"/>
      </w:pPr>
      <w:bookmarkStart w:id="1354" w:name="_Toc256419758"/>
      <w:bookmarkStart w:id="1355" w:name="_Toc257363428"/>
      <w:bookmarkStart w:id="1356" w:name="_Toc257366596"/>
      <w:r>
        <w:rPr>
          <w:rStyle w:val="CharSectno"/>
        </w:rPr>
        <w:t>29</w:t>
      </w:r>
      <w:r>
        <w:t>.</w:t>
      </w:r>
      <w:r>
        <w:tab/>
        <w:t>Application of this Part before 1 July 2012</w:t>
      </w:r>
      <w:bookmarkEnd w:id="1354"/>
      <w:bookmarkEnd w:id="1355"/>
      <w:bookmarkEnd w:id="1356"/>
    </w:p>
    <w:p>
      <w:pPr>
        <w:pStyle w:val="Subsection"/>
      </w:pPr>
      <w:r>
        <w:tab/>
      </w:r>
      <w:r>
        <w:tab/>
        <w:t>This Part does not have effect so as to modify a gas contract until 1 July 2012.</w:t>
      </w:r>
    </w:p>
    <w:p>
      <w:pPr>
        <w:pStyle w:val="Heading5"/>
      </w:pPr>
      <w:bookmarkStart w:id="1357" w:name="_Toc256419759"/>
      <w:bookmarkStart w:id="1358" w:name="_Toc257363429"/>
      <w:bookmarkStart w:id="1359" w:name="_Toc257366597"/>
      <w:r>
        <w:rPr>
          <w:rStyle w:val="CharSectno"/>
        </w:rPr>
        <w:t>30</w:t>
      </w:r>
      <w:r>
        <w:t>.</w:t>
      </w:r>
      <w:r>
        <w:tab/>
        <w:t>Modifying gas contracts — gas quality specifications</w:t>
      </w:r>
      <w:bookmarkEnd w:id="1357"/>
      <w:bookmarkEnd w:id="1358"/>
      <w:bookmarkEnd w:id="1359"/>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Heading5"/>
        <w:ind w:left="0" w:firstLine="0"/>
      </w:pPr>
      <w:bookmarkStart w:id="1360" w:name="_Toc256419760"/>
      <w:bookmarkStart w:id="1361" w:name="_Toc257363430"/>
      <w:bookmarkStart w:id="1362" w:name="_Toc257366598"/>
      <w:r>
        <w:rPr>
          <w:rStyle w:val="CharSectno"/>
        </w:rPr>
        <w:t>31</w:t>
      </w:r>
      <w:r>
        <w:t>.</w:t>
      </w:r>
      <w:r>
        <w:tab/>
        <w:t>Modifying gas contracts — system use gas</w:t>
      </w:r>
      <w:bookmarkEnd w:id="1360"/>
      <w:bookmarkEnd w:id="1361"/>
      <w:bookmarkEnd w:id="1362"/>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1363" w:name="_Toc245636229"/>
      <w:bookmarkStart w:id="1364" w:name="_Toc245720467"/>
      <w:bookmarkStart w:id="1365" w:name="_Toc245727960"/>
      <w:bookmarkStart w:id="1366" w:name="_Toc245790187"/>
      <w:bookmarkStart w:id="1367" w:name="_Toc245806712"/>
      <w:bookmarkStart w:id="1368" w:name="_Toc245811679"/>
      <w:bookmarkStart w:id="1369" w:name="_Toc245892833"/>
      <w:bookmarkStart w:id="1370" w:name="_Toc246153448"/>
      <w:bookmarkStart w:id="1371" w:name="_Toc246157569"/>
      <w:bookmarkStart w:id="1372" w:name="_Toc246239973"/>
      <w:bookmarkStart w:id="1373" w:name="_Toc246241640"/>
      <w:bookmarkStart w:id="1374" w:name="_Toc246243700"/>
      <w:bookmarkStart w:id="1375" w:name="_Toc246302482"/>
      <w:bookmarkStart w:id="1376" w:name="_Toc246329698"/>
      <w:bookmarkStart w:id="1377" w:name="_Toc246384914"/>
      <w:bookmarkStart w:id="1378" w:name="_Toc246409686"/>
      <w:bookmarkStart w:id="1379" w:name="_Toc246410780"/>
      <w:bookmarkStart w:id="1380" w:name="_Toc246411399"/>
      <w:bookmarkStart w:id="1381" w:name="_Toc246412418"/>
      <w:bookmarkStart w:id="1382" w:name="_Toc246470795"/>
      <w:bookmarkStart w:id="1383" w:name="_Toc246474726"/>
      <w:bookmarkStart w:id="1384" w:name="_Toc246475694"/>
      <w:bookmarkStart w:id="1385" w:name="_Toc246476386"/>
      <w:bookmarkStart w:id="1386" w:name="_Toc246760310"/>
      <w:bookmarkStart w:id="1387" w:name="_Toc246825623"/>
      <w:bookmarkStart w:id="1388" w:name="_Toc246829521"/>
      <w:bookmarkStart w:id="1389" w:name="_Toc246832942"/>
      <w:bookmarkStart w:id="1390" w:name="_Toc246930677"/>
      <w:bookmarkStart w:id="1391" w:name="_Toc246934855"/>
      <w:bookmarkStart w:id="1392" w:name="_Toc246994010"/>
      <w:bookmarkStart w:id="1393" w:name="_Toc247020631"/>
      <w:bookmarkStart w:id="1394" w:name="_Toc247099566"/>
      <w:bookmarkStart w:id="1395" w:name="_Toc247343256"/>
      <w:bookmarkStart w:id="1396" w:name="_Toc247345403"/>
      <w:bookmarkStart w:id="1397" w:name="_Toc247366055"/>
      <w:bookmarkStart w:id="1398" w:name="_Toc247425400"/>
      <w:bookmarkStart w:id="1399" w:name="_Toc247427869"/>
      <w:bookmarkStart w:id="1400" w:name="_Toc247452170"/>
      <w:bookmarkStart w:id="1401" w:name="_Toc247538327"/>
      <w:bookmarkStart w:id="1402" w:name="_Toc247606461"/>
      <w:bookmarkStart w:id="1403" w:name="_Toc247606732"/>
      <w:bookmarkStart w:id="1404" w:name="_Toc247624445"/>
      <w:bookmarkStart w:id="1405" w:name="_Toc247705621"/>
      <w:bookmarkStart w:id="1406" w:name="_Toc247971340"/>
      <w:bookmarkStart w:id="1407" w:name="_Toc248029080"/>
      <w:bookmarkStart w:id="1408" w:name="_Toc248057779"/>
      <w:bookmarkStart w:id="1409" w:name="_Toc248144600"/>
      <w:bookmarkStart w:id="1410" w:name="_Toc248202927"/>
      <w:bookmarkStart w:id="1411" w:name="_Toc248208235"/>
      <w:bookmarkStart w:id="1412" w:name="_Toc248209224"/>
      <w:bookmarkStart w:id="1413" w:name="_Toc248209294"/>
      <w:bookmarkStart w:id="1414" w:name="_Toc248217311"/>
      <w:bookmarkStart w:id="1415" w:name="_Toc248558754"/>
      <w:bookmarkStart w:id="1416" w:name="_Toc248576414"/>
      <w:bookmarkStart w:id="1417" w:name="_Toc248656244"/>
      <w:bookmarkStart w:id="1418" w:name="_Toc248657114"/>
      <w:bookmarkStart w:id="1419" w:name="_Toc248661910"/>
      <w:bookmarkStart w:id="1420" w:name="_Toc248720688"/>
      <w:bookmarkStart w:id="1421" w:name="_Toc248743625"/>
      <w:bookmarkStart w:id="1422" w:name="_Toc248753346"/>
      <w:bookmarkStart w:id="1423" w:name="_Toc248801992"/>
      <w:bookmarkStart w:id="1424" w:name="_Toc248807936"/>
      <w:bookmarkStart w:id="1425" w:name="_Toc248808780"/>
      <w:bookmarkStart w:id="1426" w:name="_Toc248809587"/>
      <w:bookmarkStart w:id="1427" w:name="_Toc248812093"/>
      <w:bookmarkStart w:id="1428" w:name="_Toc248814092"/>
      <w:bookmarkStart w:id="1429" w:name="_Toc248836668"/>
      <w:bookmarkStart w:id="1430" w:name="_Toc248890257"/>
      <w:bookmarkStart w:id="1431" w:name="_Toc248891366"/>
      <w:bookmarkStart w:id="1432" w:name="_Toc248912174"/>
      <w:bookmarkStart w:id="1433" w:name="_Toc248912272"/>
      <w:bookmarkStart w:id="1434" w:name="_Toc248915946"/>
      <w:bookmarkStart w:id="1435" w:name="_Toc248916544"/>
      <w:bookmarkStart w:id="1436" w:name="_Toc248917784"/>
      <w:bookmarkStart w:id="1437" w:name="_Toc249149578"/>
      <w:bookmarkStart w:id="1438" w:name="_Toc249152107"/>
      <w:bookmarkStart w:id="1439" w:name="_Toc249167529"/>
      <w:bookmarkStart w:id="1440" w:name="_Toc249168315"/>
      <w:bookmarkStart w:id="1441" w:name="_Toc249168766"/>
      <w:bookmarkStart w:id="1442" w:name="_Toc249177211"/>
      <w:bookmarkStart w:id="1443" w:name="_Toc249177573"/>
      <w:bookmarkStart w:id="1444" w:name="_Toc252891086"/>
      <w:bookmarkStart w:id="1445" w:name="_Toc252982320"/>
      <w:bookmarkStart w:id="1446" w:name="_Toc253046851"/>
      <w:bookmarkStart w:id="1447" w:name="_Toc253069181"/>
      <w:bookmarkStart w:id="1448" w:name="_Toc253150673"/>
      <w:bookmarkStart w:id="1449" w:name="_Toc253387208"/>
      <w:bookmarkStart w:id="1450" w:name="_Toc253387284"/>
      <w:bookmarkStart w:id="1451" w:name="_Toc253414495"/>
      <w:bookmarkStart w:id="1452" w:name="_Toc253504701"/>
      <w:bookmarkStart w:id="1453" w:name="_Toc253588224"/>
      <w:bookmarkStart w:id="1454" w:name="_Toc253659536"/>
      <w:bookmarkStart w:id="1455" w:name="_Toc253672672"/>
      <w:bookmarkStart w:id="1456" w:name="_Toc253748349"/>
      <w:bookmarkStart w:id="1457" w:name="_Toc253749440"/>
      <w:bookmarkStart w:id="1458" w:name="_Toc253749572"/>
      <w:bookmarkStart w:id="1459" w:name="_Toc253750175"/>
      <w:bookmarkStart w:id="1460" w:name="_Toc254105846"/>
      <w:bookmarkStart w:id="1461" w:name="_Toc254188651"/>
      <w:bookmarkStart w:id="1462" w:name="_Toc254190652"/>
      <w:bookmarkStart w:id="1463" w:name="_Toc254271567"/>
      <w:bookmarkStart w:id="1464" w:name="_Toc254343733"/>
      <w:bookmarkStart w:id="1465" w:name="_Toc254347669"/>
      <w:bookmarkStart w:id="1466" w:name="_Toc254358482"/>
      <w:bookmarkStart w:id="1467" w:name="_Toc254359229"/>
      <w:bookmarkStart w:id="1468" w:name="_Toc254359412"/>
      <w:bookmarkStart w:id="1469" w:name="_Toc254596293"/>
      <w:bookmarkStart w:id="1470" w:name="_Toc254596703"/>
      <w:bookmarkStart w:id="1471" w:name="_Toc254600751"/>
      <w:bookmarkStart w:id="1472" w:name="_Toc254601202"/>
      <w:bookmarkStart w:id="1473" w:name="_Toc254601275"/>
      <w:bookmarkStart w:id="1474" w:name="_Toc254601822"/>
      <w:bookmarkStart w:id="1475" w:name="_Toc254602347"/>
      <w:bookmarkStart w:id="1476" w:name="_Toc254684218"/>
      <w:bookmarkStart w:id="1477" w:name="_Toc254684290"/>
      <w:bookmarkStart w:id="1478" w:name="_Toc254686589"/>
      <w:bookmarkStart w:id="1479" w:name="_Toc254703764"/>
      <w:bookmarkStart w:id="1480" w:name="_Toc254705083"/>
      <w:bookmarkStart w:id="1481" w:name="_Toc254708284"/>
      <w:bookmarkStart w:id="1482" w:name="_Toc254772916"/>
      <w:bookmarkStart w:id="1483" w:name="_Toc254796025"/>
      <w:bookmarkStart w:id="1484" w:name="_Toc254855448"/>
      <w:bookmarkStart w:id="1485" w:name="_Toc254877536"/>
      <w:bookmarkStart w:id="1486" w:name="_Toc254881247"/>
      <w:bookmarkStart w:id="1487" w:name="_Toc254938525"/>
      <w:bookmarkStart w:id="1488" w:name="_Toc254939287"/>
      <w:bookmarkStart w:id="1489" w:name="_Toc254944152"/>
      <w:bookmarkStart w:id="1490" w:name="_Toc254944224"/>
      <w:bookmarkStart w:id="1491" w:name="_Toc254952388"/>
      <w:bookmarkStart w:id="1492" w:name="_Toc254956755"/>
      <w:bookmarkStart w:id="1493" w:name="_Toc254959159"/>
      <w:bookmarkStart w:id="1494" w:name="_Toc254959354"/>
      <w:bookmarkStart w:id="1495" w:name="_Toc256000668"/>
      <w:bookmarkStart w:id="1496" w:name="_Toc256073272"/>
      <w:bookmarkStart w:id="1497" w:name="_Toc256092772"/>
      <w:bookmarkStart w:id="1498" w:name="_Toc256150280"/>
      <w:bookmarkStart w:id="1499" w:name="_Toc256171815"/>
      <w:bookmarkStart w:id="1500" w:name="_Toc256172125"/>
      <w:bookmarkStart w:id="1501" w:name="_Toc256172484"/>
      <w:bookmarkStart w:id="1502" w:name="_Toc256172760"/>
      <w:bookmarkStart w:id="1503" w:name="_Toc256414006"/>
      <w:bookmarkStart w:id="1504" w:name="_Toc256414363"/>
      <w:bookmarkStart w:id="1505" w:name="_Toc256414717"/>
      <w:bookmarkStart w:id="1506" w:name="_Toc256414789"/>
      <w:bookmarkStart w:id="1507" w:name="_Toc256414943"/>
      <w:bookmarkStart w:id="1508" w:name="_Toc256415162"/>
      <w:bookmarkStart w:id="1509" w:name="_Toc256415331"/>
      <w:bookmarkStart w:id="1510" w:name="_Toc256415609"/>
      <w:bookmarkStart w:id="1511" w:name="_Toc256415701"/>
      <w:bookmarkStart w:id="1512" w:name="_Toc256419030"/>
      <w:bookmarkStart w:id="1513" w:name="_Toc256419604"/>
      <w:bookmarkStart w:id="1514" w:name="_Toc256419689"/>
      <w:bookmarkStart w:id="1515" w:name="_Toc256419761"/>
      <w:bookmarkStart w:id="1516" w:name="_Toc257363431"/>
      <w:bookmarkStart w:id="1517" w:name="_Toc257363515"/>
      <w:bookmarkStart w:id="1518" w:name="_Toc257366599"/>
      <w:bookmarkStart w:id="1519" w:name="_Toc244682991"/>
      <w:bookmarkStart w:id="1520" w:name="_Toc244922414"/>
      <w:bookmarkStart w:id="1521" w:name="_Toc244944159"/>
      <w:bookmarkStart w:id="1522" w:name="_Toc244944582"/>
      <w:bookmarkStart w:id="1523" w:name="_Toc245287597"/>
      <w:bookmarkStart w:id="1524" w:name="_Toc245288095"/>
      <w:bookmarkStart w:id="1525" w:name="_Toc245532341"/>
      <w:bookmarkStart w:id="1526" w:name="_Toc245551495"/>
      <w:bookmarkStart w:id="1527" w:name="_Toc245551642"/>
      <w:bookmarkStart w:id="1528" w:name="_Toc245609303"/>
      <w:bookmarkStart w:id="1529" w:name="_Toc243390289"/>
      <w:bookmarkStart w:id="1530" w:name="_Toc243392759"/>
      <w:bookmarkStart w:id="1531" w:name="_Toc243468234"/>
      <w:bookmarkStart w:id="1532" w:name="_Toc243469462"/>
      <w:bookmarkStart w:id="1533" w:name="_Toc243473170"/>
      <w:bookmarkStart w:id="1534" w:name="_Toc244340358"/>
      <w:bookmarkStart w:id="1535" w:name="_Toc244345872"/>
      <w:bookmarkStart w:id="1536" w:name="_Toc244429139"/>
      <w:r>
        <w:rPr>
          <w:rStyle w:val="CharPartNo"/>
        </w:rPr>
        <w:t>Part 4</w:t>
      </w:r>
      <w:r>
        <w:t> — </w:t>
      </w:r>
      <w:r>
        <w:rPr>
          <w:rStyle w:val="CharPartText"/>
        </w:rPr>
        <w:t>Compensation</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3"/>
      </w:pPr>
      <w:bookmarkStart w:id="1537" w:name="_Toc248807937"/>
      <w:bookmarkStart w:id="1538" w:name="_Toc248808781"/>
      <w:bookmarkStart w:id="1539" w:name="_Toc248809588"/>
      <w:bookmarkStart w:id="1540" w:name="_Toc248812094"/>
      <w:bookmarkStart w:id="1541" w:name="_Toc248814093"/>
      <w:bookmarkStart w:id="1542" w:name="_Toc248836669"/>
      <w:bookmarkStart w:id="1543" w:name="_Toc248890258"/>
      <w:bookmarkStart w:id="1544" w:name="_Toc248891367"/>
      <w:bookmarkStart w:id="1545" w:name="_Toc248912175"/>
      <w:bookmarkStart w:id="1546" w:name="_Toc248912273"/>
      <w:bookmarkStart w:id="1547" w:name="_Toc248915947"/>
      <w:bookmarkStart w:id="1548" w:name="_Toc248916545"/>
      <w:bookmarkStart w:id="1549" w:name="_Toc248917785"/>
      <w:bookmarkStart w:id="1550" w:name="_Toc249149579"/>
      <w:bookmarkStart w:id="1551" w:name="_Toc249152108"/>
      <w:bookmarkStart w:id="1552" w:name="_Toc249167530"/>
      <w:bookmarkStart w:id="1553" w:name="_Toc249168316"/>
      <w:bookmarkStart w:id="1554" w:name="_Toc249168767"/>
      <w:bookmarkStart w:id="1555" w:name="_Toc249177212"/>
      <w:bookmarkStart w:id="1556" w:name="_Toc249177574"/>
      <w:bookmarkStart w:id="1557" w:name="_Toc252891087"/>
      <w:bookmarkStart w:id="1558" w:name="_Toc252982321"/>
      <w:bookmarkStart w:id="1559" w:name="_Toc253046852"/>
      <w:bookmarkStart w:id="1560" w:name="_Toc253069182"/>
      <w:bookmarkStart w:id="1561" w:name="_Toc253150674"/>
      <w:bookmarkStart w:id="1562" w:name="_Toc253387209"/>
      <w:bookmarkStart w:id="1563" w:name="_Toc253387285"/>
      <w:bookmarkStart w:id="1564" w:name="_Toc253414496"/>
      <w:bookmarkStart w:id="1565" w:name="_Toc253504702"/>
      <w:bookmarkStart w:id="1566" w:name="_Toc253588225"/>
      <w:bookmarkStart w:id="1567" w:name="_Toc253659537"/>
      <w:bookmarkStart w:id="1568" w:name="_Toc253672673"/>
      <w:bookmarkStart w:id="1569" w:name="_Toc253748350"/>
      <w:bookmarkStart w:id="1570" w:name="_Toc253749441"/>
      <w:bookmarkStart w:id="1571" w:name="_Toc253749573"/>
      <w:bookmarkStart w:id="1572" w:name="_Toc253750176"/>
      <w:bookmarkStart w:id="1573" w:name="_Toc254105847"/>
      <w:bookmarkStart w:id="1574" w:name="_Toc254188652"/>
      <w:bookmarkStart w:id="1575" w:name="_Toc254190653"/>
      <w:bookmarkStart w:id="1576" w:name="_Toc254271568"/>
      <w:bookmarkStart w:id="1577" w:name="_Toc254343734"/>
      <w:bookmarkStart w:id="1578" w:name="_Toc254347670"/>
      <w:bookmarkStart w:id="1579" w:name="_Toc254358483"/>
      <w:bookmarkStart w:id="1580" w:name="_Toc254359230"/>
      <w:bookmarkStart w:id="1581" w:name="_Toc254359413"/>
      <w:bookmarkStart w:id="1582" w:name="_Toc254596294"/>
      <w:bookmarkStart w:id="1583" w:name="_Toc254596704"/>
      <w:bookmarkStart w:id="1584" w:name="_Toc254600752"/>
      <w:bookmarkStart w:id="1585" w:name="_Toc254601203"/>
      <w:bookmarkStart w:id="1586" w:name="_Toc254601276"/>
      <w:bookmarkStart w:id="1587" w:name="_Toc254601823"/>
      <w:bookmarkStart w:id="1588" w:name="_Toc254602348"/>
      <w:bookmarkStart w:id="1589" w:name="_Toc254684219"/>
      <w:bookmarkStart w:id="1590" w:name="_Toc254684291"/>
      <w:bookmarkStart w:id="1591" w:name="_Toc254686590"/>
      <w:bookmarkStart w:id="1592" w:name="_Toc254703765"/>
      <w:bookmarkStart w:id="1593" w:name="_Toc254705084"/>
      <w:bookmarkStart w:id="1594" w:name="_Toc254708285"/>
      <w:bookmarkStart w:id="1595" w:name="_Toc254772917"/>
      <w:bookmarkStart w:id="1596" w:name="_Toc254796026"/>
      <w:bookmarkStart w:id="1597" w:name="_Toc254855449"/>
      <w:bookmarkStart w:id="1598" w:name="_Toc254877537"/>
      <w:bookmarkStart w:id="1599" w:name="_Toc254881248"/>
      <w:bookmarkStart w:id="1600" w:name="_Toc254938526"/>
      <w:bookmarkStart w:id="1601" w:name="_Toc254939288"/>
      <w:bookmarkStart w:id="1602" w:name="_Toc254944153"/>
      <w:bookmarkStart w:id="1603" w:name="_Toc254944225"/>
      <w:bookmarkStart w:id="1604" w:name="_Toc254952389"/>
      <w:bookmarkStart w:id="1605" w:name="_Toc254956756"/>
      <w:bookmarkStart w:id="1606" w:name="_Toc254959160"/>
      <w:bookmarkStart w:id="1607" w:name="_Toc254959355"/>
      <w:bookmarkStart w:id="1608" w:name="_Toc256000669"/>
      <w:bookmarkStart w:id="1609" w:name="_Toc256073273"/>
      <w:bookmarkStart w:id="1610" w:name="_Toc256092773"/>
      <w:bookmarkStart w:id="1611" w:name="_Toc256150281"/>
      <w:bookmarkStart w:id="1612" w:name="_Toc256171816"/>
      <w:bookmarkStart w:id="1613" w:name="_Toc256172126"/>
      <w:bookmarkStart w:id="1614" w:name="_Toc256172485"/>
      <w:bookmarkStart w:id="1615" w:name="_Toc256172761"/>
      <w:bookmarkStart w:id="1616" w:name="_Toc256414007"/>
      <w:bookmarkStart w:id="1617" w:name="_Toc256414364"/>
      <w:bookmarkStart w:id="1618" w:name="_Toc256414718"/>
      <w:bookmarkStart w:id="1619" w:name="_Toc256414790"/>
      <w:bookmarkStart w:id="1620" w:name="_Toc256414944"/>
      <w:bookmarkStart w:id="1621" w:name="_Toc256415163"/>
      <w:bookmarkStart w:id="1622" w:name="_Toc256415332"/>
      <w:bookmarkStart w:id="1623" w:name="_Toc256415610"/>
      <w:bookmarkStart w:id="1624" w:name="_Toc256415702"/>
      <w:bookmarkStart w:id="1625" w:name="_Toc256419031"/>
      <w:bookmarkStart w:id="1626" w:name="_Toc256419605"/>
      <w:bookmarkStart w:id="1627" w:name="_Toc256419690"/>
      <w:bookmarkStart w:id="1628" w:name="_Toc256419762"/>
      <w:bookmarkStart w:id="1629" w:name="_Toc257363432"/>
      <w:bookmarkStart w:id="1630" w:name="_Toc257363516"/>
      <w:bookmarkStart w:id="1631" w:name="_Toc257366600"/>
      <w:bookmarkStart w:id="1632" w:name="_Toc246994011"/>
      <w:bookmarkStart w:id="1633" w:name="_Toc247020632"/>
      <w:bookmarkStart w:id="1634" w:name="_Toc247099567"/>
      <w:bookmarkStart w:id="1635" w:name="_Toc247343257"/>
      <w:bookmarkStart w:id="1636" w:name="_Toc247345404"/>
      <w:bookmarkStart w:id="1637" w:name="_Toc247366056"/>
      <w:bookmarkStart w:id="1638" w:name="_Toc247425401"/>
      <w:bookmarkStart w:id="1639" w:name="_Toc247427870"/>
      <w:bookmarkStart w:id="1640" w:name="_Toc247452171"/>
      <w:bookmarkStart w:id="1641" w:name="_Toc247538328"/>
      <w:bookmarkStart w:id="1642" w:name="_Toc247606462"/>
      <w:bookmarkStart w:id="1643" w:name="_Toc247606733"/>
      <w:bookmarkStart w:id="1644" w:name="_Toc247624446"/>
      <w:bookmarkStart w:id="1645" w:name="_Toc247705622"/>
      <w:bookmarkStart w:id="1646" w:name="_Toc247971341"/>
      <w:bookmarkStart w:id="1647" w:name="_Toc248029081"/>
      <w:bookmarkStart w:id="1648" w:name="_Toc248057780"/>
      <w:bookmarkStart w:id="1649" w:name="_Toc248144601"/>
      <w:bookmarkStart w:id="1650" w:name="_Toc248202928"/>
      <w:bookmarkStart w:id="1651" w:name="_Toc248208236"/>
      <w:bookmarkStart w:id="1652" w:name="_Toc248209225"/>
      <w:bookmarkStart w:id="1653" w:name="_Toc248209295"/>
      <w:bookmarkStart w:id="1654" w:name="_Toc248217312"/>
      <w:bookmarkStart w:id="1655" w:name="_Toc248558755"/>
      <w:bookmarkStart w:id="1656" w:name="_Toc248576415"/>
      <w:bookmarkStart w:id="1657" w:name="_Toc248656245"/>
      <w:bookmarkStart w:id="1658" w:name="_Toc248657115"/>
      <w:bookmarkStart w:id="1659" w:name="_Toc248661911"/>
      <w:bookmarkStart w:id="1660" w:name="_Toc248720689"/>
      <w:bookmarkStart w:id="1661" w:name="_Toc248743626"/>
      <w:bookmarkStart w:id="1662" w:name="_Toc248753347"/>
      <w:bookmarkStart w:id="1663" w:name="_Toc248801993"/>
      <w:r>
        <w:rPr>
          <w:rStyle w:val="CharDivNo"/>
        </w:rPr>
        <w:t>Division 1</w:t>
      </w:r>
      <w:r>
        <w:t> — </w:t>
      </w:r>
      <w:r>
        <w:rPr>
          <w:rStyle w:val="CharDivText"/>
        </w:rPr>
        <w:t>Preliminary</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64" w:name="_Toc256419763"/>
      <w:bookmarkStart w:id="1665" w:name="_Toc257363433"/>
      <w:bookmarkStart w:id="1666" w:name="_Toc25736660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Sectno"/>
        </w:rPr>
        <w:t>32</w:t>
      </w:r>
      <w:r>
        <w:t>.</w:t>
      </w:r>
      <w:r>
        <w:tab/>
        <w:t>Terms used</w:t>
      </w:r>
      <w:bookmarkEnd w:id="1664"/>
      <w:bookmarkEnd w:id="1665"/>
      <w:bookmarkEnd w:id="1666"/>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bookmarkStart w:id="1667" w:name="_Toc246241641"/>
      <w:bookmarkStart w:id="1668" w:name="_Toc246243701"/>
      <w:bookmarkStart w:id="1669" w:name="_Toc246302483"/>
      <w:bookmarkStart w:id="1670" w:name="_Toc246329699"/>
      <w:bookmarkStart w:id="1671" w:name="_Toc246384915"/>
      <w:bookmarkStart w:id="1672" w:name="_Toc246409687"/>
      <w:bookmarkStart w:id="1673" w:name="_Toc246410781"/>
      <w:bookmarkStart w:id="1674" w:name="_Toc246411400"/>
      <w:bookmarkStart w:id="1675" w:name="_Toc246412419"/>
      <w:bookmarkStart w:id="1676" w:name="_Toc246470796"/>
      <w:bookmarkStart w:id="1677" w:name="_Toc246474727"/>
      <w:bookmarkStart w:id="1678" w:name="_Toc246475695"/>
      <w:bookmarkStart w:id="1679" w:name="_Toc246476387"/>
      <w:bookmarkStart w:id="1680" w:name="_Toc246760311"/>
      <w:bookmarkStart w:id="1681" w:name="_Toc246825624"/>
      <w:bookmarkStart w:id="1682" w:name="_Toc246829522"/>
      <w:bookmarkStart w:id="1683" w:name="_Toc246832943"/>
      <w:bookmarkStart w:id="1684" w:name="_Toc246930680"/>
      <w:bookmarkStart w:id="1685" w:name="_Toc246934858"/>
      <w:bookmarkStart w:id="1686" w:name="_Toc246994013"/>
      <w:bookmarkStart w:id="1687" w:name="_Toc247020634"/>
      <w:bookmarkStart w:id="1688" w:name="_Toc247099569"/>
      <w:bookmarkStart w:id="1689" w:name="_Toc247343259"/>
      <w:bookmarkStart w:id="1690" w:name="_Toc247345406"/>
      <w:bookmarkStart w:id="1691" w:name="_Toc247366058"/>
      <w:bookmarkStart w:id="1692" w:name="_Toc247425403"/>
      <w:bookmarkStart w:id="1693" w:name="_Toc247427872"/>
      <w:bookmarkStart w:id="1694" w:name="_Toc247452173"/>
      <w:bookmarkStart w:id="1695" w:name="_Toc247538330"/>
      <w:bookmarkStart w:id="1696" w:name="_Toc247606464"/>
      <w:bookmarkStart w:id="1697" w:name="_Toc247606735"/>
      <w:bookmarkStart w:id="1698" w:name="_Toc247624448"/>
      <w:bookmarkStart w:id="1699" w:name="_Toc247705624"/>
      <w:bookmarkStart w:id="1700" w:name="_Toc247971343"/>
      <w:bookmarkStart w:id="1701" w:name="_Toc248029083"/>
      <w:bookmarkStart w:id="1702" w:name="_Toc248057782"/>
      <w:bookmarkStart w:id="1703" w:name="_Toc248144603"/>
      <w:bookmarkStart w:id="1704" w:name="_Toc248202930"/>
      <w:bookmarkStart w:id="1705" w:name="_Toc248208238"/>
      <w:bookmarkStart w:id="1706" w:name="_Toc248209227"/>
      <w:bookmarkStart w:id="1707" w:name="_Toc248209297"/>
      <w:bookmarkStart w:id="1708" w:name="_Toc248217314"/>
      <w:bookmarkStart w:id="1709" w:name="_Toc248558757"/>
      <w:bookmarkStart w:id="1710" w:name="_Toc248576417"/>
      <w:bookmarkStart w:id="1711" w:name="_Toc248656247"/>
      <w:bookmarkStart w:id="1712" w:name="_Toc248657117"/>
      <w:bookmarkStart w:id="1713" w:name="_Toc248661913"/>
      <w:bookmarkStart w:id="1714" w:name="_Toc248720691"/>
      <w:bookmarkStart w:id="1715" w:name="_Toc248743628"/>
      <w:bookmarkStart w:id="1716" w:name="_Toc248753349"/>
      <w:bookmarkStart w:id="1717" w:name="_Toc248801995"/>
      <w:bookmarkStart w:id="1718" w:name="_Toc248807939"/>
      <w:bookmarkStart w:id="1719" w:name="_Toc248808783"/>
      <w:bookmarkStart w:id="1720" w:name="_Toc248809590"/>
      <w:bookmarkStart w:id="1721" w:name="_Toc248812096"/>
      <w:bookmarkStart w:id="1722" w:name="_Toc248814095"/>
      <w:bookmarkStart w:id="1723" w:name="_Toc248836671"/>
      <w:bookmarkStart w:id="1724" w:name="_Toc248890260"/>
      <w:bookmarkStart w:id="1725" w:name="_Toc248891369"/>
      <w:bookmarkStart w:id="1726" w:name="_Toc248912177"/>
      <w:bookmarkStart w:id="1727" w:name="_Toc248912275"/>
      <w:bookmarkStart w:id="1728" w:name="_Toc248915949"/>
      <w:bookmarkStart w:id="1729" w:name="_Toc248916547"/>
      <w:bookmarkStart w:id="1730" w:name="_Toc248917787"/>
      <w:bookmarkStart w:id="1731" w:name="_Toc249149581"/>
      <w:bookmarkStart w:id="1732" w:name="_Toc249152110"/>
      <w:bookmarkStart w:id="1733" w:name="_Toc249167532"/>
      <w:bookmarkStart w:id="1734" w:name="_Toc249168318"/>
      <w:bookmarkStart w:id="1735" w:name="_Toc249168769"/>
      <w:bookmarkStart w:id="1736" w:name="_Toc249177214"/>
      <w:bookmarkStart w:id="1737" w:name="_Toc249177576"/>
      <w:bookmarkStart w:id="1738" w:name="_Toc252891089"/>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1739" w:name="_Toc252982323"/>
      <w:bookmarkStart w:id="1740" w:name="_Toc253046854"/>
      <w:bookmarkStart w:id="1741" w:name="_Toc253069184"/>
      <w:bookmarkStart w:id="1742" w:name="_Toc253150676"/>
      <w:bookmarkStart w:id="1743" w:name="_Toc253387211"/>
      <w:bookmarkStart w:id="1744" w:name="_Toc253387287"/>
      <w:bookmarkStart w:id="1745" w:name="_Toc253414498"/>
      <w:bookmarkStart w:id="1746" w:name="_Toc253504704"/>
      <w:bookmarkStart w:id="1747" w:name="_Toc253588227"/>
      <w:bookmarkStart w:id="1748" w:name="_Toc253659539"/>
      <w:bookmarkStart w:id="1749" w:name="_Toc253672675"/>
      <w:bookmarkStart w:id="1750" w:name="_Toc253748352"/>
      <w:bookmarkStart w:id="1751" w:name="_Toc253749443"/>
      <w:bookmarkStart w:id="1752" w:name="_Toc253749575"/>
      <w:bookmarkStart w:id="1753" w:name="_Toc253750178"/>
      <w:bookmarkStart w:id="1754" w:name="_Toc254105849"/>
      <w:bookmarkStart w:id="1755" w:name="_Toc254188654"/>
      <w:bookmarkStart w:id="1756" w:name="_Toc254190655"/>
      <w:bookmarkStart w:id="1757" w:name="_Toc254271570"/>
      <w:bookmarkStart w:id="1758" w:name="_Toc254343736"/>
      <w:bookmarkStart w:id="1759" w:name="_Toc254347672"/>
      <w:bookmarkStart w:id="1760" w:name="_Toc254358485"/>
      <w:bookmarkStart w:id="1761" w:name="_Toc254359232"/>
      <w:bookmarkStart w:id="1762" w:name="_Toc254359415"/>
      <w:bookmarkStart w:id="1763" w:name="_Toc254596296"/>
      <w:bookmarkStart w:id="1764" w:name="_Toc254596706"/>
      <w:bookmarkStart w:id="1765" w:name="_Toc254600754"/>
      <w:bookmarkStart w:id="1766" w:name="_Toc254601205"/>
      <w:bookmarkStart w:id="1767" w:name="_Toc254601278"/>
      <w:bookmarkStart w:id="1768" w:name="_Toc254601825"/>
      <w:bookmarkStart w:id="1769" w:name="_Toc254602350"/>
      <w:bookmarkStart w:id="1770" w:name="_Toc254684221"/>
      <w:bookmarkStart w:id="1771" w:name="_Toc254684293"/>
      <w:bookmarkStart w:id="1772" w:name="_Toc254686592"/>
      <w:bookmarkStart w:id="1773" w:name="_Toc254703767"/>
      <w:bookmarkStart w:id="1774" w:name="_Toc254705086"/>
      <w:bookmarkStart w:id="1775" w:name="_Toc254708287"/>
      <w:bookmarkStart w:id="1776" w:name="_Toc254772919"/>
      <w:bookmarkStart w:id="1777" w:name="_Toc254796028"/>
      <w:bookmarkStart w:id="1778" w:name="_Toc254855451"/>
      <w:bookmarkStart w:id="1779" w:name="_Toc254877539"/>
      <w:bookmarkStart w:id="1780" w:name="_Toc254881250"/>
      <w:bookmarkStart w:id="1781" w:name="_Toc254938528"/>
      <w:bookmarkStart w:id="1782" w:name="_Toc254939290"/>
      <w:bookmarkStart w:id="1783" w:name="_Toc254944155"/>
      <w:bookmarkStart w:id="1784" w:name="_Toc254944227"/>
      <w:bookmarkStart w:id="1785" w:name="_Toc254952391"/>
      <w:bookmarkStart w:id="1786" w:name="_Toc254956758"/>
      <w:bookmarkStart w:id="1787" w:name="_Toc254959162"/>
      <w:bookmarkStart w:id="1788" w:name="_Toc254959357"/>
      <w:bookmarkStart w:id="1789" w:name="_Toc256000671"/>
      <w:bookmarkStart w:id="1790" w:name="_Toc256073275"/>
      <w:bookmarkStart w:id="1791" w:name="_Toc256092775"/>
      <w:bookmarkStart w:id="1792" w:name="_Toc256150283"/>
      <w:bookmarkStart w:id="1793" w:name="_Toc256171818"/>
      <w:bookmarkStart w:id="1794" w:name="_Toc256172128"/>
      <w:bookmarkStart w:id="1795" w:name="_Toc256172487"/>
      <w:bookmarkStart w:id="1796" w:name="_Toc256172763"/>
      <w:bookmarkStart w:id="1797" w:name="_Toc256414009"/>
      <w:bookmarkStart w:id="1798" w:name="_Toc256414366"/>
      <w:bookmarkStart w:id="1799" w:name="_Toc256414720"/>
      <w:bookmarkStart w:id="1800" w:name="_Toc256414792"/>
      <w:bookmarkStart w:id="1801" w:name="_Toc256414946"/>
      <w:bookmarkStart w:id="1802" w:name="_Toc256415165"/>
      <w:bookmarkStart w:id="1803" w:name="_Toc256415334"/>
      <w:bookmarkStart w:id="1804" w:name="_Toc256415612"/>
      <w:bookmarkStart w:id="1805" w:name="_Toc256415704"/>
      <w:bookmarkStart w:id="1806" w:name="_Toc256419033"/>
      <w:bookmarkStart w:id="1807" w:name="_Toc256419607"/>
      <w:bookmarkStart w:id="1808" w:name="_Toc256419692"/>
      <w:bookmarkStart w:id="1809" w:name="_Toc256419764"/>
      <w:bookmarkStart w:id="1810" w:name="_Toc257363434"/>
      <w:bookmarkStart w:id="1811" w:name="_Toc257363518"/>
      <w:bookmarkStart w:id="1812" w:name="_Toc257366602"/>
      <w:r>
        <w:rPr>
          <w:rStyle w:val="CharDivNo"/>
        </w:rPr>
        <w:t>Division 2</w:t>
      </w:r>
      <w:r>
        <w:t> — </w:t>
      </w:r>
      <w:r>
        <w:rPr>
          <w:rStyle w:val="CharDivText"/>
        </w:rPr>
        <w:t>Entitlement and liability to compensation</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pPr>
      <w:bookmarkStart w:id="1813" w:name="_Toc256419765"/>
      <w:bookmarkStart w:id="1814" w:name="_Toc257363435"/>
      <w:bookmarkStart w:id="1815" w:name="_Toc257366603"/>
      <w:r>
        <w:rPr>
          <w:rStyle w:val="CharSectno"/>
        </w:rPr>
        <w:t>33</w:t>
      </w:r>
      <w:r>
        <w:t>.</w:t>
      </w:r>
      <w:r>
        <w:tab/>
        <w:t>Agreements as to compensation</w:t>
      </w:r>
      <w:bookmarkEnd w:id="1813"/>
      <w:bookmarkEnd w:id="1814"/>
      <w:bookmarkEnd w:id="1815"/>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1816" w:name="_Toc256419766"/>
      <w:bookmarkStart w:id="1817" w:name="_Toc257363436"/>
      <w:bookmarkStart w:id="1818" w:name="_Toc257366604"/>
      <w:r>
        <w:rPr>
          <w:rStyle w:val="CharSectno"/>
        </w:rPr>
        <w:t>34</w:t>
      </w:r>
      <w:r>
        <w:t>.</w:t>
      </w:r>
      <w:r>
        <w:tab/>
        <w:t>Entitlement to compensation — costs incurred</w:t>
      </w:r>
      <w:bookmarkEnd w:id="1816"/>
      <w:bookmarkEnd w:id="1817"/>
      <w:bookmarkEnd w:id="1818"/>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1819" w:name="_Toc256419767"/>
      <w:bookmarkStart w:id="1820" w:name="_Toc257363437"/>
      <w:bookmarkStart w:id="1821" w:name="_Toc257366605"/>
      <w:r>
        <w:rPr>
          <w:rStyle w:val="CharSectno"/>
        </w:rPr>
        <w:t>35</w:t>
      </w:r>
      <w:r>
        <w:t>.</w:t>
      </w:r>
      <w:r>
        <w:tab/>
        <w:t>Entitlement to compensation — loss of capacity of gas storage facility</w:t>
      </w:r>
      <w:bookmarkEnd w:id="1819"/>
      <w:bookmarkEnd w:id="1820"/>
      <w:bookmarkEnd w:id="1821"/>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1822" w:name="_Toc256419768"/>
      <w:bookmarkStart w:id="1823" w:name="_Toc257363438"/>
      <w:bookmarkStart w:id="1824" w:name="_Toc257366606"/>
      <w:r>
        <w:rPr>
          <w:rStyle w:val="CharSectno"/>
        </w:rPr>
        <w:t>36</w:t>
      </w:r>
      <w:r>
        <w:t>.</w:t>
      </w:r>
      <w:r>
        <w:tab/>
        <w:t>Total amount of compensation</w:t>
      </w:r>
      <w:bookmarkEnd w:id="1822"/>
      <w:bookmarkEnd w:id="1823"/>
      <w:bookmarkEnd w:id="1824"/>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1825" w:name="_Toc256419769"/>
      <w:bookmarkStart w:id="1826" w:name="_Toc257363439"/>
      <w:bookmarkStart w:id="1827" w:name="_Toc257366607"/>
      <w:r>
        <w:rPr>
          <w:rStyle w:val="CharSectno"/>
        </w:rPr>
        <w:t>37</w:t>
      </w:r>
      <w:r>
        <w:t>.</w:t>
      </w:r>
      <w:r>
        <w:tab/>
        <w:t>The extent to which a relevant cost is claimable</w:t>
      </w:r>
      <w:bookmarkEnd w:id="1825"/>
      <w:bookmarkEnd w:id="1826"/>
      <w:bookmarkEnd w:id="1827"/>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1828" w:name="_Toc256419770"/>
      <w:bookmarkStart w:id="1829" w:name="_Toc257363440"/>
      <w:bookmarkStart w:id="1830" w:name="_Toc257366608"/>
      <w:r>
        <w:rPr>
          <w:rStyle w:val="CharSectno"/>
        </w:rPr>
        <w:t>38</w:t>
      </w:r>
      <w:r>
        <w:t>.</w:t>
      </w:r>
      <w:r>
        <w:tab/>
        <w:t>Adjustment of the compensable and claimable proportion of a relevant cost — fixed costs</w:t>
      </w:r>
      <w:bookmarkEnd w:id="1828"/>
      <w:bookmarkEnd w:id="1829"/>
      <w:bookmarkEnd w:id="1830"/>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lang w:eastAsia="en-AU"/>
        </w:rPr>
        <w:drawing>
          <wp:inline distT="0" distB="0" distL="0" distR="0">
            <wp:extent cx="14382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lang w:eastAsia="en-AU"/>
        </w:rPr>
        <w:drawing>
          <wp:inline distT="0" distB="0" distL="0" distR="0">
            <wp:extent cx="9144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1831" w:name="_Toc256419771"/>
      <w:bookmarkStart w:id="1832" w:name="_Toc257363441"/>
      <w:bookmarkStart w:id="1833" w:name="_Toc257366609"/>
      <w:r>
        <w:rPr>
          <w:rStyle w:val="CharSectno"/>
        </w:rPr>
        <w:t>39</w:t>
      </w:r>
      <w:r>
        <w:t>.</w:t>
      </w:r>
      <w:r>
        <w:tab/>
        <w:t>Adjustment of the total claimable ongoing costs</w:t>
      </w:r>
      <w:bookmarkEnd w:id="1831"/>
      <w:bookmarkEnd w:id="1832"/>
      <w:bookmarkEnd w:id="1833"/>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lang w:eastAsia="en-AU"/>
        </w:rPr>
        <w:drawing>
          <wp:inline distT="0" distB="0" distL="0" distR="0">
            <wp:extent cx="9144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1834" w:name="_Toc256419772"/>
      <w:bookmarkStart w:id="1835" w:name="_Toc257363442"/>
      <w:bookmarkStart w:id="1836" w:name="_Toc257366610"/>
      <w:r>
        <w:rPr>
          <w:rStyle w:val="CharSectno"/>
        </w:rPr>
        <w:t>40</w:t>
      </w:r>
      <w:r>
        <w:t>.</w:t>
      </w:r>
      <w:r>
        <w:tab/>
        <w:t>Liability to compensation and extent of liability</w:t>
      </w:r>
      <w:bookmarkEnd w:id="1834"/>
      <w:bookmarkEnd w:id="1835"/>
      <w:bookmarkEnd w:id="1836"/>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lang w:eastAsia="en-AU"/>
        </w:rPr>
        <w:drawing>
          <wp:inline distT="0" distB="0" distL="0" distR="0">
            <wp:extent cx="19335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3575" cy="228600"/>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lang w:eastAsia="en-AU"/>
        </w:rPr>
        <w:drawing>
          <wp:inline distT="0" distB="0" distL="0" distR="0">
            <wp:extent cx="2543175" cy="86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3175" cy="866775"/>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bookmarkStart w:id="1837" w:name="_Toc246241644"/>
      <w:bookmarkStart w:id="1838" w:name="_Toc246243704"/>
      <w:bookmarkStart w:id="1839" w:name="_Toc246302486"/>
      <w:bookmarkStart w:id="1840" w:name="_Toc246329704"/>
      <w:bookmarkStart w:id="1841" w:name="_Toc246384920"/>
      <w:bookmarkStart w:id="1842" w:name="_Toc246409693"/>
      <w:bookmarkStart w:id="1843" w:name="_Toc246410788"/>
      <w:bookmarkStart w:id="1844" w:name="_Toc246411407"/>
      <w:bookmarkStart w:id="1845" w:name="_Toc246412426"/>
      <w:bookmarkStart w:id="1846" w:name="_Toc246470804"/>
      <w:bookmarkStart w:id="1847" w:name="_Toc246474736"/>
      <w:bookmarkStart w:id="1848" w:name="_Toc246475704"/>
      <w:bookmarkStart w:id="1849" w:name="_Toc246476396"/>
      <w:bookmarkStart w:id="1850" w:name="_Toc246760320"/>
      <w:bookmarkStart w:id="1851" w:name="_Toc246825633"/>
      <w:bookmarkStart w:id="1852" w:name="_Toc246829531"/>
      <w:bookmarkStart w:id="1853" w:name="_Toc246832952"/>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lang w:eastAsia="en-AU"/>
        </w:rPr>
        <w:drawing>
          <wp:inline distT="0" distB="0" distL="0" distR="0">
            <wp:extent cx="25431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866775"/>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1854" w:name="_Toc256419773"/>
      <w:bookmarkStart w:id="1855" w:name="_Toc257363443"/>
      <w:bookmarkStart w:id="1856" w:name="_Toc257366611"/>
      <w:r>
        <w:rPr>
          <w:rStyle w:val="CharSectno"/>
        </w:rPr>
        <w:t>41</w:t>
      </w:r>
      <w:r>
        <w:t>.</w:t>
      </w:r>
      <w:r>
        <w:tab/>
        <w:t>Recovery of compensation</w:t>
      </w:r>
      <w:bookmarkEnd w:id="1854"/>
      <w:bookmarkEnd w:id="1855"/>
      <w:bookmarkEnd w:id="1856"/>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1857" w:name="_Toc246930690"/>
      <w:bookmarkStart w:id="1858" w:name="_Toc246934868"/>
      <w:bookmarkStart w:id="1859" w:name="_Toc246994023"/>
      <w:bookmarkStart w:id="1860" w:name="_Toc247020644"/>
      <w:bookmarkStart w:id="1861" w:name="_Toc247099579"/>
      <w:bookmarkStart w:id="1862" w:name="_Toc247343269"/>
      <w:bookmarkStart w:id="1863" w:name="_Toc247345416"/>
      <w:bookmarkStart w:id="1864" w:name="_Toc247366068"/>
      <w:bookmarkStart w:id="1865" w:name="_Toc247425413"/>
      <w:bookmarkStart w:id="1866" w:name="_Toc247427882"/>
      <w:bookmarkStart w:id="1867" w:name="_Toc247452183"/>
      <w:bookmarkStart w:id="1868" w:name="_Toc247538340"/>
      <w:bookmarkStart w:id="1869" w:name="_Toc247606474"/>
      <w:bookmarkStart w:id="1870" w:name="_Toc247606745"/>
      <w:bookmarkStart w:id="1871" w:name="_Toc247624458"/>
      <w:bookmarkStart w:id="1872" w:name="_Toc247705634"/>
      <w:bookmarkStart w:id="1873" w:name="_Toc247971353"/>
      <w:bookmarkStart w:id="1874" w:name="_Toc248029093"/>
      <w:bookmarkStart w:id="1875" w:name="_Toc248057792"/>
      <w:bookmarkStart w:id="1876" w:name="_Toc248144613"/>
      <w:bookmarkStart w:id="1877" w:name="_Toc248202940"/>
      <w:bookmarkStart w:id="1878" w:name="_Toc248208248"/>
      <w:bookmarkStart w:id="1879" w:name="_Toc248209237"/>
      <w:bookmarkStart w:id="1880" w:name="_Toc248209307"/>
      <w:bookmarkStart w:id="1881" w:name="_Toc248217324"/>
      <w:bookmarkStart w:id="1882" w:name="_Toc248558767"/>
      <w:bookmarkStart w:id="1883" w:name="_Toc248576427"/>
      <w:bookmarkStart w:id="1884" w:name="_Toc248656257"/>
      <w:bookmarkStart w:id="1885" w:name="_Toc248657127"/>
      <w:bookmarkStart w:id="1886" w:name="_Toc248661923"/>
      <w:bookmarkStart w:id="1887" w:name="_Toc248720701"/>
      <w:bookmarkStart w:id="1888" w:name="_Toc248743638"/>
      <w:bookmarkStart w:id="1889" w:name="_Toc248753359"/>
      <w:bookmarkStart w:id="1890" w:name="_Toc248802005"/>
      <w:bookmarkStart w:id="1891" w:name="_Toc248807949"/>
      <w:bookmarkStart w:id="1892" w:name="_Toc248808793"/>
      <w:bookmarkStart w:id="1893" w:name="_Toc248809600"/>
      <w:bookmarkStart w:id="1894" w:name="_Toc248812106"/>
      <w:bookmarkStart w:id="1895" w:name="_Toc248814105"/>
      <w:bookmarkStart w:id="1896" w:name="_Toc248836681"/>
      <w:bookmarkStart w:id="1897" w:name="_Toc248890270"/>
      <w:bookmarkStart w:id="1898" w:name="_Toc248891379"/>
      <w:bookmarkStart w:id="1899" w:name="_Toc248912187"/>
      <w:bookmarkStart w:id="1900" w:name="_Toc248912285"/>
      <w:bookmarkStart w:id="1901" w:name="_Toc248915959"/>
      <w:bookmarkStart w:id="1902" w:name="_Toc248916557"/>
      <w:bookmarkStart w:id="1903" w:name="_Toc248917797"/>
      <w:bookmarkStart w:id="1904" w:name="_Toc249149590"/>
      <w:bookmarkStart w:id="1905" w:name="_Toc249152119"/>
      <w:bookmarkStart w:id="1906" w:name="_Toc249167541"/>
      <w:bookmarkStart w:id="1907" w:name="_Toc249168327"/>
      <w:bookmarkStart w:id="1908" w:name="_Toc249168778"/>
      <w:bookmarkStart w:id="1909" w:name="_Toc249177223"/>
      <w:bookmarkStart w:id="1910" w:name="_Toc249177585"/>
      <w:bookmarkStart w:id="1911" w:name="_Toc252891098"/>
      <w:bookmarkStart w:id="1912" w:name="_Toc252982333"/>
      <w:bookmarkStart w:id="1913" w:name="_Toc253046864"/>
      <w:bookmarkStart w:id="1914" w:name="_Toc253069194"/>
      <w:bookmarkStart w:id="1915" w:name="_Toc253150686"/>
      <w:bookmarkStart w:id="1916" w:name="_Toc253387222"/>
      <w:bookmarkStart w:id="1917" w:name="_Toc253387298"/>
      <w:bookmarkStart w:id="1918" w:name="_Toc253414509"/>
      <w:bookmarkStart w:id="1919" w:name="_Toc253504715"/>
      <w:bookmarkStart w:id="1920" w:name="_Toc253588238"/>
      <w:bookmarkStart w:id="1921" w:name="_Toc253659550"/>
      <w:bookmarkStart w:id="1922" w:name="_Toc253672686"/>
      <w:bookmarkStart w:id="1923" w:name="_Toc253748363"/>
      <w:bookmarkStart w:id="1924" w:name="_Toc253749454"/>
      <w:bookmarkStart w:id="1925" w:name="_Toc253749586"/>
      <w:bookmarkStart w:id="1926" w:name="_Toc253750189"/>
      <w:bookmarkStart w:id="1927" w:name="_Toc254105860"/>
      <w:bookmarkStart w:id="1928" w:name="_Toc254188665"/>
      <w:bookmarkStart w:id="1929" w:name="_Toc254190666"/>
      <w:bookmarkStart w:id="1930" w:name="_Toc254271581"/>
      <w:bookmarkStart w:id="1931" w:name="_Toc254343747"/>
      <w:bookmarkStart w:id="1932" w:name="_Toc254347683"/>
      <w:bookmarkStart w:id="1933" w:name="_Toc254358496"/>
      <w:bookmarkStart w:id="1934" w:name="_Toc254359243"/>
      <w:bookmarkStart w:id="1935" w:name="_Toc254359426"/>
      <w:bookmarkStart w:id="1936" w:name="_Toc254596307"/>
      <w:bookmarkStart w:id="1937" w:name="_Toc254596717"/>
      <w:bookmarkStart w:id="1938" w:name="_Toc254600765"/>
      <w:bookmarkStart w:id="1939" w:name="_Toc254601216"/>
      <w:bookmarkStart w:id="1940" w:name="_Toc254601288"/>
      <w:bookmarkStart w:id="1941" w:name="_Toc254601835"/>
      <w:bookmarkStart w:id="1942" w:name="_Toc254602360"/>
      <w:bookmarkStart w:id="1943" w:name="_Toc254684231"/>
      <w:bookmarkStart w:id="1944" w:name="_Toc254684303"/>
      <w:bookmarkStart w:id="1945" w:name="_Toc254686602"/>
      <w:bookmarkStart w:id="1946" w:name="_Toc254703777"/>
      <w:bookmarkStart w:id="1947" w:name="_Toc254705096"/>
      <w:bookmarkStart w:id="1948" w:name="_Toc254708297"/>
      <w:bookmarkStart w:id="1949" w:name="_Toc254772929"/>
      <w:bookmarkStart w:id="1950" w:name="_Toc254796038"/>
      <w:bookmarkStart w:id="1951" w:name="_Toc254855461"/>
      <w:bookmarkStart w:id="1952" w:name="_Toc254877549"/>
      <w:bookmarkStart w:id="1953" w:name="_Toc254881260"/>
      <w:bookmarkStart w:id="1954" w:name="_Toc254938538"/>
      <w:bookmarkStart w:id="1955" w:name="_Toc254939300"/>
      <w:bookmarkStart w:id="1956" w:name="_Toc254944165"/>
      <w:bookmarkStart w:id="1957" w:name="_Toc254944237"/>
      <w:bookmarkStart w:id="1958" w:name="_Toc254952401"/>
      <w:bookmarkStart w:id="1959" w:name="_Toc254956768"/>
      <w:bookmarkStart w:id="1960" w:name="_Toc254959172"/>
      <w:bookmarkStart w:id="1961" w:name="_Toc254959367"/>
      <w:bookmarkStart w:id="1962" w:name="_Toc256000681"/>
      <w:bookmarkStart w:id="1963" w:name="_Toc256073285"/>
      <w:bookmarkStart w:id="1964" w:name="_Toc256092785"/>
      <w:bookmarkStart w:id="1965" w:name="_Toc256150293"/>
      <w:bookmarkStart w:id="1966" w:name="_Toc256171828"/>
      <w:bookmarkStart w:id="1967" w:name="_Toc256172138"/>
      <w:bookmarkStart w:id="1968" w:name="_Toc256172497"/>
      <w:bookmarkStart w:id="1969" w:name="_Toc256172773"/>
      <w:bookmarkStart w:id="1970" w:name="_Toc256414019"/>
      <w:bookmarkStart w:id="1971" w:name="_Toc256414376"/>
      <w:bookmarkStart w:id="1972" w:name="_Toc256414730"/>
      <w:bookmarkStart w:id="1973" w:name="_Toc256414802"/>
      <w:bookmarkStart w:id="1974" w:name="_Toc256414956"/>
      <w:bookmarkStart w:id="1975" w:name="_Toc256415175"/>
      <w:bookmarkStart w:id="1976" w:name="_Toc256415344"/>
      <w:bookmarkStart w:id="1977" w:name="_Toc256415622"/>
      <w:bookmarkStart w:id="1978" w:name="_Toc256415714"/>
      <w:bookmarkStart w:id="1979" w:name="_Toc256419043"/>
      <w:bookmarkStart w:id="1980" w:name="_Toc256419617"/>
      <w:bookmarkStart w:id="1981" w:name="_Toc256419702"/>
      <w:bookmarkStart w:id="1982" w:name="_Toc256419774"/>
      <w:bookmarkStart w:id="1983" w:name="_Toc257363444"/>
      <w:bookmarkStart w:id="1984" w:name="_Toc257363528"/>
      <w:bookmarkStart w:id="1985" w:name="_Toc257366612"/>
      <w:r>
        <w:rPr>
          <w:rStyle w:val="CharDivNo"/>
        </w:rPr>
        <w:t>Division 3</w:t>
      </w:r>
      <w:r>
        <w:t> — </w:t>
      </w:r>
      <w:r>
        <w:rPr>
          <w:rStyle w:val="CharDivText"/>
        </w:rPr>
        <w:t>Extent to which relevant costs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compensable</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pPr>
      <w:bookmarkStart w:id="1986" w:name="_Toc256419775"/>
      <w:bookmarkStart w:id="1987" w:name="_Toc257363445"/>
      <w:bookmarkStart w:id="1988" w:name="_Toc257366613"/>
      <w:r>
        <w:rPr>
          <w:rStyle w:val="CharSectno"/>
        </w:rPr>
        <w:t>42</w:t>
      </w:r>
      <w:r>
        <w:t>.</w:t>
      </w:r>
      <w:r>
        <w:tab/>
        <w:t>Extent to which relevant costs are compensable</w:t>
      </w:r>
      <w:bookmarkEnd w:id="1986"/>
      <w:bookmarkEnd w:id="1987"/>
      <w:bookmarkEnd w:id="1988"/>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1989" w:name="_Toc256419776"/>
      <w:bookmarkStart w:id="1990" w:name="_Toc257363446"/>
      <w:bookmarkStart w:id="1991" w:name="_Toc257366614"/>
      <w:r>
        <w:rPr>
          <w:rStyle w:val="CharSectno"/>
        </w:rPr>
        <w:t>43</w:t>
      </w:r>
      <w:r>
        <w:t>.</w:t>
      </w:r>
      <w:r>
        <w:tab/>
        <w:t>Costs to restore capacity, or plant and equipment costs — compensable to the extent attributable to the gas not complying with the relevant gas quality specification</w:t>
      </w:r>
      <w:bookmarkEnd w:id="1989"/>
      <w:bookmarkEnd w:id="1990"/>
      <w:bookmarkEnd w:id="1991"/>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1992" w:name="_Toc256419777"/>
      <w:bookmarkStart w:id="1993" w:name="_Toc257363447"/>
      <w:bookmarkStart w:id="1994" w:name="_Toc257366615"/>
      <w:r>
        <w:rPr>
          <w:rStyle w:val="CharSectno"/>
        </w:rPr>
        <w:t>44</w:t>
      </w:r>
      <w:r>
        <w:t>.</w:t>
      </w:r>
      <w:r>
        <w:tab/>
        <w:t>Costs to restore capacity, or plant and equipment costs — compensable to the extent prudent</w:t>
      </w:r>
      <w:bookmarkEnd w:id="1992"/>
      <w:bookmarkEnd w:id="1993"/>
      <w:bookmarkEnd w:id="1994"/>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1995" w:name="_Toc256419778"/>
      <w:bookmarkStart w:id="1996" w:name="_Toc257363448"/>
      <w:bookmarkStart w:id="1997" w:name="_Toc257366616"/>
      <w:r>
        <w:rPr>
          <w:rStyle w:val="CharSectno"/>
        </w:rPr>
        <w:t>45</w:t>
      </w:r>
      <w:r>
        <w:t>.</w:t>
      </w:r>
      <w:r>
        <w:tab/>
        <w:t>Costs to restore capacity — compensable when, and to the extent to which, capacity needed</w:t>
      </w:r>
      <w:bookmarkEnd w:id="1995"/>
      <w:bookmarkEnd w:id="1996"/>
      <w:bookmarkEnd w:id="1997"/>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1998" w:name="_Toc256419779"/>
      <w:bookmarkStart w:id="1999" w:name="_Toc257363449"/>
      <w:bookmarkStart w:id="2000" w:name="_Toc257366617"/>
      <w:r>
        <w:rPr>
          <w:rStyle w:val="CharSectno"/>
        </w:rPr>
        <w:t>46</w:t>
      </w:r>
      <w:r>
        <w:t>.</w:t>
      </w:r>
      <w:r>
        <w:tab/>
        <w:t>Averaged quality, quantity and conditions</w:t>
      </w:r>
      <w:bookmarkEnd w:id="1998"/>
      <w:bookmarkEnd w:id="1999"/>
      <w:bookmarkEnd w:id="2000"/>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2001" w:name="_Toc256419780"/>
      <w:bookmarkStart w:id="2002" w:name="_Toc257363450"/>
      <w:bookmarkStart w:id="2003" w:name="_Toc257366618"/>
      <w:r>
        <w:rPr>
          <w:rStyle w:val="CharSectno"/>
        </w:rPr>
        <w:t>47</w:t>
      </w:r>
      <w:r>
        <w:t>.</w:t>
      </w:r>
      <w:r>
        <w:tab/>
        <w:t>Relevant gas quality specification for operator of the Mondarra Gas Storage Facility</w:t>
      </w:r>
      <w:bookmarkEnd w:id="2001"/>
      <w:bookmarkEnd w:id="2002"/>
      <w:bookmarkEnd w:id="2003"/>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2004" w:name="_Toc256419781"/>
      <w:bookmarkStart w:id="2005" w:name="_Toc257363451"/>
      <w:bookmarkStart w:id="2006" w:name="_Toc257366619"/>
      <w:r>
        <w:rPr>
          <w:rStyle w:val="CharSectno"/>
        </w:rPr>
        <w:t>48</w:t>
      </w:r>
      <w:r>
        <w:t>.</w:t>
      </w:r>
      <w:r>
        <w:tab/>
        <w:t>Operating and maintenance costs — method</w:t>
      </w:r>
      <w:bookmarkEnd w:id="2004"/>
      <w:bookmarkEnd w:id="2005"/>
      <w:bookmarkEnd w:id="2006"/>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2"/>
      </w:pPr>
      <w:bookmarkStart w:id="2007" w:name="_Toc245636231"/>
      <w:bookmarkStart w:id="2008" w:name="_Toc245720469"/>
      <w:bookmarkStart w:id="2009" w:name="_Toc245727962"/>
      <w:bookmarkStart w:id="2010" w:name="_Toc245790189"/>
      <w:bookmarkStart w:id="2011" w:name="_Toc245806714"/>
      <w:bookmarkStart w:id="2012" w:name="_Toc245811681"/>
      <w:bookmarkStart w:id="2013" w:name="_Toc245892838"/>
      <w:bookmarkStart w:id="2014" w:name="_Toc246153454"/>
      <w:bookmarkStart w:id="2015" w:name="_Toc246157575"/>
      <w:bookmarkStart w:id="2016" w:name="_Toc246239981"/>
      <w:bookmarkStart w:id="2017" w:name="_Toc246241654"/>
      <w:bookmarkStart w:id="2018" w:name="_Toc246243714"/>
      <w:bookmarkStart w:id="2019" w:name="_Toc246302497"/>
      <w:bookmarkStart w:id="2020" w:name="_Toc246329715"/>
      <w:bookmarkStart w:id="2021" w:name="_Toc246384931"/>
      <w:bookmarkStart w:id="2022" w:name="_Toc246409705"/>
      <w:bookmarkStart w:id="2023" w:name="_Toc246410800"/>
      <w:bookmarkStart w:id="2024" w:name="_Toc246411419"/>
      <w:bookmarkStart w:id="2025" w:name="_Toc246412438"/>
      <w:bookmarkStart w:id="2026" w:name="_Toc246470816"/>
      <w:bookmarkStart w:id="2027" w:name="_Toc246474748"/>
      <w:bookmarkStart w:id="2028" w:name="_Toc246475716"/>
      <w:bookmarkStart w:id="2029" w:name="_Toc246476408"/>
      <w:bookmarkStart w:id="2030" w:name="_Toc246760329"/>
      <w:bookmarkStart w:id="2031" w:name="_Toc246825642"/>
      <w:bookmarkStart w:id="2032" w:name="_Toc246829540"/>
      <w:bookmarkStart w:id="2033" w:name="_Toc246832961"/>
      <w:bookmarkStart w:id="2034" w:name="_Toc246930697"/>
      <w:bookmarkStart w:id="2035" w:name="_Toc246934875"/>
      <w:bookmarkStart w:id="2036" w:name="_Toc246994030"/>
      <w:bookmarkStart w:id="2037" w:name="_Toc247020651"/>
      <w:bookmarkStart w:id="2038" w:name="_Toc247099586"/>
      <w:bookmarkStart w:id="2039" w:name="_Toc247343276"/>
      <w:bookmarkStart w:id="2040" w:name="_Toc247345423"/>
      <w:bookmarkStart w:id="2041" w:name="_Toc247366076"/>
      <w:bookmarkStart w:id="2042" w:name="_Toc247425423"/>
      <w:bookmarkStart w:id="2043" w:name="_Toc247427891"/>
      <w:bookmarkStart w:id="2044" w:name="_Toc247452191"/>
      <w:bookmarkStart w:id="2045" w:name="_Toc247538350"/>
      <w:bookmarkStart w:id="2046" w:name="_Toc247606484"/>
      <w:bookmarkStart w:id="2047" w:name="_Toc247606755"/>
      <w:bookmarkStart w:id="2048" w:name="_Toc247624468"/>
      <w:bookmarkStart w:id="2049" w:name="_Toc247705644"/>
      <w:bookmarkStart w:id="2050" w:name="_Toc247971363"/>
      <w:bookmarkStart w:id="2051" w:name="_Toc248029103"/>
      <w:bookmarkStart w:id="2052" w:name="_Toc248057802"/>
      <w:bookmarkStart w:id="2053" w:name="_Toc248144623"/>
      <w:bookmarkStart w:id="2054" w:name="_Toc248202950"/>
      <w:bookmarkStart w:id="2055" w:name="_Toc248208258"/>
      <w:bookmarkStart w:id="2056" w:name="_Toc248209247"/>
      <w:bookmarkStart w:id="2057" w:name="_Toc248209317"/>
      <w:bookmarkStart w:id="2058" w:name="_Toc248217334"/>
      <w:bookmarkStart w:id="2059" w:name="_Toc248558777"/>
      <w:bookmarkStart w:id="2060" w:name="_Toc248576437"/>
      <w:bookmarkStart w:id="2061" w:name="_Toc248656267"/>
      <w:bookmarkStart w:id="2062" w:name="_Toc248657137"/>
      <w:bookmarkStart w:id="2063" w:name="_Toc248661933"/>
      <w:bookmarkStart w:id="2064" w:name="_Toc248720711"/>
      <w:bookmarkStart w:id="2065" w:name="_Toc248743648"/>
      <w:bookmarkStart w:id="2066" w:name="_Toc248753369"/>
      <w:bookmarkStart w:id="2067" w:name="_Toc248802015"/>
      <w:bookmarkStart w:id="2068" w:name="_Toc248807959"/>
      <w:bookmarkStart w:id="2069" w:name="_Toc248808803"/>
      <w:bookmarkStart w:id="2070" w:name="_Toc248809610"/>
      <w:bookmarkStart w:id="2071" w:name="_Toc248812116"/>
      <w:bookmarkStart w:id="2072" w:name="_Toc248814115"/>
      <w:bookmarkStart w:id="2073" w:name="_Toc248836691"/>
      <w:bookmarkStart w:id="2074" w:name="_Toc248890280"/>
      <w:bookmarkStart w:id="2075" w:name="_Toc248891389"/>
      <w:bookmarkStart w:id="2076" w:name="_Toc248912198"/>
      <w:bookmarkStart w:id="2077" w:name="_Toc248912295"/>
      <w:bookmarkStart w:id="2078" w:name="_Toc248915968"/>
      <w:bookmarkStart w:id="2079" w:name="_Toc248916566"/>
      <w:bookmarkStart w:id="2080" w:name="_Toc248917806"/>
      <w:bookmarkStart w:id="2081" w:name="_Toc249149599"/>
      <w:bookmarkStart w:id="2082" w:name="_Toc249152132"/>
      <w:bookmarkStart w:id="2083" w:name="_Toc249167554"/>
      <w:bookmarkStart w:id="2084" w:name="_Toc249168340"/>
      <w:bookmarkStart w:id="2085" w:name="_Toc249168791"/>
      <w:bookmarkStart w:id="2086" w:name="_Toc249177235"/>
      <w:bookmarkStart w:id="2087" w:name="_Toc249177597"/>
      <w:bookmarkStart w:id="2088" w:name="_Toc252891110"/>
      <w:bookmarkStart w:id="2089" w:name="_Toc252982343"/>
      <w:bookmarkStart w:id="2090" w:name="_Toc253046874"/>
      <w:bookmarkStart w:id="2091" w:name="_Toc253069204"/>
      <w:bookmarkStart w:id="2092" w:name="_Toc253150696"/>
      <w:bookmarkStart w:id="2093" w:name="_Toc253387232"/>
      <w:bookmarkStart w:id="2094" w:name="_Toc253387308"/>
      <w:bookmarkStart w:id="2095" w:name="_Toc253414519"/>
      <w:bookmarkStart w:id="2096" w:name="_Toc253504725"/>
      <w:bookmarkStart w:id="2097" w:name="_Toc253588248"/>
      <w:bookmarkStart w:id="2098" w:name="_Toc253659560"/>
      <w:bookmarkStart w:id="2099" w:name="_Toc253672696"/>
      <w:bookmarkStart w:id="2100" w:name="_Toc253748373"/>
      <w:bookmarkStart w:id="2101" w:name="_Toc253749464"/>
      <w:bookmarkStart w:id="2102" w:name="_Toc253749596"/>
      <w:bookmarkStart w:id="2103" w:name="_Toc253750199"/>
      <w:bookmarkStart w:id="2104" w:name="_Toc254105870"/>
      <w:bookmarkStart w:id="2105" w:name="_Toc254188675"/>
      <w:bookmarkStart w:id="2106" w:name="_Toc254190676"/>
      <w:bookmarkStart w:id="2107" w:name="_Toc254271591"/>
      <w:bookmarkStart w:id="2108" w:name="_Toc254343757"/>
      <w:bookmarkStart w:id="2109" w:name="_Toc254347693"/>
      <w:bookmarkStart w:id="2110" w:name="_Toc254358506"/>
      <w:bookmarkStart w:id="2111" w:name="_Toc254359253"/>
      <w:bookmarkStart w:id="2112" w:name="_Toc254359436"/>
      <w:bookmarkStart w:id="2113" w:name="_Toc254596316"/>
      <w:bookmarkStart w:id="2114" w:name="_Toc254596725"/>
      <w:bookmarkStart w:id="2115" w:name="_Toc254600773"/>
      <w:bookmarkStart w:id="2116" w:name="_Toc254601224"/>
      <w:bookmarkStart w:id="2117" w:name="_Toc254601296"/>
      <w:bookmarkStart w:id="2118" w:name="_Toc254601843"/>
      <w:bookmarkStart w:id="2119" w:name="_Toc254602368"/>
      <w:bookmarkStart w:id="2120" w:name="_Toc254684239"/>
      <w:bookmarkStart w:id="2121" w:name="_Toc254684311"/>
      <w:bookmarkStart w:id="2122" w:name="_Toc254686610"/>
      <w:bookmarkStart w:id="2123" w:name="_Toc254703785"/>
      <w:bookmarkStart w:id="2124" w:name="_Toc254705104"/>
      <w:bookmarkStart w:id="2125" w:name="_Toc254708305"/>
      <w:bookmarkStart w:id="2126" w:name="_Toc254772937"/>
      <w:bookmarkStart w:id="2127" w:name="_Toc254796046"/>
      <w:bookmarkStart w:id="2128" w:name="_Toc254855469"/>
      <w:bookmarkStart w:id="2129" w:name="_Toc254877557"/>
      <w:bookmarkStart w:id="2130" w:name="_Toc254881268"/>
      <w:bookmarkStart w:id="2131" w:name="_Toc254938546"/>
      <w:bookmarkStart w:id="2132" w:name="_Toc254939308"/>
      <w:bookmarkStart w:id="2133" w:name="_Toc254944173"/>
      <w:bookmarkStart w:id="2134" w:name="_Toc254944245"/>
      <w:bookmarkStart w:id="2135" w:name="_Toc254952409"/>
      <w:bookmarkStart w:id="2136" w:name="_Toc254956776"/>
      <w:bookmarkStart w:id="2137" w:name="_Toc254959180"/>
      <w:bookmarkStart w:id="2138" w:name="_Toc254959375"/>
      <w:bookmarkStart w:id="2139" w:name="_Toc256000689"/>
      <w:bookmarkStart w:id="2140" w:name="_Toc256073293"/>
      <w:bookmarkStart w:id="2141" w:name="_Toc256092793"/>
      <w:bookmarkStart w:id="2142" w:name="_Toc256150301"/>
      <w:bookmarkStart w:id="2143" w:name="_Toc256171836"/>
      <w:bookmarkStart w:id="2144" w:name="_Toc256172146"/>
      <w:bookmarkStart w:id="2145" w:name="_Toc256172505"/>
      <w:bookmarkStart w:id="2146" w:name="_Toc256172781"/>
      <w:bookmarkStart w:id="2147" w:name="_Toc256414027"/>
      <w:bookmarkStart w:id="2148" w:name="_Toc256414384"/>
      <w:bookmarkStart w:id="2149" w:name="_Toc256414738"/>
      <w:bookmarkStart w:id="2150" w:name="_Toc256414810"/>
      <w:bookmarkStart w:id="2151" w:name="_Toc256414964"/>
      <w:bookmarkStart w:id="2152" w:name="_Toc256415183"/>
      <w:bookmarkStart w:id="2153" w:name="_Toc256415352"/>
      <w:bookmarkStart w:id="2154" w:name="_Toc256415630"/>
      <w:bookmarkStart w:id="2155" w:name="_Toc256415722"/>
      <w:bookmarkStart w:id="2156" w:name="_Toc256419051"/>
      <w:bookmarkStart w:id="2157" w:name="_Toc256419625"/>
      <w:bookmarkStart w:id="2158" w:name="_Toc256419710"/>
      <w:bookmarkStart w:id="2159" w:name="_Toc256419782"/>
      <w:bookmarkStart w:id="2160" w:name="_Toc257363452"/>
      <w:bookmarkStart w:id="2161" w:name="_Toc257363536"/>
      <w:bookmarkStart w:id="2162" w:name="_Toc257366620"/>
      <w:r>
        <w:rPr>
          <w:rStyle w:val="CharPartNo"/>
        </w:rPr>
        <w:t>Part 5</w:t>
      </w:r>
      <w:r>
        <w:rPr>
          <w:rStyle w:val="CharDivNo"/>
        </w:rPr>
        <w:t> </w:t>
      </w:r>
      <w:r>
        <w:t>—</w:t>
      </w:r>
      <w:r>
        <w:rPr>
          <w:rStyle w:val="CharDivText"/>
        </w:rPr>
        <w:t> </w:t>
      </w:r>
      <w:r>
        <w:rPr>
          <w:rStyle w:val="CharPartText"/>
        </w:rPr>
        <w:t>Dispute resolution</w:t>
      </w:r>
      <w:bookmarkEnd w:id="1519"/>
      <w:bookmarkEnd w:id="1520"/>
      <w:bookmarkEnd w:id="1521"/>
      <w:bookmarkEnd w:id="1522"/>
      <w:bookmarkEnd w:id="1523"/>
      <w:bookmarkEnd w:id="1524"/>
      <w:bookmarkEnd w:id="1525"/>
      <w:bookmarkEnd w:id="1526"/>
      <w:bookmarkEnd w:id="1527"/>
      <w:bookmarkEnd w:id="1528"/>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256419783"/>
      <w:bookmarkStart w:id="2164" w:name="_Toc257363453"/>
      <w:bookmarkStart w:id="2165" w:name="_Toc257366621"/>
      <w:r>
        <w:rPr>
          <w:rStyle w:val="CharSectno"/>
        </w:rPr>
        <w:t>49</w:t>
      </w:r>
      <w:r>
        <w:t>.</w:t>
      </w:r>
      <w:r>
        <w:tab/>
        <w:t xml:space="preserve">Arbitration under the </w:t>
      </w:r>
      <w:r>
        <w:rPr>
          <w:i/>
        </w:rPr>
        <w:t>Commercial Arbitration Act </w:t>
      </w:r>
      <w:r>
        <w:rPr>
          <w:i/>
          <w:iCs/>
        </w:rPr>
        <w:t>1985</w:t>
      </w:r>
      <w:bookmarkEnd w:id="2163"/>
      <w:bookmarkEnd w:id="2164"/>
      <w:bookmarkEnd w:id="2165"/>
    </w:p>
    <w:p>
      <w:pPr>
        <w:pStyle w:val="Subsection"/>
      </w:pPr>
      <w:r>
        <w:tab/>
        <w:t>(1)</w:t>
      </w:r>
      <w:r>
        <w:tab/>
        <w:t xml:space="preserve">The following disputes are to be dealt with by arbitration under the </w:t>
      </w:r>
      <w:r>
        <w:rPr>
          <w:i/>
        </w:rPr>
        <w:t>Commercial Arbitration Act 1985</w:t>
      </w:r>
      <w:r>
        <w:t xml:space="preserve"> — </w:t>
      </w:r>
    </w:p>
    <w:p>
      <w:pPr>
        <w:pStyle w:val="Indenta"/>
      </w:pPr>
      <w:r>
        <w:tab/>
        <w:t>(a)</w:t>
      </w:r>
      <w:r>
        <w:tab/>
        <w:t>a dispute between a gas producer and an operator of a PIA pipeline relating to a pipeline impact agreement or a proposed pipeline impact agreement, including disputes referred to in Part 2 Division 4;</w:t>
      </w:r>
    </w:p>
    <w:p>
      <w:pPr>
        <w:pStyle w:val="Indenta"/>
      </w:pPr>
      <w:r>
        <w:tab/>
        <w:t>(b)</w:t>
      </w:r>
      <w:r>
        <w:tab/>
        <w:t>a dispute arising out of the compensation scheme in Part 4.</w:t>
      </w:r>
    </w:p>
    <w:p>
      <w:pPr>
        <w:pStyle w:val="Subsection"/>
      </w:pPr>
      <w:r>
        <w:tab/>
        <w:t>(2)</w:t>
      </w:r>
      <w:r>
        <w:tab/>
        <w:t>To the extent to which a dispute is an access dispute under a Gas Access Law, subregulation (1) does not prevent the dispute from being dealt with as an access dispute under the Gas Access Law.</w:t>
      </w:r>
    </w:p>
    <w:p>
      <w:pPr>
        <w:pStyle w:val="Subsection"/>
      </w:pPr>
      <w:r>
        <w:tab/>
        <w:t>(3)</w:t>
      </w:r>
      <w:r>
        <w:tab/>
        <w:t>A reference in these regulations to an arbitrator includes, in a case where there are 2 or more arbitrators, a reference to the arbitrators.</w:t>
      </w:r>
    </w:p>
    <w:p>
      <w:p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5" w:bottom="3542" w:left="2405" w:header="706" w:footer="3380" w:gutter="0"/>
          <w:pgNumType w:start="1"/>
          <w:cols w:space="720"/>
          <w:noEndnote/>
          <w:titlePg/>
          <w:docGrid w:linePitch="326"/>
        </w:sectPr>
      </w:pPr>
      <w:bookmarkStart w:id="2166" w:name="_Toc248807961"/>
      <w:bookmarkStart w:id="2167" w:name="_Toc248808805"/>
      <w:bookmarkStart w:id="2168" w:name="_Toc248809612"/>
      <w:bookmarkStart w:id="2169" w:name="_Toc248812118"/>
      <w:bookmarkStart w:id="2170" w:name="_Toc248814117"/>
      <w:bookmarkStart w:id="2171" w:name="_Toc248836693"/>
      <w:bookmarkStart w:id="2172" w:name="_Toc248890282"/>
      <w:bookmarkStart w:id="2173" w:name="_Toc248891391"/>
      <w:bookmarkStart w:id="2174" w:name="_Toc248912200"/>
      <w:bookmarkStart w:id="2175" w:name="_Toc248912297"/>
      <w:bookmarkStart w:id="2176" w:name="_Toc248915970"/>
      <w:bookmarkStart w:id="2177" w:name="_Toc248916568"/>
      <w:bookmarkStart w:id="2178" w:name="_Toc248917808"/>
      <w:bookmarkStart w:id="2179" w:name="_Toc249149601"/>
      <w:bookmarkStart w:id="2180" w:name="_Toc249152134"/>
      <w:bookmarkStart w:id="2181" w:name="_Toc249167556"/>
      <w:bookmarkStart w:id="2182" w:name="_Toc249168342"/>
      <w:bookmarkStart w:id="2183" w:name="_Toc249168793"/>
      <w:bookmarkStart w:id="2184" w:name="_Toc249177237"/>
      <w:bookmarkStart w:id="2185" w:name="_Toc249177599"/>
      <w:bookmarkStart w:id="2186" w:name="_Toc252891112"/>
      <w:bookmarkStart w:id="2187" w:name="_Toc252982345"/>
      <w:bookmarkStart w:id="2188" w:name="_Toc253046876"/>
      <w:bookmarkStart w:id="2189" w:name="_Toc253069206"/>
      <w:bookmarkStart w:id="2190" w:name="_Toc253150698"/>
      <w:bookmarkStart w:id="2191" w:name="_Toc253387234"/>
      <w:bookmarkStart w:id="2192" w:name="_Toc253387310"/>
      <w:bookmarkStart w:id="2193" w:name="_Toc253414521"/>
      <w:bookmarkStart w:id="2194" w:name="_Toc253504727"/>
      <w:bookmarkStart w:id="2195" w:name="_Toc253588250"/>
      <w:bookmarkStart w:id="2196" w:name="_Toc253659562"/>
      <w:bookmarkStart w:id="2197" w:name="_Toc253672698"/>
      <w:bookmarkStart w:id="2198" w:name="_Toc253748375"/>
      <w:bookmarkStart w:id="2199" w:name="_Toc253749466"/>
      <w:bookmarkStart w:id="2200" w:name="_Toc253749598"/>
      <w:bookmarkStart w:id="2201" w:name="_Toc253750201"/>
      <w:bookmarkStart w:id="2202" w:name="_Toc254105872"/>
      <w:bookmarkStart w:id="2203" w:name="_Toc254188677"/>
      <w:bookmarkStart w:id="2204" w:name="_Toc254190678"/>
      <w:bookmarkStart w:id="2205" w:name="_Toc254271593"/>
      <w:bookmarkStart w:id="2206" w:name="_Toc254343759"/>
      <w:bookmarkStart w:id="2207" w:name="_Toc254347695"/>
      <w:bookmarkStart w:id="2208" w:name="_Toc254358508"/>
      <w:bookmarkStart w:id="2209" w:name="_Toc254359255"/>
      <w:bookmarkStart w:id="2210" w:name="_Toc254359438"/>
      <w:bookmarkStart w:id="2211" w:name="_Toc254596318"/>
      <w:bookmarkStart w:id="2212" w:name="_Toc254596727"/>
      <w:bookmarkStart w:id="2213" w:name="_Toc254600775"/>
      <w:bookmarkStart w:id="2214" w:name="_Toc254601226"/>
      <w:bookmarkStart w:id="2215" w:name="_Toc254601298"/>
      <w:bookmarkStart w:id="2216" w:name="_Toc254601845"/>
      <w:bookmarkStart w:id="2217" w:name="_Toc254602370"/>
      <w:bookmarkStart w:id="2218" w:name="_Toc254684241"/>
      <w:bookmarkStart w:id="2219" w:name="_Toc254684313"/>
      <w:bookmarkStart w:id="2220" w:name="_Toc254686612"/>
      <w:bookmarkStart w:id="2221" w:name="_Toc254703787"/>
      <w:bookmarkStart w:id="2222" w:name="_Toc254705106"/>
      <w:bookmarkStart w:id="2223" w:name="_Toc254708307"/>
      <w:bookmarkStart w:id="2224" w:name="_Toc254772939"/>
      <w:bookmarkStart w:id="2225" w:name="_Toc254796048"/>
      <w:bookmarkStart w:id="2226" w:name="_Toc254855471"/>
      <w:bookmarkStart w:id="2227" w:name="_Toc254877559"/>
      <w:bookmarkStart w:id="2228" w:name="_Toc254881270"/>
      <w:bookmarkStart w:id="2229" w:name="_Toc254938548"/>
      <w:bookmarkStart w:id="2230" w:name="_Toc254939310"/>
      <w:bookmarkStart w:id="2231" w:name="_Toc254944175"/>
      <w:bookmarkStart w:id="2232" w:name="_Toc254944247"/>
      <w:bookmarkStart w:id="2233" w:name="_Toc254952411"/>
      <w:bookmarkStart w:id="2234" w:name="_Toc254956778"/>
      <w:bookmarkStart w:id="2235" w:name="_Toc254959182"/>
      <w:bookmarkStart w:id="2236" w:name="_Toc254959377"/>
      <w:bookmarkStart w:id="2237" w:name="_Toc256000691"/>
      <w:bookmarkStart w:id="2238" w:name="_Toc256073295"/>
      <w:bookmarkStart w:id="2239" w:name="_Toc256092795"/>
      <w:bookmarkStart w:id="2240" w:name="_Toc256150303"/>
      <w:bookmarkStart w:id="2241" w:name="_Toc256171838"/>
      <w:bookmarkStart w:id="2242" w:name="_Toc256172148"/>
      <w:bookmarkStart w:id="2243" w:name="_Toc256172507"/>
      <w:bookmarkStart w:id="2244" w:name="_Toc256172783"/>
      <w:bookmarkStart w:id="2245" w:name="_Toc256414029"/>
      <w:bookmarkStart w:id="2246" w:name="_Toc256414386"/>
      <w:bookmarkStart w:id="2247" w:name="_Toc256414740"/>
      <w:bookmarkStart w:id="2248" w:name="_Toc256414812"/>
      <w:bookmarkStart w:id="2249" w:name="_Toc256414966"/>
      <w:bookmarkStart w:id="2250" w:name="_Toc256415185"/>
      <w:bookmarkStart w:id="2251" w:name="_Toc256415354"/>
      <w:bookmarkStart w:id="2252" w:name="_Toc256415632"/>
      <w:bookmarkStart w:id="2253" w:name="_Toc256415724"/>
      <w:bookmarkStart w:id="2254" w:name="_Toc256419053"/>
      <w:bookmarkStart w:id="2255" w:name="_Toc256419627"/>
      <w:bookmarkStart w:id="2256" w:name="_Toc256419712"/>
      <w:bookmarkStart w:id="2257" w:name="_Toc256419784"/>
      <w:bookmarkStart w:id="2258" w:name="_Toc257363454"/>
      <w:bookmarkStart w:id="2259" w:name="_Toc257363538"/>
      <w:bookmarkEnd w:id="1529"/>
      <w:bookmarkEnd w:id="1530"/>
      <w:bookmarkEnd w:id="1531"/>
      <w:bookmarkEnd w:id="1532"/>
      <w:bookmarkEnd w:id="1533"/>
      <w:bookmarkEnd w:id="1534"/>
      <w:bookmarkEnd w:id="1535"/>
      <w:bookmarkEnd w:id="1536"/>
    </w:p>
    <w:p>
      <w:pPr>
        <w:pStyle w:val="yScheduleHeading"/>
        <w:outlineLvl w:val="0"/>
      </w:pPr>
      <w:bookmarkStart w:id="2260" w:name="_Toc257366622"/>
      <w:r>
        <w:rPr>
          <w:rStyle w:val="CharSchNo"/>
        </w:rPr>
        <w:t>Schedule 1</w:t>
      </w:r>
      <w:r>
        <w:rPr>
          <w:rStyle w:val="CharSDivNo"/>
        </w:rPr>
        <w:t> </w:t>
      </w:r>
      <w:r>
        <w:t>—</w:t>
      </w:r>
      <w:bookmarkStart w:id="2261" w:name="AutoSch"/>
      <w:bookmarkEnd w:id="2261"/>
      <w:r>
        <w:rPr>
          <w:rStyle w:val="CharSDivText"/>
        </w:rPr>
        <w:t> </w:t>
      </w:r>
      <w:r>
        <w:rPr>
          <w:rStyle w:val="CharSchText"/>
        </w:rPr>
        <w:t>Standard gas quality specifications for gas transmission pipelines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yShoulderClause"/>
      </w:pPr>
      <w:r>
        <w:t>[r. 28]</w:t>
      </w:r>
    </w:p>
    <w:p>
      <w:pPr>
        <w:pStyle w:val="yHeading5"/>
      </w:pPr>
      <w:bookmarkStart w:id="2262" w:name="_Toc256419785"/>
      <w:bookmarkStart w:id="2263" w:name="_Toc257363455"/>
      <w:bookmarkStart w:id="2264" w:name="_Toc257366623"/>
      <w:r>
        <w:rPr>
          <w:rStyle w:val="CharSClsNo"/>
        </w:rPr>
        <w:t>1</w:t>
      </w:r>
      <w:r>
        <w:t>.</w:t>
      </w:r>
      <w:r>
        <w:tab/>
        <w:t>Western Australian standard specification</w:t>
      </w:r>
      <w:bookmarkEnd w:id="2262"/>
      <w:bookmarkEnd w:id="2263"/>
      <w:bookmarkEnd w:id="2264"/>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Heading5"/>
      </w:pPr>
      <w:bookmarkStart w:id="2265" w:name="_Toc256419786"/>
      <w:bookmarkStart w:id="2266" w:name="_Toc257363456"/>
      <w:bookmarkStart w:id="2267" w:name="_Toc257366624"/>
      <w:r>
        <w:rPr>
          <w:rStyle w:val="CharSClsNo"/>
        </w:rPr>
        <w:t>2</w:t>
      </w:r>
      <w:r>
        <w:t>.</w:t>
      </w:r>
      <w:r>
        <w:tab/>
        <w:t>Parmelia Pipeline standard specification</w:t>
      </w:r>
      <w:bookmarkEnd w:id="2265"/>
      <w:bookmarkEnd w:id="2266"/>
      <w:bookmarkEnd w:id="2267"/>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r>
      <w:bookmarkStart w:id="2268" w:name="_Toc243390292"/>
      <w:bookmarkStart w:id="2269" w:name="_Toc243392762"/>
      <w:bookmarkStart w:id="2270" w:name="_Toc243468237"/>
      <w:bookmarkStart w:id="2271" w:name="_Toc243469465"/>
      <w:bookmarkStart w:id="2272" w:name="_Toc243473173"/>
      <w:bookmarkStart w:id="2273" w:name="_Toc244340361"/>
      <w:bookmarkStart w:id="2274" w:name="_Toc244345875"/>
      <w:bookmarkStart w:id="2275" w:name="_Toc244429142"/>
      <w:bookmarkStart w:id="2276" w:name="_Toc244514942"/>
      <w:bookmarkStart w:id="2277" w:name="_Toc244599534"/>
      <w:bookmarkStart w:id="2278" w:name="_Toc244601321"/>
      <w:bookmarkStart w:id="2279" w:name="_Toc244658696"/>
      <w:bookmarkStart w:id="2280" w:name="_Toc244663619"/>
      <w:bookmarkStart w:id="2281" w:name="_Toc244682996"/>
      <w:bookmarkStart w:id="2282" w:name="_Toc244922419"/>
      <w:bookmarkStart w:id="2283" w:name="_Toc244944164"/>
      <w:bookmarkStart w:id="2284" w:name="_Toc244944587"/>
      <w:bookmarkStart w:id="2285" w:name="_Toc245287602"/>
      <w:bookmarkStart w:id="2286" w:name="_Toc245288100"/>
      <w:bookmarkStart w:id="2287" w:name="_Toc245532346"/>
      <w:bookmarkStart w:id="2288" w:name="_Toc245551501"/>
      <w:bookmarkStart w:id="2289" w:name="_Toc245551648"/>
      <w:bookmarkStart w:id="2290" w:name="_Toc245609309"/>
      <w:bookmarkStart w:id="2291" w:name="_Toc245636237"/>
      <w:bookmarkStart w:id="2292" w:name="_Toc245720475"/>
      <w:bookmarkStart w:id="2293" w:name="_Toc245727967"/>
      <w:bookmarkStart w:id="2294" w:name="_Toc245790194"/>
      <w:bookmarkStart w:id="2295" w:name="_Toc245806719"/>
      <w:bookmarkStart w:id="2296" w:name="_Toc245811686"/>
      <w:bookmarkStart w:id="2297" w:name="_Toc245892843"/>
      <w:bookmarkStart w:id="2298" w:name="_Toc246153459"/>
      <w:bookmarkStart w:id="2299" w:name="_Toc246157580"/>
      <w:bookmarkStart w:id="2300" w:name="_Toc246239986"/>
      <w:bookmarkStart w:id="2301" w:name="_Toc246241659"/>
      <w:bookmarkStart w:id="2302" w:name="_Toc246243719"/>
      <w:bookmarkStart w:id="2303" w:name="_Toc246302502"/>
      <w:bookmarkStart w:id="2304" w:name="_Toc246329720"/>
      <w:bookmarkStart w:id="2305" w:name="_Toc246384936"/>
      <w:bookmarkStart w:id="2306" w:name="_Toc246409710"/>
      <w:bookmarkStart w:id="2307" w:name="_Toc246410805"/>
      <w:bookmarkStart w:id="2308" w:name="_Toc246411424"/>
      <w:bookmarkStart w:id="2309" w:name="_Toc246412443"/>
      <w:bookmarkStart w:id="2310" w:name="_Toc246470821"/>
      <w:bookmarkStart w:id="2311" w:name="_Toc246474753"/>
      <w:bookmarkStart w:id="2312" w:name="_Toc246475721"/>
      <w:bookmarkStart w:id="2313" w:name="_Toc246476413"/>
      <w:bookmarkStart w:id="2314" w:name="_Toc246760334"/>
      <w:bookmarkStart w:id="2315" w:name="_Toc246825647"/>
      <w:bookmarkStart w:id="2316" w:name="_Toc246829545"/>
      <w:bookmarkStart w:id="2317" w:name="_Toc246832966"/>
      <w:bookmarkStart w:id="2318" w:name="_Toc246930702"/>
      <w:bookmarkStart w:id="2319" w:name="_Toc246934880"/>
      <w:bookmarkStart w:id="2320" w:name="_Toc246994035"/>
      <w:bookmarkStart w:id="2321" w:name="_Toc247020656"/>
      <w:bookmarkStart w:id="2322" w:name="_Toc247099591"/>
      <w:bookmarkStart w:id="2323" w:name="_Toc247343281"/>
      <w:bookmarkStart w:id="2324" w:name="_Toc247345428"/>
      <w:bookmarkStart w:id="2325" w:name="_Toc247366081"/>
      <w:bookmarkStart w:id="2326" w:name="_Toc247425428"/>
      <w:bookmarkStart w:id="2327" w:name="_Toc247427896"/>
      <w:bookmarkStart w:id="2328" w:name="_Toc247452196"/>
      <w:bookmarkStart w:id="2329" w:name="_Toc247538355"/>
      <w:bookmarkStart w:id="2330" w:name="_Toc247606489"/>
      <w:bookmarkStart w:id="2331" w:name="_Toc247606760"/>
      <w:bookmarkStart w:id="2332" w:name="_Toc247624473"/>
      <w:bookmarkStart w:id="2333" w:name="_Toc247705649"/>
      <w:bookmarkStart w:id="2334" w:name="_Toc247971368"/>
      <w:bookmarkStart w:id="2335" w:name="_Toc248029108"/>
      <w:bookmarkStart w:id="2336" w:name="_Toc248057807"/>
      <w:r>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ScheduleHeading"/>
      </w:pPr>
      <w:bookmarkStart w:id="2337" w:name="_Toc248144628"/>
      <w:bookmarkStart w:id="2338" w:name="_Toc248202955"/>
      <w:bookmarkStart w:id="2339" w:name="_Toc248208263"/>
      <w:bookmarkStart w:id="2340" w:name="_Toc248209252"/>
      <w:bookmarkStart w:id="2341" w:name="_Toc248209322"/>
      <w:bookmarkStart w:id="2342" w:name="_Toc248217339"/>
      <w:bookmarkStart w:id="2343" w:name="_Toc248558782"/>
      <w:bookmarkStart w:id="2344" w:name="_Toc248576442"/>
      <w:bookmarkStart w:id="2345" w:name="_Toc248656272"/>
      <w:bookmarkStart w:id="2346" w:name="_Toc248657142"/>
      <w:bookmarkStart w:id="2347" w:name="_Toc248661938"/>
      <w:bookmarkStart w:id="2348" w:name="_Toc248720716"/>
      <w:bookmarkStart w:id="2349" w:name="_Toc248743653"/>
      <w:bookmarkStart w:id="2350" w:name="_Toc248753374"/>
      <w:bookmarkStart w:id="2351" w:name="_Toc248802020"/>
      <w:bookmarkStart w:id="2352" w:name="_Toc248807964"/>
      <w:bookmarkStart w:id="2353" w:name="_Toc248808808"/>
      <w:bookmarkStart w:id="2354" w:name="_Toc248809615"/>
      <w:bookmarkStart w:id="2355" w:name="_Toc248812121"/>
      <w:bookmarkStart w:id="2356" w:name="_Toc248814120"/>
      <w:bookmarkStart w:id="2357" w:name="_Toc248836696"/>
      <w:bookmarkStart w:id="2358" w:name="_Toc248890285"/>
      <w:bookmarkStart w:id="2359" w:name="_Toc248891394"/>
      <w:bookmarkStart w:id="2360" w:name="_Toc248912203"/>
      <w:bookmarkStart w:id="2361" w:name="_Toc248912300"/>
      <w:bookmarkStart w:id="2362" w:name="_Toc248915973"/>
      <w:bookmarkStart w:id="2363" w:name="_Toc248916571"/>
      <w:bookmarkStart w:id="2364" w:name="_Toc248917811"/>
      <w:bookmarkStart w:id="2365" w:name="_Toc249149604"/>
      <w:bookmarkStart w:id="2366" w:name="_Toc249152137"/>
      <w:bookmarkStart w:id="2367" w:name="_Toc249167559"/>
      <w:bookmarkStart w:id="2368" w:name="_Toc249168345"/>
      <w:bookmarkStart w:id="2369" w:name="_Toc249168796"/>
      <w:bookmarkStart w:id="2370" w:name="_Toc249177240"/>
      <w:bookmarkStart w:id="2371" w:name="_Toc249177602"/>
      <w:bookmarkStart w:id="2372" w:name="_Toc252891115"/>
      <w:bookmarkStart w:id="2373" w:name="_Toc252982348"/>
      <w:bookmarkStart w:id="2374" w:name="_Toc253046879"/>
      <w:bookmarkStart w:id="2375" w:name="_Toc253069209"/>
      <w:bookmarkStart w:id="2376" w:name="_Toc253150701"/>
      <w:bookmarkStart w:id="2377" w:name="_Toc253387237"/>
      <w:bookmarkStart w:id="2378" w:name="_Toc253387313"/>
      <w:bookmarkStart w:id="2379" w:name="_Toc253414524"/>
      <w:bookmarkStart w:id="2380" w:name="_Toc253504730"/>
      <w:bookmarkStart w:id="2381" w:name="_Toc253588253"/>
      <w:bookmarkStart w:id="2382" w:name="_Toc253659565"/>
      <w:bookmarkStart w:id="2383" w:name="_Toc253672701"/>
      <w:bookmarkStart w:id="2384" w:name="_Toc253748378"/>
      <w:bookmarkStart w:id="2385" w:name="_Toc253749469"/>
      <w:bookmarkStart w:id="2386" w:name="_Toc253749601"/>
      <w:bookmarkStart w:id="2387" w:name="_Toc253750204"/>
      <w:bookmarkStart w:id="2388" w:name="_Toc254105875"/>
      <w:bookmarkStart w:id="2389" w:name="_Toc254188680"/>
      <w:bookmarkStart w:id="2390" w:name="_Toc254190681"/>
      <w:bookmarkStart w:id="2391" w:name="_Toc254271596"/>
      <w:bookmarkStart w:id="2392" w:name="_Toc254343762"/>
      <w:bookmarkStart w:id="2393" w:name="_Toc254347698"/>
      <w:bookmarkStart w:id="2394" w:name="_Toc254358511"/>
      <w:bookmarkStart w:id="2395" w:name="_Toc254359258"/>
      <w:bookmarkStart w:id="2396" w:name="_Toc254359441"/>
      <w:bookmarkStart w:id="2397" w:name="_Toc254596321"/>
      <w:bookmarkStart w:id="2398" w:name="_Toc254596730"/>
      <w:bookmarkStart w:id="2399" w:name="_Toc254600778"/>
      <w:bookmarkStart w:id="2400" w:name="_Toc254601229"/>
      <w:bookmarkStart w:id="2401" w:name="_Toc254601301"/>
      <w:bookmarkStart w:id="2402" w:name="_Toc254601848"/>
      <w:bookmarkStart w:id="2403" w:name="_Toc254602373"/>
      <w:bookmarkStart w:id="2404" w:name="_Toc254684244"/>
      <w:bookmarkStart w:id="2405" w:name="_Toc254684316"/>
      <w:bookmarkStart w:id="2406" w:name="_Toc254686615"/>
      <w:bookmarkStart w:id="2407" w:name="_Toc254703790"/>
      <w:bookmarkStart w:id="2408" w:name="_Toc254705109"/>
      <w:bookmarkStart w:id="2409" w:name="_Toc254708310"/>
      <w:bookmarkStart w:id="2410" w:name="_Toc254772942"/>
      <w:bookmarkStart w:id="2411" w:name="_Toc254796051"/>
      <w:bookmarkStart w:id="2412" w:name="_Toc254855474"/>
      <w:bookmarkStart w:id="2413" w:name="_Toc254877562"/>
      <w:bookmarkStart w:id="2414" w:name="_Toc254881273"/>
      <w:bookmarkStart w:id="2415" w:name="_Toc254938551"/>
      <w:bookmarkStart w:id="2416" w:name="_Toc254939313"/>
      <w:bookmarkStart w:id="2417" w:name="_Toc254944178"/>
      <w:bookmarkStart w:id="2418" w:name="_Toc254944250"/>
      <w:bookmarkStart w:id="2419" w:name="_Toc254952414"/>
      <w:bookmarkStart w:id="2420" w:name="_Toc254956781"/>
      <w:bookmarkStart w:id="2421" w:name="_Toc254959185"/>
      <w:bookmarkStart w:id="2422" w:name="_Toc254959380"/>
      <w:bookmarkStart w:id="2423" w:name="_Toc256000694"/>
      <w:bookmarkStart w:id="2424" w:name="_Toc256073298"/>
      <w:bookmarkStart w:id="2425" w:name="_Toc256092798"/>
      <w:bookmarkStart w:id="2426" w:name="_Toc256150306"/>
      <w:bookmarkStart w:id="2427" w:name="_Toc256171841"/>
      <w:bookmarkStart w:id="2428" w:name="_Toc256172151"/>
      <w:bookmarkStart w:id="2429" w:name="_Toc256172510"/>
      <w:bookmarkStart w:id="2430" w:name="_Toc256172786"/>
      <w:bookmarkStart w:id="2431" w:name="_Toc256414032"/>
      <w:bookmarkStart w:id="2432" w:name="_Toc256414389"/>
      <w:bookmarkStart w:id="2433" w:name="_Toc256414743"/>
      <w:bookmarkStart w:id="2434" w:name="_Toc256414815"/>
      <w:bookmarkStart w:id="2435" w:name="_Toc256414969"/>
      <w:bookmarkStart w:id="2436" w:name="_Toc256415188"/>
      <w:bookmarkStart w:id="2437" w:name="_Toc256415357"/>
      <w:bookmarkStart w:id="2438" w:name="_Toc256415635"/>
      <w:bookmarkStart w:id="2439" w:name="_Toc256415727"/>
      <w:bookmarkStart w:id="2440" w:name="_Toc256419056"/>
      <w:bookmarkStart w:id="2441" w:name="_Toc256419630"/>
      <w:bookmarkStart w:id="2442" w:name="_Toc256419715"/>
      <w:bookmarkStart w:id="2443" w:name="_Toc256419787"/>
      <w:bookmarkStart w:id="2444" w:name="_Toc257363457"/>
      <w:bookmarkStart w:id="2445" w:name="_Toc257363541"/>
      <w:bookmarkStart w:id="2446" w:name="_Toc257366625"/>
      <w:r>
        <w:rPr>
          <w:rStyle w:val="CharSchNo"/>
        </w:rPr>
        <w:t>Schedule 2</w:t>
      </w:r>
      <w:r>
        <w:rPr>
          <w:rStyle w:val="CharSDivNo"/>
        </w:rPr>
        <w:t> </w:t>
      </w:r>
      <w:r>
        <w:t>—</w:t>
      </w:r>
      <w:r>
        <w:rPr>
          <w:rStyle w:val="CharSDivText"/>
        </w:rPr>
        <w:t> </w:t>
      </w:r>
      <w:r>
        <w:rPr>
          <w:rStyle w:val="CharSchText"/>
        </w:rPr>
        <w:t>Reference specifications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yShoulderClause"/>
      </w:pPr>
      <w:r>
        <w:t>[r. 7]</w:t>
      </w:r>
    </w:p>
    <w:p>
      <w:pPr>
        <w:pStyle w:val="yHeading5"/>
      </w:pPr>
      <w:bookmarkStart w:id="2447" w:name="_Toc256419788"/>
      <w:bookmarkStart w:id="2448" w:name="_Toc257363458"/>
      <w:bookmarkStart w:id="2449" w:name="_Toc257366626"/>
      <w:r>
        <w:rPr>
          <w:rStyle w:val="CharSClsNo"/>
        </w:rPr>
        <w:t>1</w:t>
      </w:r>
      <w:r>
        <w:t>.</w:t>
      </w:r>
      <w:r>
        <w:tab/>
        <w:t>Reference gas quality specification — the DBNGP, Mid West Pipeline and Mondarra Interconnect Pipeline</w:t>
      </w:r>
      <w:bookmarkEnd w:id="2447"/>
      <w:bookmarkEnd w:id="2448"/>
      <w:bookmarkEnd w:id="2449"/>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2450" w:name="_Toc256419789"/>
      <w:bookmarkStart w:id="2451" w:name="_Toc257363459"/>
      <w:bookmarkStart w:id="2452" w:name="_Toc257366627"/>
      <w:r>
        <w:rPr>
          <w:rStyle w:val="CharSClsNo"/>
        </w:rPr>
        <w:t>2</w:t>
      </w:r>
      <w:r>
        <w:t>.</w:t>
      </w:r>
      <w:r>
        <w:tab/>
        <w:t>Reference gas quality specification — the Parmelia Pipeline</w:t>
      </w:r>
      <w:bookmarkEnd w:id="2450"/>
      <w:bookmarkEnd w:id="2451"/>
      <w:bookmarkEnd w:id="2452"/>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2453" w:name="_Toc256419790"/>
      <w:bookmarkStart w:id="2454" w:name="_Toc257363460"/>
      <w:bookmarkStart w:id="2455" w:name="_Toc257366628"/>
      <w:r>
        <w:rPr>
          <w:rStyle w:val="CharSClsNo"/>
        </w:rPr>
        <w:t>3</w:t>
      </w:r>
      <w:r>
        <w:t>.</w:t>
      </w:r>
      <w:r>
        <w:tab/>
        <w:t>Reference gas quality specification — certain lateral pipelines</w:t>
      </w:r>
      <w:bookmarkEnd w:id="2453"/>
      <w:bookmarkEnd w:id="2454"/>
      <w:bookmarkEnd w:id="2455"/>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2456" w:name="_Toc256419791"/>
      <w:bookmarkStart w:id="2457" w:name="_Toc257363461"/>
      <w:bookmarkStart w:id="2458" w:name="_Toc257366629"/>
      <w:r>
        <w:rPr>
          <w:rStyle w:val="CharSClsNo"/>
        </w:rPr>
        <w:t>4</w:t>
      </w:r>
      <w:r>
        <w:t>.</w:t>
      </w:r>
      <w:r>
        <w:tab/>
        <w:t>Reference gas quality specification — new pipelines and extensions</w:t>
      </w:r>
      <w:bookmarkEnd w:id="2456"/>
      <w:bookmarkEnd w:id="2457"/>
      <w:bookmarkEnd w:id="2458"/>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cheduleHeading"/>
      </w:pPr>
      <w:bookmarkStart w:id="2459" w:name="_Toc248836700"/>
      <w:bookmarkStart w:id="2460" w:name="_Toc248890289"/>
      <w:bookmarkStart w:id="2461" w:name="_Toc248891398"/>
      <w:bookmarkStart w:id="2462" w:name="_Toc248912207"/>
      <w:bookmarkStart w:id="2463" w:name="_Toc248912304"/>
      <w:bookmarkStart w:id="2464" w:name="_Toc248915977"/>
      <w:bookmarkStart w:id="2465" w:name="_Toc248916575"/>
      <w:bookmarkStart w:id="2466" w:name="_Toc248917815"/>
      <w:bookmarkStart w:id="2467" w:name="_Toc249149608"/>
      <w:bookmarkStart w:id="2468" w:name="_Toc249152141"/>
      <w:bookmarkStart w:id="2469" w:name="_Toc249167563"/>
      <w:bookmarkStart w:id="2470" w:name="_Toc249168349"/>
      <w:bookmarkStart w:id="2471" w:name="_Toc249168800"/>
      <w:bookmarkStart w:id="2472" w:name="_Toc249177244"/>
      <w:bookmarkStart w:id="2473" w:name="_Toc249177606"/>
      <w:bookmarkStart w:id="2474" w:name="_Toc252891119"/>
      <w:bookmarkStart w:id="2475" w:name="_Toc252982352"/>
      <w:bookmarkStart w:id="2476" w:name="_Toc253046883"/>
      <w:bookmarkStart w:id="2477" w:name="_Toc253069214"/>
      <w:bookmarkStart w:id="2478" w:name="_Toc253150706"/>
      <w:bookmarkStart w:id="2479" w:name="_Toc253387242"/>
      <w:bookmarkStart w:id="2480" w:name="_Toc253387318"/>
      <w:bookmarkStart w:id="2481" w:name="_Toc253414529"/>
      <w:bookmarkStart w:id="2482" w:name="_Toc253504735"/>
      <w:bookmarkStart w:id="2483" w:name="_Toc253588258"/>
      <w:bookmarkStart w:id="2484" w:name="_Toc253659570"/>
      <w:bookmarkStart w:id="2485" w:name="_Toc253672706"/>
      <w:bookmarkStart w:id="2486" w:name="_Toc253748383"/>
      <w:bookmarkStart w:id="2487" w:name="_Toc253749474"/>
      <w:bookmarkStart w:id="2488" w:name="_Toc253749606"/>
      <w:bookmarkStart w:id="2489" w:name="_Toc253750209"/>
      <w:bookmarkStart w:id="2490" w:name="_Toc254105880"/>
      <w:bookmarkStart w:id="2491" w:name="_Toc254188685"/>
      <w:bookmarkStart w:id="2492" w:name="_Toc254190686"/>
      <w:bookmarkStart w:id="2493" w:name="_Toc254271601"/>
      <w:bookmarkStart w:id="2494" w:name="_Toc254343767"/>
      <w:bookmarkStart w:id="2495" w:name="_Toc254347703"/>
      <w:bookmarkStart w:id="2496" w:name="_Toc254358516"/>
      <w:bookmarkStart w:id="2497" w:name="_Toc254359263"/>
      <w:bookmarkStart w:id="2498" w:name="_Toc254359446"/>
      <w:bookmarkStart w:id="2499" w:name="_Toc254596326"/>
      <w:bookmarkStart w:id="2500" w:name="_Toc254596735"/>
      <w:bookmarkStart w:id="2501" w:name="_Toc254600783"/>
      <w:bookmarkStart w:id="2502" w:name="_Toc254601234"/>
      <w:bookmarkStart w:id="2503" w:name="_Toc254601306"/>
      <w:bookmarkStart w:id="2504" w:name="_Toc254601853"/>
      <w:bookmarkStart w:id="2505" w:name="_Toc254602378"/>
      <w:bookmarkStart w:id="2506" w:name="_Toc254684249"/>
      <w:bookmarkStart w:id="2507" w:name="_Toc254684321"/>
      <w:bookmarkStart w:id="2508" w:name="_Toc254686620"/>
      <w:bookmarkStart w:id="2509" w:name="_Toc254703795"/>
      <w:bookmarkStart w:id="2510" w:name="_Toc254705114"/>
      <w:bookmarkStart w:id="2511" w:name="_Toc254708315"/>
      <w:bookmarkStart w:id="2512" w:name="_Toc254772947"/>
      <w:bookmarkStart w:id="2513" w:name="_Toc254796056"/>
      <w:bookmarkStart w:id="2514" w:name="_Toc254855479"/>
      <w:bookmarkStart w:id="2515" w:name="_Toc254877567"/>
      <w:bookmarkStart w:id="2516" w:name="_Toc254881278"/>
      <w:bookmarkStart w:id="2517" w:name="_Toc254938556"/>
      <w:bookmarkStart w:id="2518" w:name="_Toc254939318"/>
      <w:bookmarkStart w:id="2519" w:name="_Toc254944183"/>
      <w:bookmarkStart w:id="2520" w:name="_Toc254944255"/>
      <w:bookmarkStart w:id="2521" w:name="_Toc254952419"/>
      <w:bookmarkStart w:id="2522" w:name="_Toc254956786"/>
      <w:bookmarkStart w:id="2523" w:name="_Toc254959190"/>
      <w:bookmarkStart w:id="2524" w:name="_Toc254959385"/>
      <w:bookmarkStart w:id="2525" w:name="_Toc256000699"/>
      <w:bookmarkStart w:id="2526" w:name="_Toc256073303"/>
      <w:bookmarkStart w:id="2527" w:name="_Toc256092803"/>
      <w:bookmarkStart w:id="2528" w:name="_Toc256150311"/>
      <w:bookmarkStart w:id="2529" w:name="_Toc256171846"/>
      <w:bookmarkStart w:id="2530" w:name="_Toc256172156"/>
      <w:bookmarkStart w:id="2531" w:name="_Toc256172515"/>
      <w:bookmarkStart w:id="2532" w:name="_Toc256172791"/>
      <w:bookmarkStart w:id="2533" w:name="_Toc256414037"/>
      <w:bookmarkStart w:id="2534" w:name="_Toc256414394"/>
      <w:bookmarkStart w:id="2535" w:name="_Toc256414748"/>
      <w:bookmarkStart w:id="2536" w:name="_Toc256414820"/>
      <w:bookmarkStart w:id="2537" w:name="_Toc256414974"/>
      <w:bookmarkStart w:id="2538" w:name="_Toc256415193"/>
      <w:bookmarkStart w:id="2539" w:name="_Toc256415362"/>
      <w:bookmarkStart w:id="2540" w:name="_Toc256415640"/>
      <w:bookmarkStart w:id="2541" w:name="_Toc256415732"/>
      <w:bookmarkStart w:id="2542" w:name="_Toc256419061"/>
      <w:bookmarkStart w:id="2543" w:name="_Toc256419635"/>
      <w:bookmarkStart w:id="2544" w:name="_Toc256419720"/>
      <w:bookmarkStart w:id="2545" w:name="_Toc256419792"/>
      <w:bookmarkStart w:id="2546" w:name="_Toc257363462"/>
      <w:bookmarkStart w:id="2547" w:name="_Toc257363546"/>
      <w:bookmarkStart w:id="2548" w:name="_Toc257366630"/>
      <w:r>
        <w:rPr>
          <w:rStyle w:val="CharSchNo"/>
        </w:rPr>
        <w:t>Schedule 3</w:t>
      </w:r>
      <w:r>
        <w:rPr>
          <w:rStyle w:val="CharSDivNo"/>
        </w:rPr>
        <w:t> </w:t>
      </w:r>
      <w:r>
        <w:t>—</w:t>
      </w:r>
      <w:r>
        <w:rPr>
          <w:rStyle w:val="CharSDivText"/>
        </w:rPr>
        <w:t> </w:t>
      </w:r>
      <w:r>
        <w:rPr>
          <w:rStyle w:val="CharSchText"/>
        </w:rPr>
        <w:t>Relevant sections of PIA pipelines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yShoulderClause"/>
      </w:pPr>
      <w:r>
        <w:t>[r. 17]</w:t>
      </w:r>
    </w:p>
    <w:p>
      <w:pPr>
        <w:pStyle w:val="yHeading5"/>
      </w:pPr>
      <w:bookmarkStart w:id="2549" w:name="_Toc256419793"/>
      <w:bookmarkStart w:id="2550" w:name="_Toc257363463"/>
      <w:bookmarkStart w:id="2551" w:name="_Toc257366631"/>
      <w:r>
        <w:rPr>
          <w:rStyle w:val="CharSClsNo"/>
        </w:rPr>
        <w:t>1</w:t>
      </w:r>
      <w:r>
        <w:t>.</w:t>
      </w:r>
      <w:r>
        <w:tab/>
        <w:t>Relevant sections of the DBNGP</w:t>
      </w:r>
      <w:bookmarkEnd w:id="2549"/>
      <w:bookmarkEnd w:id="2550"/>
      <w:bookmarkEnd w:id="2551"/>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KW) to Clifton Road, Bunbury (OS6</w:t>
      </w:r>
      <w:r>
        <w:noBreakHyphen/>
        <w:t>01).</w:t>
      </w:r>
    </w:p>
    <w:p>
      <w:pPr>
        <w:pStyle w:val="yHeading5"/>
      </w:pPr>
      <w:bookmarkStart w:id="2552" w:name="_Toc256419794"/>
      <w:bookmarkStart w:id="2553" w:name="_Toc257363464"/>
      <w:bookmarkStart w:id="2554" w:name="_Toc257366632"/>
      <w:r>
        <w:rPr>
          <w:rStyle w:val="CharSClsNo"/>
        </w:rPr>
        <w:t>2</w:t>
      </w:r>
      <w:r>
        <w:t>.</w:t>
      </w:r>
      <w:r>
        <w:tab/>
        <w:t>Relevant sections of other PIA pipelines</w:t>
      </w:r>
      <w:bookmarkEnd w:id="2552"/>
      <w:bookmarkEnd w:id="2553"/>
      <w:bookmarkEnd w:id="2554"/>
    </w:p>
    <w:p>
      <w:pPr>
        <w:pStyle w:val="ySubsection"/>
      </w:pPr>
      <w:r>
        <w:tab/>
      </w:r>
      <w:r>
        <w:tab/>
        <w:t>A PIA pipeline not covered by clause 1 has one relevant section, the whole length of the pipeline.</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2555" w:name="_Toc113695922"/>
    </w:p>
    <w:p>
      <w:pPr>
        <w:pStyle w:val="nHeading2"/>
      </w:pPr>
      <w:bookmarkStart w:id="2556" w:name="_Toc257366633"/>
      <w:r>
        <w:t>Notes</w:t>
      </w:r>
      <w:bookmarkEnd w:id="2555"/>
      <w:bookmarkEnd w:id="2556"/>
    </w:p>
    <w:p>
      <w:pPr>
        <w:pStyle w:val="nSubsection"/>
        <w:rPr>
          <w:snapToGrid w:val="0"/>
        </w:rPr>
      </w:pPr>
      <w:bookmarkStart w:id="2557" w:name="_Toc70311430"/>
      <w:bookmarkStart w:id="2558" w:name="_Toc113695923"/>
      <w:r>
        <w:rPr>
          <w:snapToGrid w:val="0"/>
          <w:vertAlign w:val="superscript"/>
        </w:rPr>
        <w:t>1</w:t>
      </w:r>
      <w:r>
        <w:rPr>
          <w:snapToGrid w:val="0"/>
        </w:rPr>
        <w:tab/>
        <w:t xml:space="preserve">This is a compilation of the </w:t>
      </w:r>
      <w:r>
        <w:rPr>
          <w:i/>
          <w:noProof/>
          <w:snapToGrid w:val="0"/>
        </w:rPr>
        <w:t>Gas Supply (Gas Quality Specifications) Regulations 2010</w:t>
      </w:r>
      <w:r>
        <w:rPr>
          <w:snapToGrid w:val="0"/>
        </w:rPr>
        <w:t xml:space="preserve">.  The following table contains information about those regulations. </w:t>
      </w:r>
    </w:p>
    <w:p>
      <w:pPr>
        <w:pStyle w:val="nHeading3"/>
      </w:pPr>
      <w:bookmarkStart w:id="2559" w:name="_Toc257366634"/>
      <w:r>
        <w:t>Compilation table</w:t>
      </w:r>
      <w:bookmarkEnd w:id="2557"/>
      <w:bookmarkEnd w:id="2558"/>
      <w:bookmarkEnd w:id="25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Supply (Gas Quality Specifications) Regulations 2010</w:t>
            </w:r>
          </w:p>
        </w:tc>
        <w:tc>
          <w:tcPr>
            <w:tcW w:w="1276" w:type="dxa"/>
          </w:tcPr>
          <w:p>
            <w:pPr>
              <w:pStyle w:val="nTable"/>
              <w:spacing w:after="40"/>
              <w:rPr>
                <w:sz w:val="19"/>
              </w:rPr>
            </w:pPr>
            <w:r>
              <w:rPr>
                <w:sz w:val="19"/>
              </w:rPr>
              <w:t>26 Mar 2010 p. 1191</w:t>
            </w:r>
            <w:r>
              <w:rPr>
                <w:sz w:val="19"/>
              </w:rPr>
              <w:noBreakHyphen/>
              <w:t>252</w:t>
            </w:r>
          </w:p>
        </w:tc>
        <w:tc>
          <w:tcPr>
            <w:tcW w:w="2693" w:type="dxa"/>
          </w:tcPr>
          <w:p>
            <w:pPr>
              <w:pStyle w:val="nTable"/>
              <w:spacing w:after="40"/>
              <w:rPr>
                <w:sz w:val="19"/>
              </w:rPr>
            </w:pPr>
            <w:r>
              <w:rPr>
                <w:sz w:val="19"/>
              </w:rPr>
              <w:t>27 Mar 2010 (see r. 2 and </w:t>
            </w:r>
            <w:r>
              <w:rPr>
                <w:i/>
                <w:sz w:val="19"/>
              </w:rPr>
              <w:t>Gazette</w:t>
            </w:r>
            <w:r>
              <w:rPr>
                <w:sz w:val="19"/>
              </w:rPr>
              <w:t xml:space="preserve"> 26 Mar 2010 p. 1133)</w:t>
            </w:r>
          </w:p>
        </w:tc>
      </w:tr>
    </w:tbl>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60" w:name="DefinedTerms"/>
      <w:bookmarkEnd w:id="2560"/>
      <w:r>
        <w:t>AGR off</w:t>
      </w:r>
      <w:r>
        <w:noBreakHyphen/>
        <w:t>take</w:t>
      </w:r>
      <w:r>
        <w:tab/>
        <w:t>30(2)</w:t>
      </w:r>
    </w:p>
    <w:p>
      <w:pPr>
        <w:pStyle w:val="DefinedTerms"/>
      </w:pPr>
      <w:r>
        <w:t>AS</w:t>
      </w:r>
      <w:r>
        <w:tab/>
        <w:t>3(1)</w:t>
      </w:r>
    </w:p>
    <w:p>
      <w:pPr>
        <w:pStyle w:val="DefinedTerms"/>
      </w:pPr>
      <w:r>
        <w:t>cubic metre</w:t>
      </w:r>
      <w:r>
        <w:tab/>
        <w:t>3(1)</w:t>
      </w:r>
    </w:p>
    <w:p>
      <w:pPr>
        <w:pStyle w:val="DefinedTerms"/>
      </w:pPr>
      <w:r>
        <w:t>Dampier to Bunbury Natural Gas Pipeline</w:t>
      </w:r>
      <w:r>
        <w:tab/>
        <w:t>3(1)</w:t>
      </w:r>
    </w:p>
    <w:p>
      <w:pPr>
        <w:pStyle w:val="DefinedTerms"/>
      </w:pPr>
      <w:r>
        <w:t>DBNGP</w:t>
      </w:r>
      <w:r>
        <w:tab/>
        <w:t>3(4)</w:t>
      </w:r>
    </w:p>
    <w:p>
      <w:pPr>
        <w:pStyle w:val="DefinedTerms"/>
      </w:pPr>
      <w:r>
        <w:t>decision</w:t>
      </w:r>
      <w:r>
        <w:tab/>
        <w:t>13(2)</w:t>
      </w:r>
    </w:p>
    <w:p>
      <w:pPr>
        <w:pStyle w:val="DefinedTerms"/>
      </w:pPr>
      <w:r>
        <w:t>Department</w:t>
      </w:r>
      <w:r>
        <w:tab/>
        <w:t>3(1)</w:t>
      </w:r>
    </w:p>
    <w:p>
      <w:pPr>
        <w:pStyle w:val="DefinedTerms"/>
      </w:pPr>
      <w:r>
        <w:t>facility</w:t>
      </w:r>
      <w:r>
        <w:tab/>
        <w:t>32(1)</w:t>
      </w:r>
    </w:p>
    <w:p>
      <w:pPr>
        <w:pStyle w:val="DefinedTerms"/>
      </w:pPr>
      <w:r>
        <w:t>fixed cost</w:t>
      </w:r>
      <w:r>
        <w:tab/>
        <w:t>32(1)</w:t>
      </w:r>
    </w:p>
    <w:p>
      <w:pPr>
        <w:pStyle w:val="DefinedTerms"/>
      </w:pPr>
      <w:r>
        <w:t>gas blending arrangement</w:t>
      </w:r>
      <w:r>
        <w:tab/>
        <w:t>40(4)</w:t>
      </w:r>
    </w:p>
    <w:p>
      <w:pPr>
        <w:pStyle w:val="DefinedTerms"/>
      </w:pPr>
      <w:r>
        <w:t>gas day</w:t>
      </w:r>
      <w:r>
        <w:tab/>
        <w:t>3(1)</w:t>
      </w:r>
    </w:p>
    <w:p>
      <w:pPr>
        <w:pStyle w:val="DefinedTerms"/>
      </w:pPr>
      <w:r>
        <w:t>gas facility</w:t>
      </w:r>
      <w:r>
        <w:tab/>
        <w:t>3(1)</w:t>
      </w:r>
    </w:p>
    <w:p>
      <w:pPr>
        <w:pStyle w:val="DefinedTerms"/>
      </w:pPr>
      <w:r>
        <w:t>gas transportation service</w:t>
      </w:r>
      <w:r>
        <w:tab/>
        <w:t>3(1)</w:t>
      </w:r>
    </w:p>
    <w:p>
      <w:pPr>
        <w:pStyle w:val="DefinedTerms"/>
      </w:pPr>
      <w:r>
        <w:t>GGP</w:t>
      </w:r>
      <w:r>
        <w:tab/>
        <w:t>3(4)</w:t>
      </w:r>
    </w:p>
    <w:p>
      <w:pPr>
        <w:pStyle w:val="DefinedTerms"/>
      </w:pPr>
      <w:r>
        <w:t>Goldfields Gas Pipeline</w:t>
      </w:r>
      <w:r>
        <w:tab/>
        <w:t>3(1)</w:t>
      </w:r>
    </w:p>
    <w:p>
      <w:pPr>
        <w:pStyle w:val="DefinedTerms"/>
      </w:pPr>
      <w:r>
        <w:t>higher heating value</w:t>
      </w:r>
      <w:r>
        <w:tab/>
        <w:t>3(1)</w:t>
      </w:r>
    </w:p>
    <w:p>
      <w:pPr>
        <w:pStyle w:val="DefinedTerms"/>
      </w:pPr>
      <w:r>
        <w:t>ISO</w:t>
      </w:r>
      <w:r>
        <w:tab/>
        <w:t>3(1)</w:t>
      </w:r>
    </w:p>
    <w:p>
      <w:pPr>
        <w:pStyle w:val="DefinedTerms"/>
      </w:pPr>
      <w:r>
        <w:t>lateral pipeline</w:t>
      </w:r>
      <w:r>
        <w:tab/>
        <w:t>Sch. 2, cl. 3(1)</w:t>
      </w:r>
    </w:p>
    <w:p>
      <w:pPr>
        <w:pStyle w:val="DefinedTerms"/>
      </w:pPr>
      <w:r>
        <w:t>lateral pipeline connected to the Parmelia Pipeline</w:t>
      </w:r>
      <w:r>
        <w:tab/>
        <w:t>Sch. 1, cl. 2(1)</w:t>
      </w:r>
    </w:p>
    <w:p>
      <w:pPr>
        <w:pStyle w:val="DefinedTerms"/>
      </w:pPr>
      <w:r>
        <w:t>m3</w:t>
      </w:r>
      <w:r>
        <w:tab/>
        <w:t>3(4)</w:t>
      </w:r>
    </w:p>
    <w:p>
      <w:pPr>
        <w:pStyle w:val="DefinedTerms"/>
      </w:pPr>
      <w:r>
        <w:t>Macedon inlet point</w:t>
      </w:r>
      <w:r>
        <w:tab/>
        <w:t>3(1)</w:t>
      </w:r>
    </w:p>
    <w:p>
      <w:pPr>
        <w:pStyle w:val="DefinedTerms"/>
      </w:pPr>
      <w:r>
        <w:t>Mid West Pipeline</w:t>
      </w:r>
      <w:r>
        <w:tab/>
        <w:t>3(1)</w:t>
      </w:r>
    </w:p>
    <w:p>
      <w:pPr>
        <w:pStyle w:val="DefinedTerms"/>
      </w:pPr>
      <w:r>
        <w:t>Mondarra Gas Storage Facility</w:t>
      </w:r>
      <w:r>
        <w:tab/>
        <w:t>3(1)</w:t>
      </w:r>
    </w:p>
    <w:p>
      <w:pPr>
        <w:pStyle w:val="DefinedTerms"/>
      </w:pPr>
      <w:r>
        <w:t>Mondarra Interconnect Pipeline</w:t>
      </w:r>
      <w:r>
        <w:tab/>
        <w:t>3(1)</w:t>
      </w:r>
    </w:p>
    <w:p>
      <w:pPr>
        <w:pStyle w:val="DefinedTerms"/>
      </w:pPr>
      <w:r>
        <w:t>ongoing cost</w:t>
      </w:r>
      <w:r>
        <w:tab/>
        <w:t>32(1)</w:t>
      </w:r>
    </w:p>
    <w:p>
      <w:pPr>
        <w:pStyle w:val="DefinedTerms"/>
      </w:pPr>
      <w:r>
        <w:t>OOS gas</w:t>
      </w:r>
      <w:r>
        <w:tab/>
        <w:t>32(1), 40(4)</w:t>
      </w:r>
    </w:p>
    <w:p>
      <w:pPr>
        <w:pStyle w:val="DefinedTerms"/>
      </w:pPr>
      <w:r>
        <w:t>outlet point</w:t>
      </w:r>
      <w:r>
        <w:tab/>
        <w:t>3(1)</w:t>
      </w:r>
    </w:p>
    <w:p>
      <w:pPr>
        <w:pStyle w:val="DefinedTerms"/>
      </w:pPr>
      <w:r>
        <w:t>Parmelia Pipeline</w:t>
      </w:r>
      <w:r>
        <w:tab/>
        <w:t>3(1)</w:t>
      </w:r>
    </w:p>
    <w:p>
      <w:pPr>
        <w:pStyle w:val="DefinedTerms"/>
      </w:pPr>
      <w:r>
        <w:t>Parmelia Pipeline standard specification</w:t>
      </w:r>
      <w:r>
        <w:tab/>
        <w:t>3(1)</w:t>
      </w:r>
    </w:p>
    <w:p>
      <w:pPr>
        <w:pStyle w:val="DefinedTerms"/>
      </w:pPr>
      <w:r>
        <w:t>Part 4 pipeline</w:t>
      </w:r>
      <w:r>
        <w:tab/>
        <w:t>3(1)</w:t>
      </w:r>
    </w:p>
    <w:p>
      <w:pPr>
        <w:pStyle w:val="DefinedTerms"/>
      </w:pPr>
      <w:r>
        <w:t>relevant cost</w:t>
      </w:r>
      <w:r>
        <w:tab/>
        <w:t>32(1), 34(1)</w:t>
      </w:r>
    </w:p>
    <w:p>
      <w:pPr>
        <w:pStyle w:val="DefinedTerms"/>
      </w:pPr>
      <w:r>
        <w:t>relevant section of a pipeline</w:t>
      </w:r>
      <w:r>
        <w:tab/>
        <w:t>3(1)</w:t>
      </w:r>
    </w:p>
    <w:p>
      <w:pPr>
        <w:pStyle w:val="DefinedTerms"/>
      </w:pPr>
      <w:r>
        <w:t>short</w:t>
      </w:r>
      <w:r>
        <w:noBreakHyphen/>
        <w:t>term situation</w:t>
      </w:r>
      <w:r>
        <w:tab/>
        <w:t>3(1)</w:t>
      </w:r>
    </w:p>
    <w:p>
      <w:pPr>
        <w:pStyle w:val="DefinedTerms"/>
      </w:pPr>
      <w:r>
        <w:t>system use gas</w:t>
      </w:r>
      <w:r>
        <w:tab/>
        <w:t>3(1)</w:t>
      </w:r>
    </w:p>
    <w:p>
      <w:pPr>
        <w:pStyle w:val="DefinedTerms"/>
      </w:pPr>
      <w:r>
        <w:t>time value rate</w:t>
      </w:r>
      <w:r>
        <w:tab/>
        <w:t>32(1)</w:t>
      </w:r>
    </w:p>
    <w:p>
      <w:pPr>
        <w:pStyle w:val="DefinedTerms"/>
      </w:pPr>
      <w:r>
        <w:t>TJ</w:t>
      </w:r>
      <w:r>
        <w:tab/>
        <w:t>3(4)</w:t>
      </w:r>
    </w:p>
    <w:p>
      <w:pPr>
        <w:pStyle w:val="DefinedTerms"/>
      </w:pPr>
      <w:r>
        <w:t>total of the claimable ongoing costs</w:t>
      </w:r>
      <w:r>
        <w:tab/>
        <w:t>32(1), 36(2)</w:t>
      </w:r>
    </w:p>
    <w:p>
      <w:pPr>
        <w:pStyle w:val="DefinedTerms"/>
      </w:pPr>
      <w:r>
        <w:t>Western Australian standard specification</w:t>
      </w:r>
      <w:r>
        <w:tab/>
        <w:t>3(1)</w:t>
      </w:r>
    </w:p>
    <w:p>
      <w:pPr>
        <w:pStyle w:val="DefinedTerms"/>
      </w:pPr>
      <w:r>
        <w:t>Wobbe index</w:t>
      </w:r>
      <w:r>
        <w:tab/>
        <w:t>3(1)</w:t>
      </w:r>
    </w:p>
    <w:p>
      <w:pPr>
        <w:pStyle w:val="DefinedTerms"/>
      </w:pPr>
      <w:r>
        <w:t>worst possible gas composition</w:t>
      </w:r>
      <w:r>
        <w:tab/>
        <w:t>3(1)</w:t>
      </w:r>
    </w:p>
    <w:p>
      <w:pPr>
        <w:pStyle w:val="DefinedTerms"/>
        <w:sectPr>
          <w:headerReference w:type="even" r:id="rId38"/>
          <w:headerReference w:type="default" r:id="rId39"/>
          <w:footerReference w:type="even" r:id="rId40"/>
          <w:footerReference w:type="default" r:id="rId41"/>
          <w:headerReference w:type="first" r:id="rId42"/>
          <w:foot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Supply (Gas Quality Specifications)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Supply (Gas Quality Specifications)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q">
    <w:name w:val="eq"/>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q">
    <w:name w:val="eq"/>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1.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13682</Words>
  <Characters>67591</Characters>
  <Application>Microsoft Office Word</Application>
  <DocSecurity>0</DocSecurity>
  <Lines>2048</Lines>
  <Paragraphs>1069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Gas quality and capacity of PIA pipelines</vt:lpstr>
      <vt:lpstr>        Division 1 — PIA pipelines</vt:lpstr>
      <vt:lpstr>        Division 2 — Content of pipeline impact agreements</vt:lpstr>
      <vt:lpstr>        Division 3 — Relevant effects on a PIA pipeline</vt:lpstr>
      <vt:lpstr>        Division 4 — Formation of pipeline impact agreements</vt:lpstr>
      <vt:lpstr>    Part 3 — Modifying gas contracts</vt:lpstr>
      <vt:lpstr>    Part 4 — Compensation</vt:lpstr>
      <vt:lpstr>        Division 1 — Preliminary</vt:lpstr>
      <vt:lpstr>        Division 2 — Entitlement and liability to compensation</vt:lpstr>
      <vt:lpstr>        Division 3 — Extent to which relevant costs compensable</vt:lpstr>
      <vt:lpstr>    Part 5 — Dispute resolution</vt:lpstr>
      <vt:lpstr>Schedule 1 — Standard gas quality specifications for gas transmission pipelines</vt:lpstr>
      <vt:lpstr>    Schedule 2 — Reference specifications</vt:lpstr>
      <vt:lpstr>    Schedule 3 — Relevant sections of PIA pipelines</vt:lpstr>
      <vt:lpstr>    Notes</vt:lpstr>
      <vt:lpstr>    Defined Terms</vt:lpstr>
    </vt:vector>
  </TitlesOfParts>
  <Manager/>
  <Company/>
  <LinksUpToDate>false</LinksUpToDate>
  <CharactersWithSpaces>80204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2010 - 00-a0-01</dc:title>
  <dc:subject/>
  <dc:creator/>
  <cp:keywords/>
  <dc:description/>
  <cp:lastModifiedBy>svcMRProcess</cp:lastModifiedBy>
  <cp:revision>4</cp:revision>
  <cp:lastPrinted>2010-03-15T00:40:00Z</cp:lastPrinted>
  <dcterms:created xsi:type="dcterms:W3CDTF">2020-02-20T09:47:00Z</dcterms:created>
  <dcterms:modified xsi:type="dcterms:W3CDTF">2020-02-20T09:47:00Z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CommencementDate">
    <vt:lpwstr>20100327</vt:lpwstr>
  </property>
  <property fmtid="{D5CDD505-2E9C-101B-9397-08002B2CF9AE}" pid="4" name="DocumentType">
    <vt:lpwstr>Reg</vt:lpwstr>
  </property>
  <property fmtid="{D5CDD505-2E9C-101B-9397-08002B2CF9AE}" pid="5" name="AsAtDate">
    <vt:lpwstr>27 Mar 2010</vt:lpwstr>
  </property>
  <property fmtid="{D5CDD505-2E9C-101B-9397-08002B2CF9AE}" pid="6" name="Suffix">
    <vt:lpwstr>00-a0-01</vt:lpwstr>
  </property>
  <property fmtid="{D5CDD505-2E9C-101B-9397-08002B2CF9AE}" pid="7" name="OwlsUID">
    <vt:i4>42053</vt:i4>
  </property>
</Properties>
</file>