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British Imperial Oil Company, Limited (Private) Act 1925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British Imperial Oil Company, Limited (Private) Act 1925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_Toc415056211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_Toc415056212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the Act</w:t>
      </w:r>
      <w:r>
        <w:tab/>
      </w:r>
      <w:r>
        <w:fldChar w:fldCharType="begin"/>
      </w:r>
      <w:r>
        <w:instrText xml:space="preserve"> PAGEREF _Toc415056213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construct works</w:t>
      </w:r>
      <w:r>
        <w:tab/>
      </w:r>
      <w:r>
        <w:fldChar w:fldCharType="begin"/>
      </w:r>
      <w:r>
        <w:instrText xml:space="preserve"> PAGEREF _Toc415056214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_Toc415056215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_Toc415056216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_Toc415056217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_Toc415056218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_Toc415056219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_Toc415056220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_Toc415056221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_Toc415056222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_Toc415056223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_Toc415056224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a public Act</w:t>
      </w:r>
      <w:r>
        <w:tab/>
      </w:r>
      <w:r>
        <w:fldChar w:fldCharType="begin"/>
      </w:r>
      <w:r>
        <w:instrText xml:space="preserve"> PAGEREF _Toc415056225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_Toc415056226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Voidance of Act on default of commencement of works</w:t>
      </w:r>
      <w:r>
        <w:tab/>
      </w:r>
      <w:r>
        <w:fldChar w:fldCharType="begin"/>
      </w:r>
      <w:r>
        <w:instrText xml:space="preserve"> PAGEREF _Toc415056227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_Toc415056229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British Imperial Oil Company, Limited (Private) Act 1925 </w:t>
      </w:r>
    </w:p>
    <w:p>
      <w:pPr>
        <w:pStyle w:val="LongTitle"/>
        <w:rPr>
          <w:snapToGrid w:val="0"/>
        </w:rPr>
      </w:pPr>
      <w:r>
        <w:rPr>
          <w:snapToGrid w:val="0"/>
        </w:rPr>
        <w:t xml:space="preserve">An Act to grant to the British Imperial Oil Company, Limited, powers and provisions for the storage and supply of oil, liquid fuel, petroleum spirits, kerosene and petroleum products, and for other purposes. </w:t>
      </w:r>
    </w:p>
    <w:p>
      <w:pPr>
        <w:pStyle w:val="Preamble1"/>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liquid fuel, petroleum spirits, kerosene and petroleum products within the area hereinafter defined would be of public and local advantage:  And whereas The British Imperial Oil Company, Limited, duly formed and registered as a limited company under the Companies Acts in England, is seized and possessed of or entitled to use and possession of North Fremantle Town Lots 39, 40, 41, 43, 46, part of Lots 45, 47 and 176, and may hereafter acquire other lands within the limits hereinafter mentioned, and is willing and proposes at its own expense to construct and erect thereon the necessary storage tanks, reservoirs, and works for the storage, supply, and distribution of oil, liquid fuel, petroleum spirits, kerosene and petroleum products: And whereas it is desirable and expedient to grant to and confer upon the said company the powers, rights, and privileges hereinafter appearing:</w:t>
      </w:r>
    </w:p>
    <w:p>
      <w:pPr>
        <w:pStyle w:val="Enactment"/>
        <w:spacing w:before="24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063742"/>
      <w:bookmarkStart w:id="4" w:name="_Toc41505621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British Imperial Oil Company, Limited (Private) Act 1925</w:t>
      </w:r>
      <w:r>
        <w:rPr>
          <w:snapToGrid w:val="0"/>
          <w:vertAlign w:val="superscript"/>
        </w:rPr>
        <w:t> 1</w:t>
      </w:r>
      <w:r>
        <w:rPr>
          <w:snapToGrid w:val="0"/>
        </w:rPr>
        <w:t>.</w:t>
      </w:r>
    </w:p>
    <w:p>
      <w:pPr>
        <w:pStyle w:val="Heading5"/>
        <w:rPr>
          <w:snapToGrid w:val="0"/>
        </w:rPr>
      </w:pPr>
      <w:bookmarkStart w:id="5" w:name="_Toc378063743"/>
      <w:bookmarkStart w:id="6" w:name="_Toc415056212"/>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British Imperial Oil Company, Limited, and shall include its assigns:</w:t>
      </w:r>
    </w:p>
    <w:p>
      <w:pPr>
        <w:pStyle w:val="Defstart"/>
      </w:pPr>
      <w:r>
        <w:rPr>
          <w:b/>
        </w:rPr>
        <w:tab/>
      </w:r>
      <w:r>
        <w:rPr>
          <w:rStyle w:val="CharDefText"/>
        </w:rPr>
        <w:t>Undertaking</w:t>
      </w:r>
      <w:r>
        <w:t xml:space="preserve"> means the storage, supply, and distribution of oil, liquid fuel, petroleum spirit, kerosene and petroleum products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Crown lands</w:t>
      </w:r>
      <w:r>
        <w:t xml:space="preserve"> includes land vested in the Minister for Lands </w:t>
      </w:r>
      <w:r>
        <w:rPr>
          <w:vertAlign w:val="superscript"/>
        </w:rPr>
        <w:t>2</w:t>
      </w:r>
      <w:r>
        <w:t xml:space="preserve"> or any other Minister or person on behalf of the Crown:</w:t>
      </w:r>
    </w:p>
    <w:p>
      <w:pPr>
        <w:pStyle w:val="Defstart"/>
      </w:pPr>
      <w:r>
        <w:rPr>
          <w:b/>
        </w:rPr>
        <w:tab/>
      </w:r>
      <w:r>
        <w:rPr>
          <w:rStyle w:val="CharDefText"/>
        </w:rPr>
        <w:t>Street</w:t>
      </w:r>
      <w:r>
        <w:t xml:space="preserve"> includes any street, highway, land, public road, thoroughfare, passage, footpath, pavement, or place within the area hereinafter defined:</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Wharf</w:t>
      </w:r>
      <w:r>
        <w:t xml:space="preserve"> includes any wharf, dock, quay, jetty, landing stage, or other landing place and approaches thereto:</w:t>
      </w:r>
    </w:p>
    <w:p>
      <w:pPr>
        <w:pStyle w:val="Defstart"/>
      </w:pPr>
      <w:r>
        <w:rPr>
          <w:b/>
        </w:rPr>
        <w:tab/>
      </w:r>
      <w:r>
        <w:rPr>
          <w:rStyle w:val="CharDefText"/>
        </w:rPr>
        <w:t>Works</w:t>
      </w:r>
      <w:r>
        <w:t xml:space="preserve"> means all buildings, erections, storage tanks, reservoirs, works, plant, machinery, apparatus, pipes, mains, connections, and all other works connected with and incidental to the undertaking, or by this Act or in any other way authorised to be constructed or undertaken by the company:</w:t>
      </w:r>
    </w:p>
    <w:p>
      <w:pPr>
        <w:pStyle w:val="Defstart"/>
      </w:pPr>
      <w:r>
        <w:rPr>
          <w:b/>
        </w:rPr>
        <w:tab/>
      </w:r>
      <w:r>
        <w:rPr>
          <w:rStyle w:val="CharDefText"/>
        </w:rPr>
        <w:t>Local authority</w:t>
      </w:r>
      <w:r>
        <w:t xml:space="preserve"> means within their respective jurisdictions the Mayor and Councillors of the Municipality of North Fremantle</w:t>
      </w:r>
      <w:r>
        <w:rPr>
          <w:vertAlign w:val="superscript"/>
        </w:rPr>
        <w:t> 3</w:t>
      </w:r>
      <w:r>
        <w:t>, the Public Transport Authority of Western Australia, and the Fremantle Port Authority</w:t>
      </w:r>
      <w:r>
        <w:rPr>
          <w:vertAlign w:val="superscript"/>
        </w:rPr>
        <w:t> 4</w:t>
      </w:r>
      <w:r>
        <w:t>.</w:t>
      </w:r>
    </w:p>
    <w:p>
      <w:pPr>
        <w:pStyle w:val="Footnotesection"/>
      </w:pPr>
      <w:r>
        <w:tab/>
        <w:t>[Section 2 amended: No. 31 of 2003 s. 144(2).]</w:t>
      </w:r>
    </w:p>
    <w:p>
      <w:pPr>
        <w:pStyle w:val="Heading5"/>
        <w:rPr>
          <w:snapToGrid w:val="0"/>
        </w:rPr>
      </w:pPr>
      <w:bookmarkStart w:id="7" w:name="_Toc378063744"/>
      <w:bookmarkStart w:id="8" w:name="_Toc415056213"/>
      <w:r>
        <w:rPr>
          <w:rStyle w:val="CharSectno"/>
        </w:rPr>
        <w:t>3</w:t>
      </w:r>
      <w:r>
        <w:rPr>
          <w:snapToGrid w:val="0"/>
        </w:rPr>
        <w:t>.</w:t>
      </w:r>
      <w:r>
        <w:rPr>
          <w:snapToGrid w:val="0"/>
        </w:rPr>
        <w:tab/>
        <w:t>Limits of the Act</w:t>
      </w:r>
      <w:bookmarkEnd w:id="7"/>
      <w:bookmarkEnd w:id="8"/>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North Fremantle </w:t>
      </w:r>
      <w:r>
        <w:rPr>
          <w:snapToGrid w:val="0"/>
          <w:vertAlign w:val="superscript"/>
        </w:rPr>
        <w:t>3</w:t>
      </w:r>
      <w:r>
        <w:rPr>
          <w:snapToGrid w:val="0"/>
        </w:rPr>
        <w:t xml:space="preserve">, and also so much of the area of the lands and property vested in the Fremantle Port Authority as is contained within the inner harbour in the description of the Port of Fremantle under the </w:t>
      </w:r>
      <w:r>
        <w:rPr>
          <w:i/>
          <w:snapToGrid w:val="0"/>
        </w:rPr>
        <w:t>Port Authorities Act 1999</w:t>
      </w:r>
      <w:r>
        <w:rPr>
          <w:snapToGrid w:val="0"/>
        </w:rPr>
        <w:t xml:space="preserve">, or which may hereafter be vested in, acquired, or held by, or may be placed or be in the custody, possession, or control of, or over which the Fremantle Port Authority may exercise authority or dominion, and also so much of the area of any Crown lands or lands </w:t>
      </w:r>
      <w:r>
        <w:t>that belong to, or are under the care, control, or management of, the Public Transport Authority of Western Australia</w:t>
      </w:r>
      <w:r>
        <w:rPr>
          <w:snapToGrid w:val="0"/>
        </w:rPr>
        <w:t xml:space="preserve"> as adjoins or abuts on the lands and property of the Fremantle Port Authority above described, or lies between the same lands and property and the boundaries of the Municipality of North Fremantle </w:t>
      </w:r>
      <w:r>
        <w:rPr>
          <w:snapToGrid w:val="0"/>
          <w:vertAlign w:val="superscript"/>
        </w:rPr>
        <w:t>3</w:t>
      </w:r>
      <w:r>
        <w:rPr>
          <w:snapToGrid w:val="0"/>
        </w:rPr>
        <w:t>.</w:t>
      </w:r>
    </w:p>
    <w:p>
      <w:pPr>
        <w:pStyle w:val="Footnotesection"/>
      </w:pPr>
      <w:r>
        <w:tab/>
        <w:t>[Section 3 amended: No. 5 of 1999 s. 21; No. 31 of 2003 s. 144(3); No. 74 of 2003 s. 30.]</w:t>
      </w:r>
    </w:p>
    <w:p>
      <w:pPr>
        <w:pStyle w:val="Heading5"/>
        <w:rPr>
          <w:snapToGrid w:val="0"/>
        </w:rPr>
      </w:pPr>
      <w:bookmarkStart w:id="9" w:name="_Toc378063745"/>
      <w:bookmarkStart w:id="10" w:name="_Toc415056214"/>
      <w:r>
        <w:rPr>
          <w:rStyle w:val="CharSectno"/>
        </w:rPr>
        <w:t>4</w:t>
      </w:r>
      <w:r>
        <w:rPr>
          <w:snapToGrid w:val="0"/>
        </w:rPr>
        <w:t>.</w:t>
      </w:r>
      <w:r>
        <w:rPr>
          <w:snapToGrid w:val="0"/>
        </w:rPr>
        <w:tab/>
        <w:t>Power to construct works</w:t>
      </w:r>
      <w:bookmarkEnd w:id="9"/>
      <w:bookmarkEnd w:id="10"/>
      <w:r>
        <w:rPr>
          <w:snapToGrid w:val="0"/>
        </w:rPr>
        <w:t xml:space="preserve"> </w:t>
      </w:r>
    </w:p>
    <w:p>
      <w:pPr>
        <w:pStyle w:val="Subsection"/>
        <w:keepNext/>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liquid fuel, petroleum spirits, kerosene and petroleum products in or under any street, or in or under any Crown lands, or in or under any railway or wharf;</w:t>
      </w:r>
    </w:p>
    <w:p>
      <w:pPr>
        <w:pStyle w:val="Indenta"/>
        <w:rPr>
          <w:snapToGrid w:val="0"/>
        </w:rPr>
      </w:pPr>
      <w:r>
        <w:rPr>
          <w:snapToGrid w:val="0"/>
        </w:rPr>
        <w:tab/>
        <w:t>(b)</w:t>
      </w:r>
      <w:r>
        <w:rPr>
          <w:snapToGrid w:val="0"/>
        </w:rPr>
        <w:tab/>
        <w:t>open, break up, and interfere with any Crown lands, street, railway, or wharf, and any sewer, water pipe, drain, or tunnel within or under any Crown lands, street, railway, or wharf, and may lay down and place in, on, or under any Crown lands, street, railway, or wharf, mains, conduits, service pipes, and other works for the supply and distribution of oil, liquid fuel, petroleum spirits, kerosene and petroleum products, and also may from time to time repair, alter, or remove the same, and for the purposes aforesaid may remove or use all earth and material in or under such Crown lands, street, railway, or wharf;</w:t>
      </w:r>
    </w:p>
    <w:p>
      <w:pPr>
        <w:pStyle w:val="Indenta"/>
        <w:rPr>
          <w:snapToGrid w:val="0"/>
        </w:rPr>
      </w:pPr>
      <w:r>
        <w:rPr>
          <w:snapToGrid w:val="0"/>
        </w:rPr>
        <w:tab/>
      </w:r>
      <w:r>
        <w:rPr>
          <w:snapToGrid w:val="0"/>
        </w:rPr>
        <w:tab/>
        <w:t>Provided that the power to open, break up, or interfere with any Crown lands, railway or wharf shall not be exercised without the consent of the Minister </w:t>
      </w:r>
      <w:r>
        <w:rPr>
          <w:snapToGrid w:val="0"/>
          <w:vertAlign w:val="superscript"/>
        </w:rPr>
        <w:t>5</w:t>
      </w:r>
      <w:r>
        <w:rPr>
          <w:snapToGrid w:val="0"/>
        </w:rPr>
        <w:t xml:space="preserve"> administering the Land Acts or the </w:t>
      </w:r>
      <w:r>
        <w:rPr>
          <w:i/>
          <w:snapToGrid w:val="0"/>
        </w:rPr>
        <w:t>Government Railways Act 1904</w:t>
      </w:r>
      <w:r>
        <w:rPr>
          <w:snapToGrid w:val="0"/>
        </w:rPr>
        <w:t>, or the</w:t>
      </w:r>
      <w:r>
        <w:rPr>
          <w:i/>
          <w:snapToGrid w:val="0"/>
        </w:rPr>
        <w:t xml:space="preserve"> Port Authorities Act 1999</w:t>
      </w:r>
      <w:r>
        <w:rPr>
          <w:snapToGrid w:val="0"/>
        </w:rPr>
        <w:t>, respectively, subject to such conditions as the Minister </w:t>
      </w:r>
      <w:r>
        <w:rPr>
          <w:snapToGrid w:val="0"/>
          <w:vertAlign w:val="superscript"/>
        </w:rPr>
        <w:t>5</w:t>
      </w:r>
      <w:r>
        <w:rPr>
          <w:snapToGrid w:val="0"/>
        </w:rPr>
        <w:t xml:space="preserve">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r>
        <w:rPr>
          <w:snapToGrid w:val="0"/>
          <w:vertAlign w:val="superscript"/>
        </w:rPr>
        <w:t> 6</w:t>
      </w:r>
      <w:r>
        <w:rPr>
          <w:snapToGrid w:val="0"/>
        </w:rPr>
        <w:t>.</w:t>
      </w:r>
    </w:p>
    <w:p>
      <w:pPr>
        <w:pStyle w:val="Footnotesection"/>
      </w:pPr>
      <w:r>
        <w:tab/>
        <w:t>[Section 4 amended: No. 5 of 1999 s. 21.]</w:t>
      </w:r>
    </w:p>
    <w:p>
      <w:pPr>
        <w:pStyle w:val="Heading5"/>
        <w:rPr>
          <w:snapToGrid w:val="0"/>
        </w:rPr>
      </w:pPr>
      <w:bookmarkStart w:id="11" w:name="_Toc378063746"/>
      <w:bookmarkStart w:id="12" w:name="_Toc415056215"/>
      <w:r>
        <w:rPr>
          <w:rStyle w:val="CharSectno"/>
        </w:rPr>
        <w:t>5</w:t>
      </w:r>
      <w:r>
        <w:rPr>
          <w:snapToGrid w:val="0"/>
        </w:rPr>
        <w:t>.</w:t>
      </w:r>
      <w:r>
        <w:rPr>
          <w:snapToGrid w:val="0"/>
        </w:rPr>
        <w:tab/>
        <w:t>Notice to be served and plan deposited before breaking up streets, etc.</w:t>
      </w:r>
      <w:bookmarkEnd w:id="11"/>
      <w:bookmarkEnd w:id="12"/>
      <w:r>
        <w:rPr>
          <w:snapToGrid w:val="0"/>
        </w:rPr>
        <w:t xml:space="preserve"> </w:t>
      </w:r>
    </w:p>
    <w:p>
      <w:pPr>
        <w:pStyle w:val="Subsection"/>
        <w:rPr>
          <w:snapToGrid w:val="0"/>
        </w:rPr>
      </w:pPr>
      <w:r>
        <w:rPr>
          <w:snapToGrid w:val="0"/>
        </w:rPr>
        <w:tab/>
      </w:r>
      <w:r>
        <w:rPr>
          <w:snapToGrid w:val="0"/>
        </w:rPr>
        <w:tab/>
        <w:t xml:space="preserve">Before the company proceeds to open, break up, or interfere with any Crown lands, street, railway, or wharf, sewer, water pipe, drain, or tunnel it shall give to the Minister or to the local authority concerned notice in writing of its intention so to do not less than 3 clear days before commencing such work, and shall at the same time deposit with the Minister or local authority a plan setting forth the extent to, and the manner in which, it proposes to carry out such work, and the time at which it is intended to commence the same, and (except as hereinafter provided) no Crown lands, street, railway, or wharf, sewer, water pipe, drain, or tunnel shall be opened, broken up, or interfered with unless under the superintendence of the Minister or local authority, and in accordance with the plan deposited as aforesaid: </w:t>
      </w:r>
    </w:p>
    <w:p>
      <w:pPr>
        <w:pStyle w:val="Subsection"/>
        <w:rPr>
          <w:snapToGrid w:val="0"/>
        </w:rPr>
      </w:pPr>
      <w:r>
        <w:rPr>
          <w:snapToGrid w:val="0"/>
        </w:rPr>
        <w:tab/>
      </w:r>
      <w:r>
        <w:rPr>
          <w:snapToGrid w:val="0"/>
        </w:rPr>
        <w:tab/>
        <w:t xml:space="preserve">Provided always that if no officer appointed by the Minister or local authority attends at the time fixed in such notice and remains during the opening, breaking up, or interference with any street, railway, or wharf, sewer, water pipe, drain, or tunnel, the company may perform the work specified in such notice and set out in such plan without such superintendence: </w:t>
      </w:r>
    </w:p>
    <w:p>
      <w:pPr>
        <w:pStyle w:val="Subsection"/>
        <w:rPr>
          <w:snapToGrid w:val="0"/>
        </w:rPr>
      </w:pPr>
      <w:r>
        <w:rPr>
          <w:snapToGrid w:val="0"/>
        </w:rPr>
        <w:tab/>
      </w:r>
      <w:r>
        <w:rPr>
          <w:snapToGrid w:val="0"/>
        </w:rPr>
        <w:tab/>
        <w:t>Provided, further, that in cases of emergency arising from accidents to or defects in the works necessitating the opening, breaking up of or interference with any street, railway, or wharf, sewer, water pipe,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13" w:name="_Toc378063747"/>
      <w:bookmarkStart w:id="14" w:name="_Toc415056216"/>
      <w:r>
        <w:rPr>
          <w:rStyle w:val="CharSectno"/>
        </w:rPr>
        <w:t>6</w:t>
      </w:r>
      <w:r>
        <w:rPr>
          <w:snapToGrid w:val="0"/>
        </w:rPr>
        <w:t>.</w:t>
      </w:r>
      <w:r>
        <w:rPr>
          <w:snapToGrid w:val="0"/>
        </w:rPr>
        <w:tab/>
        <w:t>Streets, etc., broken up to be reinstated without delay</w:t>
      </w:r>
      <w:bookmarkEnd w:id="13"/>
      <w:bookmarkEnd w:id="14"/>
      <w:r>
        <w:rPr>
          <w:snapToGrid w:val="0"/>
        </w:rPr>
        <w:t xml:space="preserve"> </w:t>
      </w:r>
    </w:p>
    <w:p>
      <w:pPr>
        <w:pStyle w:val="Subsection"/>
        <w:rPr>
          <w:snapToGrid w:val="0"/>
        </w:rPr>
      </w:pPr>
      <w:r>
        <w:rPr>
          <w:snapToGrid w:val="0"/>
        </w:rPr>
        <w:tab/>
      </w:r>
      <w:r>
        <w:rPr>
          <w:snapToGrid w:val="0"/>
        </w:rPr>
        <w:tab/>
        <w:t>Whenever the company opens, breaks up, or interferes with any Crown lands, street, railway, or wharf, sewer, water pipe, drain, or tunnel, it shall with all convenient speed complete the work and fill in the ground and reinstate and make good the same to the satisfaction of the Minister or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Minister or the local authority, keep so much of any street, railway, or wharf as has been opened, broken up, or interfered with in good repair for 6 months after replacing and making good the same.</w:t>
      </w:r>
    </w:p>
    <w:p>
      <w:pPr>
        <w:pStyle w:val="Heading5"/>
        <w:rPr>
          <w:snapToGrid w:val="0"/>
        </w:rPr>
      </w:pPr>
      <w:bookmarkStart w:id="15" w:name="_Toc378063748"/>
      <w:bookmarkStart w:id="16" w:name="_Toc415056217"/>
      <w:r>
        <w:rPr>
          <w:rStyle w:val="CharSectno"/>
        </w:rPr>
        <w:t>7</w:t>
      </w:r>
      <w:r>
        <w:rPr>
          <w:snapToGrid w:val="0"/>
        </w:rPr>
        <w:t>.</w:t>
      </w:r>
      <w:r>
        <w:rPr>
          <w:snapToGrid w:val="0"/>
        </w:rPr>
        <w:tab/>
        <w:t>Penalty for breaking up without notice or delay in reinstating</w:t>
      </w:r>
      <w:bookmarkEnd w:id="15"/>
      <w:bookmarkEnd w:id="16"/>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$100 for every such offence, and an additional penalty of $4 for each day during which any such neglect, omission, or delay shall continue after notice thereof by the Minister or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No. 113 of 1965 s. 8(1).]</w:t>
      </w:r>
    </w:p>
    <w:p>
      <w:pPr>
        <w:pStyle w:val="Heading5"/>
        <w:rPr>
          <w:snapToGrid w:val="0"/>
        </w:rPr>
      </w:pPr>
      <w:bookmarkStart w:id="17" w:name="_Toc378063749"/>
      <w:bookmarkStart w:id="18" w:name="_Toc415056218"/>
      <w:r>
        <w:rPr>
          <w:rStyle w:val="CharSectno"/>
        </w:rPr>
        <w:t>8</w:t>
      </w:r>
      <w:r>
        <w:rPr>
          <w:snapToGrid w:val="0"/>
        </w:rPr>
        <w:t>.</w:t>
      </w:r>
      <w:r>
        <w:rPr>
          <w:snapToGrid w:val="0"/>
        </w:rPr>
        <w:tab/>
        <w:t>In cases of delay other parties may reinstate and recover expenses</w:t>
      </w:r>
      <w:bookmarkEnd w:id="17"/>
      <w:bookmarkEnd w:id="18"/>
      <w:r>
        <w:rPr>
          <w:snapToGrid w:val="0"/>
        </w:rPr>
        <w:t xml:space="preserve"> </w:t>
      </w:r>
    </w:p>
    <w:p>
      <w:pPr>
        <w:pStyle w:val="Subsection"/>
        <w:rPr>
          <w:snapToGrid w:val="0"/>
        </w:rPr>
      </w:pPr>
      <w:r>
        <w:rPr>
          <w:snapToGrid w:val="0"/>
        </w:rPr>
        <w:tab/>
      </w:r>
      <w:r>
        <w:rPr>
          <w:snapToGrid w:val="0"/>
        </w:rPr>
        <w:tab/>
        <w:t>If any such delay, neglect, or omission as aforesaid take place, the Minister or local authority may cause the work so delayed, neglected, or omitted, to be executed and performed, and all expenses so incurred shall be repaid to such Minister or local authority by the company:</w:t>
      </w:r>
    </w:p>
    <w:p>
      <w:pPr>
        <w:pStyle w:val="Subsection"/>
        <w:rPr>
          <w:snapToGrid w:val="0"/>
        </w:rPr>
      </w:pPr>
      <w:r>
        <w:rPr>
          <w:snapToGrid w:val="0"/>
        </w:rPr>
        <w:tab/>
      </w:r>
      <w:r>
        <w:rPr>
          <w:snapToGrid w:val="0"/>
        </w:rPr>
        <w:tab/>
        <w:t>Provided that nothing in this section contained shall render it compulsory for the Minister or local authority to execute or perform any such work, or render it liable for delay, neglect, or failure so to do.</w:t>
      </w:r>
    </w:p>
    <w:p>
      <w:pPr>
        <w:pStyle w:val="Heading5"/>
        <w:rPr>
          <w:snapToGrid w:val="0"/>
        </w:rPr>
      </w:pPr>
      <w:bookmarkStart w:id="19" w:name="_Toc378063750"/>
      <w:bookmarkStart w:id="20" w:name="_Toc415056219"/>
      <w:r>
        <w:rPr>
          <w:rStyle w:val="CharSectno"/>
        </w:rPr>
        <w:t>9</w:t>
      </w:r>
      <w:r>
        <w:rPr>
          <w:snapToGrid w:val="0"/>
        </w:rPr>
        <w:t>.</w:t>
      </w:r>
      <w:r>
        <w:rPr>
          <w:snapToGrid w:val="0"/>
        </w:rPr>
        <w:tab/>
        <w:t>Company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21" w:name="_Toc378063751"/>
      <w:bookmarkStart w:id="22" w:name="_Toc415056220"/>
      <w:r>
        <w:rPr>
          <w:rStyle w:val="CharSectno"/>
        </w:rPr>
        <w:t>10</w:t>
      </w:r>
      <w:r>
        <w:rPr>
          <w:snapToGrid w:val="0"/>
        </w:rPr>
        <w:t>.</w:t>
      </w:r>
      <w:r>
        <w:rPr>
          <w:snapToGrid w:val="0"/>
        </w:rPr>
        <w:tab/>
        <w:t>Power to local authority to alter situation of pipes, etc.</w:t>
      </w:r>
      <w:bookmarkEnd w:id="21"/>
      <w:bookmarkEnd w:id="22"/>
      <w:r>
        <w:rPr>
          <w:snapToGrid w:val="0"/>
        </w:rPr>
        <w:t xml:space="preserve"> </w:t>
      </w:r>
    </w:p>
    <w:p>
      <w:pPr>
        <w:pStyle w:val="Subsection"/>
        <w:rPr>
          <w:snapToGrid w:val="0"/>
        </w:rPr>
      </w:pPr>
      <w:r>
        <w:rPr>
          <w:snapToGrid w:val="0"/>
        </w:rPr>
        <w:tab/>
      </w:r>
      <w:r>
        <w:rPr>
          <w:snapToGrid w:val="0"/>
        </w:rPr>
        <w:tab/>
        <w:t xml:space="preserve">If at any time the Minister or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a reasonable time after being required so to do by notice in writing, raise, sink, or otherwise alter the situation of such works accordingly, and in default it shall be lawful for the Minister 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Minister or the local authority: </w:t>
      </w:r>
    </w:p>
    <w:p>
      <w:pPr>
        <w:pStyle w:val="Subsection"/>
        <w:rPr>
          <w:snapToGrid w:val="0"/>
        </w:rPr>
      </w:pPr>
      <w:r>
        <w:rPr>
          <w:snapToGrid w:val="0"/>
        </w:rPr>
        <w:tab/>
      </w:r>
      <w:r>
        <w:rPr>
          <w:snapToGrid w:val="0"/>
        </w:rPr>
        <w:tab/>
        <w:t>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23" w:name="_Toc378063752"/>
      <w:bookmarkStart w:id="24" w:name="_Toc415056221"/>
      <w:r>
        <w:rPr>
          <w:rStyle w:val="CharSectno"/>
        </w:rPr>
        <w:t>11</w:t>
      </w:r>
      <w:r>
        <w:rPr>
          <w:snapToGrid w:val="0"/>
        </w:rPr>
        <w:t>.</w:t>
      </w:r>
      <w:r>
        <w:rPr>
          <w:snapToGrid w:val="0"/>
        </w:rPr>
        <w:tab/>
        <w:t>Penalties</w:t>
      </w:r>
      <w:bookmarkEnd w:id="23"/>
      <w:bookmarkEnd w:id="2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liquid fuel, petroleum spirits, kerosene or petroleum products supplied; or</w:t>
      </w:r>
    </w:p>
    <w:p>
      <w:pPr>
        <w:pStyle w:val="Indenta"/>
        <w:rPr>
          <w:snapToGrid w:val="0"/>
        </w:rPr>
      </w:pPr>
      <w:r>
        <w:rPr>
          <w:snapToGrid w:val="0"/>
        </w:rPr>
        <w:tab/>
        <w:t>(d)</w:t>
      </w:r>
      <w:r>
        <w:rPr>
          <w:snapToGrid w:val="0"/>
        </w:rPr>
        <w:tab/>
        <w:t>erects or keeps erected any apparatus or fitting whereby oil, liquid fuel, petroleum spirits, kerosene or petroleum products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No. 113 of 1965 s. 8(1).]</w:t>
      </w:r>
    </w:p>
    <w:p>
      <w:pPr>
        <w:pStyle w:val="Heading5"/>
        <w:rPr>
          <w:snapToGrid w:val="0"/>
        </w:rPr>
      </w:pPr>
      <w:bookmarkStart w:id="25" w:name="_Toc378063753"/>
      <w:bookmarkStart w:id="26" w:name="_Toc415056222"/>
      <w:r>
        <w:rPr>
          <w:rStyle w:val="CharSectno"/>
        </w:rPr>
        <w:t>12</w:t>
      </w:r>
      <w:r>
        <w:rPr>
          <w:snapToGrid w:val="0"/>
        </w:rPr>
        <w:t>.</w:t>
      </w:r>
      <w:r>
        <w:rPr>
          <w:snapToGrid w:val="0"/>
        </w:rPr>
        <w:tab/>
        <w:t>Damages for accidentally damaging works, etc.</w:t>
      </w:r>
      <w:bookmarkEnd w:id="25"/>
      <w:bookmarkEnd w:id="26"/>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27" w:name="_Toc378063754"/>
      <w:bookmarkStart w:id="28" w:name="_Toc415056223"/>
      <w:r>
        <w:rPr>
          <w:rStyle w:val="CharSectno"/>
        </w:rPr>
        <w:t>13</w:t>
      </w:r>
      <w:r>
        <w:rPr>
          <w:snapToGrid w:val="0"/>
        </w:rPr>
        <w:t>.</w:t>
      </w:r>
      <w:r>
        <w:rPr>
          <w:snapToGrid w:val="0"/>
        </w:rPr>
        <w:tab/>
        <w:t>Court in which proceedings to be taken</w:t>
      </w:r>
      <w:bookmarkEnd w:id="27"/>
      <w:bookmarkEnd w:id="28"/>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9" w:name="_Toc378063755"/>
      <w:bookmarkStart w:id="30" w:name="_Toc415056224"/>
      <w:r>
        <w:rPr>
          <w:rStyle w:val="CharSectno"/>
        </w:rPr>
        <w:t>14</w:t>
      </w:r>
      <w:r>
        <w:rPr>
          <w:snapToGrid w:val="0"/>
        </w:rPr>
        <w:t>.</w:t>
      </w:r>
      <w:r>
        <w:rPr>
          <w:snapToGrid w:val="0"/>
        </w:rPr>
        <w:tab/>
        <w:t>Payment in lieu of rates, etc.</w:t>
      </w:r>
      <w:bookmarkEnd w:id="29"/>
      <w:bookmarkEnd w:id="30"/>
      <w:r>
        <w:rPr>
          <w:snapToGrid w:val="0"/>
        </w:rPr>
        <w:t xml:space="preserve"> </w:t>
      </w:r>
    </w:p>
    <w:p>
      <w:pPr>
        <w:pStyle w:val="Subsection"/>
        <w:rPr>
          <w:snapToGrid w:val="0"/>
        </w:rPr>
      </w:pPr>
      <w:r>
        <w:rPr>
          <w:snapToGrid w:val="0"/>
        </w:rPr>
        <w:tab/>
      </w:r>
      <w:r>
        <w:rPr>
          <w:snapToGrid w:val="0"/>
        </w:rPr>
        <w:tab/>
        <w:t xml:space="preserve">The mains, conduits and service pipes of the company in, on, or under any Crown lands, street, railway, or wharf shall be deemed to be rateable land, but in lieu of the provisions of the </w:t>
      </w:r>
      <w:r>
        <w:rPr>
          <w:i/>
          <w:snapToGrid w:val="0"/>
        </w:rPr>
        <w:t>Municipal Corporations Act 1906</w:t>
      </w:r>
      <w:r>
        <w:rPr>
          <w:snapToGrid w:val="0"/>
          <w:vertAlign w:val="superscript"/>
        </w:rPr>
        <w:t> 7</w:t>
      </w:r>
      <w:r>
        <w:rPr>
          <w:snapToGrid w:val="0"/>
        </w:rPr>
        <w:t>, relating to the valuation of land and the making of rates in respect thereof, the company shall pay to the Council in each and every year of the company’s operations subsequent to the date on which it shall commence to construct its works and undertakings, a sum of $70.</w:t>
      </w:r>
    </w:p>
    <w:p>
      <w:pPr>
        <w:pStyle w:val="Subsection"/>
        <w:rPr>
          <w:snapToGrid w:val="0"/>
        </w:rPr>
      </w:pPr>
      <w:r>
        <w:rPr>
          <w:snapToGrid w:val="0"/>
        </w:rPr>
        <w:tab/>
      </w:r>
      <w:r>
        <w:rPr>
          <w:snapToGrid w:val="0"/>
        </w:rPr>
        <w:tab/>
        <w:t>The amount to be paid by the company under this section shall be paid by half</w:t>
      </w:r>
      <w:r>
        <w:rPr>
          <w:snapToGrid w:val="0"/>
        </w:rPr>
        <w:noBreakHyphen/>
        <w:t>yearly payments, the first of which shall be made on the expiration of 6 months from the date on which the company shall commence to construct its works and undertakings, and shall be in full satisfaction and discharge of all rates and rents, if any, payable to the council in respect of such mains, conduits and service pipes in, on, or under any Crown lands, street, railway, or wharf as aforesaid or the easement or rights conferred by this Act with regard to such mains, conduits and service pipes.</w:t>
      </w:r>
    </w:p>
    <w:p>
      <w:pPr>
        <w:pStyle w:val="Subsection"/>
        <w:rPr>
          <w:snapToGrid w:val="0"/>
        </w:rPr>
      </w:pPr>
      <w:r>
        <w:rPr>
          <w:snapToGrid w:val="0"/>
        </w:rPr>
        <w:tab/>
      </w:r>
      <w:r>
        <w:rPr>
          <w:snapToGrid w:val="0"/>
        </w:rPr>
        <w:tab/>
        <w:t>In this section Council means the Mayor and Councillors of the Municipality of North Fremantle </w:t>
      </w:r>
      <w:r>
        <w:rPr>
          <w:snapToGrid w:val="0"/>
          <w:vertAlign w:val="superscript"/>
        </w:rPr>
        <w:t>3</w:t>
      </w:r>
      <w:r>
        <w:rPr>
          <w:snapToGrid w:val="0"/>
        </w:rPr>
        <w:t>.</w:t>
      </w:r>
    </w:p>
    <w:p>
      <w:pPr>
        <w:pStyle w:val="Footnotesection"/>
      </w:pPr>
      <w:r>
        <w:tab/>
        <w:t>[Section 14 amended: No. 113 of 1965 s. 8(1).]</w:t>
      </w:r>
    </w:p>
    <w:p>
      <w:pPr>
        <w:pStyle w:val="Heading5"/>
        <w:rPr>
          <w:snapToGrid w:val="0"/>
        </w:rPr>
      </w:pPr>
      <w:bookmarkStart w:id="31" w:name="_Toc378063756"/>
      <w:bookmarkStart w:id="32" w:name="_Toc415056225"/>
      <w:r>
        <w:rPr>
          <w:rStyle w:val="CharSectno"/>
        </w:rPr>
        <w:t>15</w:t>
      </w:r>
      <w:r>
        <w:rPr>
          <w:snapToGrid w:val="0"/>
        </w:rPr>
        <w:t>.</w:t>
      </w:r>
      <w:r>
        <w:rPr>
          <w:snapToGrid w:val="0"/>
        </w:rPr>
        <w:tab/>
        <w:t>Act to be deemed a public Act</w:t>
      </w:r>
      <w:bookmarkEnd w:id="31"/>
      <w:bookmarkEnd w:id="32"/>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33" w:name="_Toc378063757"/>
      <w:bookmarkStart w:id="34" w:name="_Toc415056226"/>
      <w:r>
        <w:rPr>
          <w:rStyle w:val="CharSectno"/>
        </w:rPr>
        <w:t>16</w:t>
      </w:r>
      <w:r>
        <w:rPr>
          <w:snapToGrid w:val="0"/>
        </w:rPr>
        <w:t>.</w:t>
      </w:r>
      <w:r>
        <w:rPr>
          <w:snapToGrid w:val="0"/>
        </w:rPr>
        <w:tab/>
        <w:t>Deposit</w:t>
      </w:r>
      <w:bookmarkEnd w:id="33"/>
      <w:bookmarkEnd w:id="34"/>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Heading5"/>
        <w:rPr>
          <w:snapToGrid w:val="0"/>
        </w:rPr>
      </w:pPr>
      <w:bookmarkStart w:id="35" w:name="_Toc378063758"/>
      <w:bookmarkStart w:id="36" w:name="_Toc415056227"/>
      <w:r>
        <w:rPr>
          <w:rStyle w:val="CharSectno"/>
        </w:rPr>
        <w:t>17</w:t>
      </w:r>
      <w:r>
        <w:rPr>
          <w:snapToGrid w:val="0"/>
        </w:rPr>
        <w:t>.</w:t>
      </w:r>
      <w:r>
        <w:rPr>
          <w:snapToGrid w:val="0"/>
        </w:rPr>
        <w:tab/>
        <w:t>Voidance of Act on default of commencement of works</w:t>
      </w:r>
      <w:bookmarkEnd w:id="35"/>
      <w:bookmarkEnd w:id="36"/>
      <w:r>
        <w:rPr>
          <w:snapToGrid w:val="0"/>
        </w:rPr>
        <w:t xml:space="preserve"> </w:t>
      </w:r>
    </w:p>
    <w:p>
      <w:pPr>
        <w:pStyle w:val="Subsection"/>
        <w:rPr>
          <w:snapToGrid w:val="0"/>
        </w:rPr>
      </w:pPr>
      <w:r>
        <w:rPr>
          <w:snapToGrid w:val="0"/>
        </w:rPr>
        <w:tab/>
      </w:r>
      <w:r>
        <w:rPr>
          <w:snapToGrid w:val="0"/>
        </w:rPr>
        <w:tab/>
        <w:t>If the company shall not commence before 1 January 1928, any of the works authorised to be constructed or undertaken by the company, this Act shall cease and determine.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8063759"/>
      <w:bookmarkStart w:id="38" w:name="_Toc415056138"/>
      <w:bookmarkStart w:id="39" w:name="_Toc415056228"/>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British Imperial Oil Company, Limited (Private)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8063760"/>
      <w:bookmarkStart w:id="41" w:name="_Toc415056229"/>
      <w:r>
        <w:rPr>
          <w:snapToGrid w:val="0"/>
        </w:rPr>
        <w:t>Compilation table</w:t>
      </w:r>
      <w:bookmarkEnd w:id="40"/>
      <w:bookmarkEnd w:id="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rPr>
            </w:pPr>
            <w:r>
              <w:rPr>
                <w:b/>
              </w:rPr>
              <w:t>Short title</w:t>
            </w:r>
          </w:p>
        </w:tc>
        <w:tc>
          <w:tcPr>
            <w:tcW w:w="1134" w:type="dxa"/>
            <w:tcBorders>
              <w:bottom w:val="nil"/>
            </w:tcBorders>
          </w:tcPr>
          <w:p>
            <w:pPr>
              <w:pStyle w:val="nTable"/>
              <w:spacing w:after="40"/>
              <w:rPr>
                <w:b/>
              </w:rPr>
            </w:pPr>
            <w:r>
              <w:rPr>
                <w:b/>
              </w:rPr>
              <w:t>Number and year</w:t>
            </w:r>
          </w:p>
        </w:tc>
        <w:tc>
          <w:tcPr>
            <w:tcW w:w="1134" w:type="dxa"/>
            <w:tcBorders>
              <w:bottom w:val="nil"/>
            </w:tcBorders>
          </w:tcPr>
          <w:p>
            <w:pPr>
              <w:pStyle w:val="nTable"/>
              <w:spacing w:after="40"/>
              <w:rPr>
                <w:b/>
              </w:rPr>
            </w:pPr>
            <w:r>
              <w:rPr>
                <w:b/>
              </w:rPr>
              <w:t>Assent</w:t>
            </w:r>
          </w:p>
        </w:tc>
        <w:tc>
          <w:tcPr>
            <w:tcW w:w="2552" w:type="dxa"/>
            <w:tcBorders>
              <w:bottom w:val="nil"/>
            </w:tcBorders>
          </w:tcPr>
          <w:p>
            <w:pPr>
              <w:pStyle w:val="nTable"/>
              <w:spacing w:after="40"/>
              <w:rPr>
                <w:b/>
              </w:rPr>
            </w:pPr>
            <w:r>
              <w:rPr>
                <w:b/>
              </w:rPr>
              <w:t>Commencement</w:t>
            </w:r>
          </w:p>
        </w:tc>
      </w:tr>
      <w:tr>
        <w:tc>
          <w:tcPr>
            <w:tcW w:w="2268" w:type="dxa"/>
            <w:tcBorders>
              <w:bottom w:val="nil"/>
            </w:tcBorders>
          </w:tcPr>
          <w:p>
            <w:pPr>
              <w:pStyle w:val="nTable"/>
            </w:pPr>
            <w:r>
              <w:rPr>
                <w:i/>
              </w:rPr>
              <w:t>British Imperial Oil Company, Limited (Private) Act 1925</w:t>
            </w:r>
          </w:p>
        </w:tc>
        <w:tc>
          <w:tcPr>
            <w:tcW w:w="1134" w:type="dxa"/>
            <w:tcBorders>
              <w:bottom w:val="nil"/>
            </w:tcBorders>
          </w:tcPr>
          <w:p>
            <w:pPr>
              <w:pStyle w:val="nTable"/>
            </w:pPr>
            <w:r>
              <w:t>16 Geo. V</w:t>
            </w:r>
            <w:r>
              <w:br/>
              <w:t xml:space="preserve">Private Act </w:t>
            </w:r>
          </w:p>
        </w:tc>
        <w:tc>
          <w:tcPr>
            <w:tcW w:w="1134" w:type="dxa"/>
            <w:tcBorders>
              <w:bottom w:val="nil"/>
            </w:tcBorders>
          </w:tcPr>
          <w:p>
            <w:pPr>
              <w:pStyle w:val="nTable"/>
            </w:pPr>
            <w:r>
              <w:t>31 Dec 1925</w:t>
            </w:r>
          </w:p>
        </w:tc>
        <w:tc>
          <w:tcPr>
            <w:tcW w:w="2552" w:type="dxa"/>
            <w:tcBorders>
              <w:bottom w:val="nil"/>
            </w:tcBorders>
          </w:tcPr>
          <w:p>
            <w:pPr>
              <w:pStyle w:val="nTable"/>
            </w:pPr>
            <w:r>
              <w:t>31 Dec 1925</w:t>
            </w:r>
          </w:p>
        </w:tc>
      </w:tr>
      <w:tr>
        <w:tc>
          <w:tcPr>
            <w:tcW w:w="2268" w:type="dxa"/>
            <w:tcBorders>
              <w:top w:val="nil"/>
              <w:bottom w:val="nil"/>
            </w:tcBorders>
          </w:tcPr>
          <w:p>
            <w:pPr>
              <w:pStyle w:val="nTable"/>
              <w:spacing w:after="40"/>
              <w:rPr>
                <w:i/>
              </w:rPr>
            </w:pPr>
            <w:r>
              <w:rPr>
                <w:i/>
              </w:rPr>
              <w:t xml:space="preserve">Decimal Currency </w:t>
            </w:r>
            <w:r>
              <w:rPr>
                <w:i/>
              </w:rPr>
              <w:br/>
              <w:t>Act 1965</w:t>
            </w:r>
          </w:p>
        </w:tc>
        <w:tc>
          <w:tcPr>
            <w:tcW w:w="1134" w:type="dxa"/>
            <w:tcBorders>
              <w:top w:val="nil"/>
              <w:bottom w:val="nil"/>
            </w:tcBorders>
          </w:tcPr>
          <w:p>
            <w:pPr>
              <w:pStyle w:val="nTable"/>
              <w:spacing w:after="40"/>
            </w:pPr>
            <w:r>
              <w:t>113 of 1965</w:t>
            </w:r>
          </w:p>
        </w:tc>
        <w:tc>
          <w:tcPr>
            <w:tcW w:w="1134" w:type="dxa"/>
            <w:tcBorders>
              <w:top w:val="nil"/>
              <w:bottom w:val="nil"/>
            </w:tcBorders>
          </w:tcPr>
          <w:p>
            <w:pPr>
              <w:pStyle w:val="nTable"/>
              <w:spacing w:after="40"/>
            </w:pPr>
            <w:r>
              <w:t>21 Dec 1965</w:t>
            </w:r>
          </w:p>
        </w:tc>
        <w:tc>
          <w:tcPr>
            <w:tcW w:w="2552" w:type="dxa"/>
            <w:tcBorders>
              <w:top w:val="nil"/>
              <w:bottom w:val="nil"/>
            </w:tcBorders>
          </w:tcPr>
          <w:p>
            <w:pPr>
              <w:pStyle w:val="nTable"/>
            </w:pPr>
            <w:r>
              <w:t xml:space="preserve">s. 4-9: 14 Feb 1966 (see s. 2(2)); </w:t>
            </w:r>
            <w:r>
              <w:br/>
              <w:t>Act other than s. 4-9: 21 Dec 1965 (see s. 2(1))</w:t>
            </w:r>
          </w:p>
        </w:tc>
      </w:tr>
      <w:tr>
        <w:tc>
          <w:tcPr>
            <w:tcW w:w="2268" w:type="dxa"/>
            <w:tcBorders>
              <w:top w:val="nil"/>
              <w:bottom w:val="nil"/>
            </w:tcBorders>
          </w:tcPr>
          <w:p>
            <w:pPr>
              <w:pStyle w:val="nTable"/>
            </w:pPr>
            <w:r>
              <w:rPr>
                <w:i/>
              </w:rPr>
              <w:t>Port Authorities (Consequential Provisions) Act 1999</w:t>
            </w:r>
            <w:r>
              <w:t xml:space="preserve"> s. 21</w:t>
            </w:r>
          </w:p>
        </w:tc>
        <w:tc>
          <w:tcPr>
            <w:tcW w:w="1134" w:type="dxa"/>
            <w:tcBorders>
              <w:top w:val="nil"/>
              <w:bottom w:val="nil"/>
            </w:tcBorders>
          </w:tcPr>
          <w:p>
            <w:pPr>
              <w:pStyle w:val="nTable"/>
            </w:pPr>
            <w:r>
              <w:t>5 of 1999</w:t>
            </w:r>
          </w:p>
        </w:tc>
        <w:tc>
          <w:tcPr>
            <w:tcW w:w="1134" w:type="dxa"/>
            <w:tcBorders>
              <w:top w:val="nil"/>
              <w:bottom w:val="nil"/>
            </w:tcBorders>
          </w:tcPr>
          <w:p>
            <w:pPr>
              <w:pStyle w:val="nTable"/>
            </w:pPr>
            <w:r>
              <w:t>13 Apr 1999</w:t>
            </w:r>
          </w:p>
        </w:tc>
        <w:tc>
          <w:tcPr>
            <w:tcW w:w="2552" w:type="dxa"/>
            <w:tcBorders>
              <w:top w:val="nil"/>
              <w:bottom w:val="nil"/>
            </w:tcBorders>
          </w:tcPr>
          <w:p>
            <w:pPr>
              <w:pStyle w:val="nTable"/>
            </w:pPr>
            <w:r>
              <w:t xml:space="preserve">14 Aug 1999 (see s. 2 and </w:t>
            </w:r>
            <w:r>
              <w:rPr>
                <w:i/>
              </w:rPr>
              <w:t>Gazette</w:t>
            </w:r>
            <w: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pPr>
            <w:r>
              <w:rPr>
                <w:i/>
              </w:rPr>
              <w:t>Public Transport Authority Act 2003</w:t>
            </w:r>
            <w:r>
              <w:t xml:space="preserve"> s. 144</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rPr>
                <w:u w:val="single"/>
              </w:rPr>
            </w:pPr>
            <w:r>
              <w:rPr>
                <w:i/>
              </w:rPr>
              <w:t>Statutes (Repeals and Minor Amendments) Act 2003</w:t>
            </w:r>
            <w:r>
              <w:t xml:space="preserve"> s. 30</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w:t>
            </w:r>
            <w:r>
              <w:t>Dec</w:t>
            </w:r>
            <w:r>
              <w:rPr>
                <w:spacing w:val="-2"/>
              </w:rPr>
              <w:t> 2003 (see s. 2)</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pPr>
            <w:r>
              <w:rPr>
                <w:b/>
              </w:rPr>
              <w:t xml:space="preserve">Reprint 1:  The </w:t>
            </w:r>
            <w:r>
              <w:rPr>
                <w:b/>
                <w:i/>
              </w:rPr>
              <w:t>British Imperial Oil Company, Limited (Private) Act 1925</w:t>
            </w:r>
            <w:r>
              <w:rPr>
                <w:b/>
              </w:rPr>
              <w:t xml:space="preserve"> as at 2 Apr 2004</w:t>
            </w:r>
            <w:r>
              <w:t xml:space="preserve"> (includes amendments listed above)</w:t>
            </w:r>
          </w:p>
        </w:tc>
      </w:tr>
    </w:tbl>
    <w:p>
      <w:pPr>
        <w:pStyle w:val="nSubsection"/>
      </w:pPr>
      <w:r>
        <w:rPr>
          <w:vertAlign w:val="superscript"/>
        </w:rPr>
        <w:t>2</w:t>
      </w:r>
      <w:r>
        <w:tab/>
        <w:t>At the date this compilation was prepared the title of the Minister responsible for land administration was the Minister for Planning and Infrastructure.</w:t>
      </w:r>
    </w:p>
    <w:p>
      <w:pPr>
        <w:pStyle w:val="nSubsection"/>
        <w:rPr>
          <w:i/>
        </w:rPr>
      </w:pPr>
      <w:r>
        <w:rPr>
          <w:vertAlign w:val="superscript"/>
        </w:rPr>
        <w:t>3</w:t>
      </w:r>
      <w:r>
        <w:tab/>
        <w:t xml:space="preserve">Under the </w:t>
      </w:r>
      <w:r>
        <w:rPr>
          <w:i/>
        </w:rPr>
        <w:t xml:space="preserve">Local Government Act 1995 </w:t>
      </w:r>
      <w:r>
        <w:t>Sch. 9.3 cl. 3(2) a reference to a municipality may, where the context so requires, be read as if it had been amended to include or be a reference to a local government under that Act.</w:t>
      </w:r>
    </w:p>
    <w:p>
      <w:pPr>
        <w:pStyle w:val="nSubsection"/>
      </w:pPr>
      <w:r>
        <w:rPr>
          <w:vertAlign w:val="superscript"/>
        </w:rPr>
        <w:t>4</w:t>
      </w:r>
      <w:r>
        <w:tab/>
        <w:t xml:space="preserve">Formerly referred to the “Fremantle Harbour Trust Commissioners” the name of which was changed to the “Fremantle Port Authority” by the </w:t>
      </w:r>
      <w:r>
        <w:rPr>
          <w:i/>
        </w:rPr>
        <w:t>Fremantle Harbour Trust Act Amendment Act 1964</w:t>
      </w:r>
      <w:r>
        <w:t xml:space="preserve">.  The Fremantle Port Authority continues under the </w:t>
      </w:r>
      <w:r>
        <w:rPr>
          <w:i/>
        </w:rPr>
        <w:t>Port Authorities Act 1999</w:t>
      </w:r>
      <w:r>
        <w:t xml:space="preserve">.  The reference was changed under the </w:t>
      </w:r>
      <w:r>
        <w:rPr>
          <w:i/>
        </w:rPr>
        <w:t xml:space="preserve">Reprints Act 1984 </w:t>
      </w:r>
      <w:r>
        <w:t>s. 7(5)(a).</w:t>
      </w:r>
    </w:p>
    <w:p>
      <w:pPr>
        <w:pStyle w:val="nSubsection"/>
      </w:pPr>
      <w:r>
        <w:rPr>
          <w:vertAlign w:val="superscript"/>
        </w:rPr>
        <w:t>5</w:t>
      </w:r>
      <w:r>
        <w:rPr>
          <w:vertAlign w:val="superscript"/>
        </w:rPr>
        <w:tab/>
      </w:r>
      <w:r>
        <w:t>As at the date this compilation was prepared the title of the Minister administering these Acts was the Minister for Planning and Infrastructure.</w:t>
      </w:r>
    </w:p>
    <w:p>
      <w:pPr>
        <w:pStyle w:val="nSubsection"/>
      </w:pPr>
      <w:r>
        <w:rPr>
          <w:vertAlign w:val="superscript"/>
        </w:rPr>
        <w:t>6</w:t>
      </w:r>
      <w:r>
        <w:rPr>
          <w:vertAlign w:val="superscript"/>
        </w:rPr>
        <w:tab/>
      </w:r>
      <w:r>
        <w:t xml:space="preserve">At the date this compilation was prepared, the former Minister for Works was known as the Minister for Housing and Works. </w:t>
      </w:r>
    </w:p>
    <w:p>
      <w:pPr>
        <w:pStyle w:val="nSubsection"/>
      </w:pPr>
      <w:r>
        <w:rPr>
          <w:vertAlign w:val="superscript"/>
        </w:rPr>
        <w:t>7</w:t>
      </w:r>
      <w:r>
        <w:rPr>
          <w:vertAlign w:val="superscript"/>
        </w:rPr>
        <w:tab/>
      </w:r>
      <w:r>
        <w:t xml:space="preserve">Repealed by the </w:t>
      </w:r>
      <w:r>
        <w:rPr>
          <w:i/>
        </w:rPr>
        <w:t>Local Government Act 1960</w:t>
      </w:r>
      <w:r>
        <w:t xml:space="preserve">, the short title of which was changed to the </w:t>
      </w:r>
      <w:r>
        <w:rPr>
          <w:i/>
        </w:rPr>
        <w:t>Local Government (Miscellaneous Provisions) Act 1960</w:t>
      </w:r>
      <w:r>
        <w:t xml:space="preserve"> by the </w:t>
      </w:r>
      <w:r>
        <w:rPr>
          <w:i/>
        </w:rPr>
        <w:t>Local Government Act 1995</w:t>
      </w:r>
      <w:r>
        <w:t>, s. 9.70.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3" w:name="_Toc415056230"/>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Crown lands</w:t>
      </w:r>
      <w:r>
        <w:tab/>
        <w:t>2</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British Imperial Oil Company, Limited (Private) Act 1925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British Imperial Oil Company, Limited (Private) Act 1925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British Imperial Oil Company, Limited (Private) Act 1925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British Imperial Oil Company, Limited (Private) Act 1925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British Imperial Oil Company, Limited (Private) Act 1925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British Imperial Oil Company, Limited (Private) Act 1925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British Imperial Oil Company, Limited (Private)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British Imperial Oil Company, Limited (Private)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F274FC"/>
    <w:lvl w:ilvl="0">
      <w:start w:val="1"/>
      <w:numFmt w:val="decimal"/>
      <w:lvlText w:val="%1."/>
      <w:lvlJc w:val="left"/>
      <w:pPr>
        <w:tabs>
          <w:tab w:val="num" w:pos="1492"/>
        </w:tabs>
        <w:ind w:left="1492" w:hanging="360"/>
      </w:pPr>
    </w:lvl>
  </w:abstractNum>
  <w:abstractNum w:abstractNumId="1">
    <w:nsid w:val="FFFFFF7D"/>
    <w:multiLevelType w:val="singleLevel"/>
    <w:tmpl w:val="772079FA"/>
    <w:lvl w:ilvl="0">
      <w:start w:val="1"/>
      <w:numFmt w:val="decimal"/>
      <w:lvlText w:val="%1."/>
      <w:lvlJc w:val="left"/>
      <w:pPr>
        <w:tabs>
          <w:tab w:val="num" w:pos="1209"/>
        </w:tabs>
        <w:ind w:left="1209" w:hanging="360"/>
      </w:pPr>
    </w:lvl>
  </w:abstractNum>
  <w:abstractNum w:abstractNumId="2">
    <w:nsid w:val="FFFFFF7E"/>
    <w:multiLevelType w:val="singleLevel"/>
    <w:tmpl w:val="BBE49E6E"/>
    <w:lvl w:ilvl="0">
      <w:start w:val="1"/>
      <w:numFmt w:val="decimal"/>
      <w:lvlText w:val="%1."/>
      <w:lvlJc w:val="left"/>
      <w:pPr>
        <w:tabs>
          <w:tab w:val="num" w:pos="926"/>
        </w:tabs>
        <w:ind w:left="926" w:hanging="360"/>
      </w:pPr>
    </w:lvl>
  </w:abstractNum>
  <w:abstractNum w:abstractNumId="3">
    <w:nsid w:val="FFFFFF7F"/>
    <w:multiLevelType w:val="singleLevel"/>
    <w:tmpl w:val="768A10F4"/>
    <w:lvl w:ilvl="0">
      <w:start w:val="1"/>
      <w:numFmt w:val="decimal"/>
      <w:lvlText w:val="%1."/>
      <w:lvlJc w:val="left"/>
      <w:pPr>
        <w:tabs>
          <w:tab w:val="num" w:pos="643"/>
        </w:tabs>
        <w:ind w:left="643" w:hanging="360"/>
      </w:pPr>
    </w:lvl>
  </w:abstractNum>
  <w:abstractNum w:abstractNumId="4">
    <w:nsid w:val="FFFFFF80"/>
    <w:multiLevelType w:val="singleLevel"/>
    <w:tmpl w:val="C32AA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34C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BA9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1E3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1058DC"/>
    <w:lvl w:ilvl="0">
      <w:start w:val="1"/>
      <w:numFmt w:val="decimal"/>
      <w:lvlText w:val="%1."/>
      <w:lvlJc w:val="left"/>
      <w:pPr>
        <w:tabs>
          <w:tab w:val="num" w:pos="360"/>
        </w:tabs>
        <w:ind w:left="360" w:hanging="360"/>
      </w:pPr>
    </w:lvl>
  </w:abstractNum>
  <w:abstractNum w:abstractNumId="9">
    <w:nsid w:val="FFFFFF89"/>
    <w:multiLevelType w:val="singleLevel"/>
    <w:tmpl w:val="07489C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C624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33"/>
    <w:docVar w:name="WAFER_20140121100213" w:val="RemoveTocBookmarks,RemoveUnusedBookmarks,RemoveLanguageTags,UsedStyles,ResetPageSize,UpdateArrangement"/>
    <w:docVar w:name="WAFER_20140121100213_GUID" w:val="e908ac39-a28f-44c3-b21a-55be21d61b28"/>
    <w:docVar w:name="WAFER_20140121101910" w:val="RemoveTocBookmarks,RunningHeaders"/>
    <w:docVar w:name="WAFER_20140121101910_GUID" w:val="d3ff6732-c7f6-4e30-8074-9bf59ce4d476"/>
    <w:docVar w:name="WAFER_20150325132500" w:val="ResetPageSize,UpdateArrangement,UpdateNTable"/>
    <w:docVar w:name="WAFER_20150325132500_GUID" w:val="66a4705d-fb43-4d24-9182-989c64a08b6f"/>
    <w:docVar w:name="WAFER_20151102140156" w:val="UpdateStyles,UsedStyles"/>
    <w:docVar w:name="WAFER_20151102140156_GUID" w:val="12ddd7aa-3510-4bf6-8bb5-2e48337ece31"/>
    <w:docVar w:name="WAFER_20151130160833" w:val="RemoveTrackChanges"/>
    <w:docVar w:name="WAFER_20151130160833_GUID" w:val="c978566e-2d92-4826-8fa2-0087601a22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3370</Words>
  <Characters>16178</Characters>
  <Application>Microsoft Office Word</Application>
  <DocSecurity>0</DocSecurity>
  <Lines>425</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19371</CharactersWithSpaces>
  <SharedDoc>false</SharedDoc>
  <HLinks>
    <vt:vector size="12" baseType="variant">
      <vt:variant>
        <vt:i4>65542</vt:i4>
      </vt:variant>
      <vt:variant>
        <vt:i4>2777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 Oil Company, Limited (Private) Act 1925 - 01-a0-11</dc:title>
  <dc:subject/>
  <dc:creator/>
  <cp:keywords/>
  <dc:description/>
  <cp:lastModifiedBy>svcMRProcess</cp:lastModifiedBy>
  <cp:revision>4</cp:revision>
  <cp:lastPrinted>2004-04-06T03:11:00Z</cp:lastPrinted>
  <dcterms:created xsi:type="dcterms:W3CDTF">2019-02-14T08:39:00Z</dcterms:created>
  <dcterms:modified xsi:type="dcterms:W3CDTF">2019-02-14T08:39:00Z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991 of 1925</vt:lpwstr>
  </property>
  <property fmtid="{D5CDD505-2E9C-101B-9397-08002B2CF9AE}" pid="3" name="CommencementDate">
    <vt:lpwstr>20040402</vt:lpwstr>
  </property>
  <property fmtid="{D5CDD505-2E9C-101B-9397-08002B2CF9AE}" pid="4" name="DocumentType">
    <vt:lpwstr>Act</vt:lpwstr>
  </property>
  <property fmtid="{D5CDD505-2E9C-101B-9397-08002B2CF9AE}" pid="5" name="OwlsUID">
    <vt:i4>81</vt:i4>
  </property>
  <property fmtid="{D5CDD505-2E9C-101B-9397-08002B2CF9AE}" pid="6" name="ReprintedAsAt">
    <vt:filetime>2004-04-01T16:00:00Z</vt:filetime>
  </property>
  <property fmtid="{D5CDD505-2E9C-101B-9397-08002B2CF9AE}" pid="7" name="ReprintNo">
    <vt:lpwstr/>
  </property>
  <property fmtid="{D5CDD505-2E9C-101B-9397-08002B2CF9AE}" pid="8" name="AsAtDate">
    <vt:lpwstr>02 Apr 2004</vt:lpwstr>
  </property>
  <property fmtid="{D5CDD505-2E9C-101B-9397-08002B2CF9AE}" pid="9" name="Suffix">
    <vt:lpwstr>01-a0-11</vt:lpwstr>
  </property>
</Properties>
</file>