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6" name="Picture 1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Poisons Act 1964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Poisons Regulations 1965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Poisons Regulations 1965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_Toc389746631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_Toc389746632 \h </w:instrText>
      </w:r>
      <w:r>
        <w:fldChar w:fldCharType="separate"/>
      </w:r>
      <w:r>
        <w:t>1</w:t>
      </w:r>
      <w:r>
        <w:fldChar w:fldCharType="end"/>
      </w:r>
    </w:p>
    <w:p>
      <w:pPr>
        <w:pStyle w:val="TOC8"/>
        <w:rPr>
          <w:rFonts w:asciiTheme="minorHAnsi" w:eastAsiaTheme="minorEastAsia" w:hAnsiTheme="minorHAnsi" w:cstheme="minorBidi"/>
          <w:szCs w:val="22"/>
        </w:rPr>
      </w:pPr>
      <w:r>
        <w:t>2AAA.</w:t>
      </w:r>
      <w:r>
        <w:tab/>
        <w:t>Notes not part of regulations</w:t>
      </w:r>
      <w:r>
        <w:tab/>
      </w:r>
      <w:r>
        <w:fldChar w:fldCharType="begin"/>
      </w:r>
      <w:r>
        <w:instrText xml:space="preserve"> PAGEREF _Toc389746633 \h </w:instrText>
      </w:r>
      <w:r>
        <w:fldChar w:fldCharType="separate"/>
      </w:r>
      <w:r>
        <w:t>5</w:t>
      </w:r>
      <w:r>
        <w:fldChar w:fldCharType="end"/>
      </w:r>
    </w:p>
    <w:p>
      <w:pPr>
        <w:pStyle w:val="TOC8"/>
        <w:rPr>
          <w:rFonts w:asciiTheme="minorHAnsi" w:eastAsiaTheme="minorEastAsia" w:hAnsiTheme="minorHAnsi" w:cstheme="minorBidi"/>
          <w:szCs w:val="22"/>
        </w:rPr>
      </w:pPr>
      <w:r>
        <w:t>2AA</w:t>
      </w:r>
      <w:r>
        <w:rPr>
          <w:snapToGrid w:val="0"/>
        </w:rPr>
        <w:t>.</w:t>
      </w:r>
      <w:r>
        <w:rPr>
          <w:snapToGrid w:val="0"/>
        </w:rPr>
        <w:tab/>
        <w:t>Prescribed office (section 64B)</w:t>
      </w:r>
      <w:r>
        <w:tab/>
      </w:r>
      <w:r>
        <w:fldChar w:fldCharType="begin"/>
      </w:r>
      <w:r>
        <w:instrText xml:space="preserve"> PAGEREF _Toc389746634 \h </w:instrText>
      </w:r>
      <w:r>
        <w:fldChar w:fldCharType="separate"/>
      </w:r>
      <w:r>
        <w:t>5</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Exemptions</w:t>
      </w:r>
      <w:r>
        <w:tab/>
      </w:r>
      <w:r>
        <w:fldChar w:fldCharType="begin"/>
      </w:r>
      <w:r>
        <w:instrText xml:space="preserve"> PAGEREF _Toc389746635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2 — Licences and permits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w:t>
      </w:r>
      <w:r>
        <w:tab/>
        <w:t>Wholesaler’s licences and permits</w:t>
      </w:r>
      <w:r>
        <w:tab/>
      </w:r>
      <w:r>
        <w:fldChar w:fldCharType="begin"/>
      </w:r>
      <w:r>
        <w:instrText xml:space="preserve"> PAGEREF _Toc389746638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Pharmaceutical chemist’s licence to sell poisons</w:t>
      </w:r>
      <w:r>
        <w:tab/>
      </w:r>
      <w:r>
        <w:fldChar w:fldCharType="begin"/>
      </w:r>
      <w:r>
        <w:instrText xml:space="preserve"> PAGEREF _Toc389746639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Retailer’s licence to sell poisons specified in Schedule 2 to the Act</w:t>
      </w:r>
      <w:r>
        <w:tab/>
      </w:r>
      <w:r>
        <w:fldChar w:fldCharType="begin"/>
      </w:r>
      <w:r>
        <w:instrText xml:space="preserve"> PAGEREF _Toc389746640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Retailer’s licence to sell poisons included in Schedule 7 to the Act</w:t>
      </w:r>
      <w:r>
        <w:tab/>
      </w:r>
      <w:r>
        <w:fldChar w:fldCharType="begin"/>
      </w:r>
      <w:r>
        <w:instrText xml:space="preserve"> PAGEREF _Toc389746641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Poisons permit (distribution of samples)</w:t>
      </w:r>
      <w:r>
        <w:tab/>
      </w:r>
      <w:r>
        <w:fldChar w:fldCharType="begin"/>
      </w:r>
      <w:r>
        <w:instrText xml:space="preserve"> PAGEREF _Toc389746642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Poisons permit (industrial)</w:t>
      </w:r>
      <w:r>
        <w:tab/>
      </w:r>
      <w:r>
        <w:fldChar w:fldCharType="begin"/>
      </w:r>
      <w:r>
        <w:instrText xml:space="preserve"> PAGEREF _Toc389746643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Poisons permit (educational, advisory or research)</w:t>
      </w:r>
      <w:r>
        <w:tab/>
      </w:r>
      <w:r>
        <w:fldChar w:fldCharType="begin"/>
      </w:r>
      <w:r>
        <w:instrText xml:space="preserve"> PAGEREF _Toc389746644 \h </w:instrText>
      </w:r>
      <w:r>
        <w:fldChar w:fldCharType="separate"/>
      </w:r>
      <w:r>
        <w:t>13</w:t>
      </w:r>
      <w:r>
        <w:fldChar w:fldCharType="end"/>
      </w:r>
    </w:p>
    <w:p>
      <w:pPr>
        <w:pStyle w:val="TOC8"/>
        <w:rPr>
          <w:rFonts w:asciiTheme="minorHAnsi" w:eastAsiaTheme="minorEastAsia" w:hAnsiTheme="minorHAnsi" w:cstheme="minorBidi"/>
          <w:szCs w:val="22"/>
        </w:rPr>
      </w:pPr>
      <w:r>
        <w:t>10AA.</w:t>
      </w:r>
      <w:r>
        <w:tab/>
        <w:t>Poisons permit (health services)</w:t>
      </w:r>
      <w:r>
        <w:tab/>
      </w:r>
      <w:r>
        <w:fldChar w:fldCharType="begin"/>
      </w:r>
      <w:r>
        <w:instrText xml:space="preserve"> PAGEREF _Toc389746645 \h </w:instrText>
      </w:r>
      <w:r>
        <w:fldChar w:fldCharType="separate"/>
      </w:r>
      <w:r>
        <w:t>13</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Poisons permit (departmental and hospital)</w:t>
      </w:r>
      <w:r>
        <w:tab/>
      </w:r>
      <w:r>
        <w:fldChar w:fldCharType="begin"/>
      </w:r>
      <w:r>
        <w:instrText xml:space="preserve"> PAGEREF _Toc389746646 \h </w:instrText>
      </w:r>
      <w:r>
        <w:fldChar w:fldCharType="separate"/>
      </w:r>
      <w:r>
        <w:t>13</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Licence to cultivate prohibited plants</w:t>
      </w:r>
      <w:r>
        <w:tab/>
      </w:r>
      <w:r>
        <w:fldChar w:fldCharType="begin"/>
      </w:r>
      <w:r>
        <w:instrText xml:space="preserve"> PAGEREF _Toc389746647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r>
      <w:r>
        <w:t>CEO</w:t>
      </w:r>
      <w:r>
        <w:rPr>
          <w:snapToGrid w:val="0"/>
        </w:rPr>
        <w:t xml:space="preserve"> may designate remote area nursing posts</w:t>
      </w:r>
      <w:r>
        <w:tab/>
      </w:r>
      <w:r>
        <w:fldChar w:fldCharType="begin"/>
      </w:r>
      <w:r>
        <w:instrText xml:space="preserve"> PAGEREF _Toc389746648 \h </w:instrText>
      </w:r>
      <w:r>
        <w:fldChar w:fldCharType="separate"/>
      </w:r>
      <w:r>
        <w:t>14</w:t>
      </w:r>
      <w:r>
        <w:fldChar w:fldCharType="end"/>
      </w:r>
    </w:p>
    <w:p>
      <w:pPr>
        <w:pStyle w:val="TOC8"/>
        <w:rPr>
          <w:rFonts w:asciiTheme="minorHAnsi" w:eastAsiaTheme="minorEastAsia" w:hAnsiTheme="minorHAnsi" w:cstheme="minorBidi"/>
          <w:szCs w:val="22"/>
        </w:rPr>
      </w:pPr>
      <w:r>
        <w:t>11A.</w:t>
      </w:r>
      <w:r>
        <w:tab/>
        <w:t>CEO may designate areas for the purposes of section 23 of the Act</w:t>
      </w:r>
      <w:r>
        <w:tab/>
      </w:r>
      <w:r>
        <w:fldChar w:fldCharType="begin"/>
      </w:r>
      <w:r>
        <w:instrText xml:space="preserve"> PAGEREF _Toc389746649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for licence or permit (sections 24 and 25)</w:t>
      </w:r>
      <w:r>
        <w:tab/>
      </w:r>
      <w:r>
        <w:fldChar w:fldCharType="begin"/>
      </w:r>
      <w:r>
        <w:instrText xml:space="preserve"> PAGEREF _Toc389746650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2 — Needle and syringe programme</w:t>
      </w:r>
    </w:p>
    <w:p>
      <w:pPr>
        <w:pStyle w:val="TOC8"/>
        <w:rPr>
          <w:rFonts w:asciiTheme="minorHAnsi" w:eastAsiaTheme="minorEastAsia" w:hAnsiTheme="minorHAnsi" w:cstheme="minorBidi"/>
          <w:szCs w:val="22"/>
        </w:rPr>
      </w:pPr>
      <w:r>
        <w:t>12A</w:t>
      </w:r>
      <w:r>
        <w:rPr>
          <w:snapToGrid w:val="0"/>
        </w:rPr>
        <w:t>.</w:t>
      </w:r>
      <w:r>
        <w:rPr>
          <w:snapToGrid w:val="0"/>
        </w:rPr>
        <w:tab/>
        <w:t>Approval of needle and syringe programme</w:t>
      </w:r>
      <w:r>
        <w:tab/>
      </w:r>
      <w:r>
        <w:fldChar w:fldCharType="begin"/>
      </w:r>
      <w:r>
        <w:instrText xml:space="preserve"> PAGEREF _Toc389746652 \h </w:instrText>
      </w:r>
      <w:r>
        <w:fldChar w:fldCharType="separate"/>
      </w:r>
      <w:r>
        <w:t>16</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Copy of approval to be provided</w:t>
      </w:r>
      <w:r>
        <w:tab/>
      </w:r>
      <w:r>
        <w:fldChar w:fldCharType="begin"/>
      </w:r>
      <w:r>
        <w:instrText xml:space="preserve"> PAGEREF _Toc389746653 \h </w:instrText>
      </w:r>
      <w:r>
        <w:fldChar w:fldCharType="separate"/>
      </w:r>
      <w:r>
        <w:t>17</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Duties of coordinator</w:t>
      </w:r>
      <w:r>
        <w:tab/>
      </w:r>
      <w:r>
        <w:fldChar w:fldCharType="begin"/>
      </w:r>
      <w:r>
        <w:instrText xml:space="preserve"> PAGEREF _Toc389746654 \h </w:instrText>
      </w:r>
      <w:r>
        <w:fldChar w:fldCharType="separate"/>
      </w:r>
      <w:r>
        <w:t>17</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Requirements relating to programme</w:t>
      </w:r>
      <w:r>
        <w:tab/>
      </w:r>
      <w:r>
        <w:fldChar w:fldCharType="begin"/>
      </w:r>
      <w:r>
        <w:instrText xml:space="preserve"> PAGEREF _Toc389746655 \h </w:instrText>
      </w:r>
      <w:r>
        <w:fldChar w:fldCharType="separate"/>
      </w:r>
      <w:r>
        <w:t>18</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Direction to person not to participate in programme</w:t>
      </w:r>
      <w:r>
        <w:tab/>
      </w:r>
      <w:r>
        <w:fldChar w:fldCharType="begin"/>
      </w:r>
      <w:r>
        <w:instrText xml:space="preserve"> PAGEREF _Toc389746656 \h </w:instrText>
      </w:r>
      <w:r>
        <w:fldChar w:fldCharType="separate"/>
      </w:r>
      <w:r>
        <w:t>18</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Requirements relating to used hypodermic needles and syringes</w:t>
      </w:r>
      <w:r>
        <w:tab/>
      </w:r>
      <w:r>
        <w:fldChar w:fldCharType="begin"/>
      </w:r>
      <w:r>
        <w:instrText xml:space="preserve"> PAGEREF _Toc389746657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3 — Restrictions and obligations</w:t>
      </w:r>
    </w:p>
    <w:p>
      <w:pPr>
        <w:pStyle w:val="TOC8"/>
        <w:rPr>
          <w:rFonts w:asciiTheme="minorHAnsi" w:eastAsiaTheme="minorEastAsia" w:hAnsiTheme="minorHAnsi" w:cstheme="minorBidi"/>
          <w:szCs w:val="22"/>
        </w:rPr>
      </w:pPr>
      <w:r>
        <w:t>15</w:t>
      </w:r>
      <w:r>
        <w:rPr>
          <w:snapToGrid w:val="0"/>
        </w:rPr>
        <w:t>.</w:t>
      </w:r>
      <w:r>
        <w:rPr>
          <w:snapToGrid w:val="0"/>
        </w:rPr>
        <w:tab/>
        <w:t>Restriction to issue of licence or permit</w:t>
      </w:r>
      <w:r>
        <w:tab/>
      </w:r>
      <w:r>
        <w:fldChar w:fldCharType="begin"/>
      </w:r>
      <w:r>
        <w:instrText xml:space="preserve"> PAGEREF _Toc389746659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of poison only by licensee</w:t>
      </w:r>
      <w:r>
        <w:tab/>
      </w:r>
      <w:r>
        <w:fldChar w:fldCharType="begin"/>
      </w:r>
      <w:r>
        <w:instrText xml:space="preserve"> PAGEREF _Toc389746660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or permit not transferable</w:t>
      </w:r>
      <w:r>
        <w:tab/>
      </w:r>
      <w:r>
        <w:fldChar w:fldCharType="begin"/>
      </w:r>
      <w:r>
        <w:instrText xml:space="preserve"> PAGEREF _Toc389746661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Licensee to display licence</w:t>
      </w:r>
      <w:r>
        <w:tab/>
      </w:r>
      <w:r>
        <w:fldChar w:fldCharType="begin"/>
      </w:r>
      <w:r>
        <w:instrText xml:space="preserve"> PAGEREF _Toc389746662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3 — Containers and labels</w:t>
      </w:r>
    </w:p>
    <w:p>
      <w:pPr>
        <w:pStyle w:val="TOC4"/>
        <w:tabs>
          <w:tab w:val="right" w:leader="dot" w:pos="7086"/>
        </w:tabs>
        <w:rPr>
          <w:rFonts w:asciiTheme="minorHAnsi" w:eastAsiaTheme="minorEastAsia" w:hAnsiTheme="minorHAnsi" w:cstheme="minorBidi"/>
          <w:b w:val="0"/>
          <w:szCs w:val="22"/>
        </w:rPr>
      </w:pPr>
      <w:r>
        <w:t>Division 1 — Containers</w:t>
      </w:r>
    </w:p>
    <w:p>
      <w:pPr>
        <w:pStyle w:val="TOC8"/>
        <w:rPr>
          <w:rFonts w:asciiTheme="minorHAnsi" w:eastAsiaTheme="minorEastAsia" w:hAnsiTheme="minorHAnsi" w:cstheme="minorBidi"/>
          <w:szCs w:val="22"/>
        </w:rPr>
      </w:pPr>
      <w:r>
        <w:t>19</w:t>
      </w:r>
      <w:r>
        <w:rPr>
          <w:snapToGrid w:val="0"/>
        </w:rPr>
        <w:t>.</w:t>
      </w:r>
      <w:r>
        <w:rPr>
          <w:snapToGrid w:val="0"/>
        </w:rPr>
        <w:tab/>
        <w:t>Adoption of SUSDP for containers and labels</w:t>
      </w:r>
      <w:r>
        <w:tab/>
      </w:r>
      <w:r>
        <w:fldChar w:fldCharType="begin"/>
      </w:r>
      <w:r>
        <w:instrText xml:space="preserve"> PAGEREF _Toc389746665 \h </w:instrText>
      </w:r>
      <w:r>
        <w:fldChar w:fldCharType="separate"/>
      </w:r>
      <w:r>
        <w:t>21</w:t>
      </w:r>
      <w:r>
        <w:fldChar w:fldCharType="end"/>
      </w:r>
    </w:p>
    <w:p>
      <w:pPr>
        <w:pStyle w:val="TOC8"/>
        <w:rPr>
          <w:rFonts w:asciiTheme="minorHAnsi" w:eastAsiaTheme="minorEastAsia" w:hAnsiTheme="minorHAnsi" w:cstheme="minorBidi"/>
          <w:szCs w:val="22"/>
        </w:rPr>
      </w:pPr>
      <w:r>
        <w:t>19AA</w:t>
      </w:r>
      <w:r>
        <w:rPr>
          <w:snapToGrid w:val="0"/>
        </w:rPr>
        <w:t>.</w:t>
      </w:r>
      <w:r>
        <w:rPr>
          <w:snapToGrid w:val="0"/>
        </w:rPr>
        <w:tab/>
        <w:t>Certain containers prohibited</w:t>
      </w:r>
      <w:r>
        <w:tab/>
      </w:r>
      <w:r>
        <w:fldChar w:fldCharType="begin"/>
      </w:r>
      <w:r>
        <w:instrText xml:space="preserve"> PAGEREF _Toc389746666 \h </w:instrText>
      </w:r>
      <w:r>
        <w:fldChar w:fldCharType="separate"/>
      </w:r>
      <w:r>
        <w:t>21</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Food etc. containers to be distinguishable from poison containers</w:t>
      </w:r>
      <w:r>
        <w:tab/>
      </w:r>
      <w:r>
        <w:fldChar w:fldCharType="begin"/>
      </w:r>
      <w:r>
        <w:instrText xml:space="preserve"> PAGEREF _Toc389746667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2 — Labels</w:t>
      </w:r>
    </w:p>
    <w:p>
      <w:pPr>
        <w:pStyle w:val="TOC8"/>
        <w:rPr>
          <w:rFonts w:asciiTheme="minorHAnsi" w:eastAsiaTheme="minorEastAsia" w:hAnsiTheme="minorHAnsi" w:cstheme="minorBidi"/>
          <w:szCs w:val="22"/>
        </w:rPr>
      </w:pPr>
      <w:r>
        <w:t>21</w:t>
      </w:r>
      <w:r>
        <w:rPr>
          <w:snapToGrid w:val="0"/>
        </w:rPr>
        <w:t>.</w:t>
      </w:r>
      <w:r>
        <w:rPr>
          <w:snapToGrid w:val="0"/>
        </w:rPr>
        <w:tab/>
        <w:t>Labels on medicines or preparations</w:t>
      </w:r>
      <w:r>
        <w:tab/>
      </w:r>
      <w:r>
        <w:fldChar w:fldCharType="begin"/>
      </w:r>
      <w:r>
        <w:instrText xml:space="preserve"> PAGEREF _Toc389746669 \h </w:instrText>
      </w:r>
      <w:r>
        <w:fldChar w:fldCharType="separate"/>
      </w:r>
      <w:r>
        <w:t>22</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Appendix K container must have appropriate label</w:t>
      </w:r>
      <w:r>
        <w:tab/>
      </w:r>
      <w:r>
        <w:fldChar w:fldCharType="begin"/>
      </w:r>
      <w:r>
        <w:instrText xml:space="preserve"> PAGEREF _Toc389746670 \h </w:instrText>
      </w:r>
      <w:r>
        <w:fldChar w:fldCharType="separate"/>
      </w:r>
      <w:r>
        <w:t>25</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Carcinogenicity and teratogenicity warnings to be approved</w:t>
      </w:r>
      <w:r>
        <w:tab/>
      </w:r>
      <w:r>
        <w:fldChar w:fldCharType="begin"/>
      </w:r>
      <w:r>
        <w:instrText xml:space="preserve"> PAGEREF _Toc389746671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25</w:t>
      </w:r>
      <w:r>
        <w:rPr>
          <w:snapToGrid w:val="0"/>
        </w:rPr>
        <w:t>.</w:t>
      </w:r>
      <w:r>
        <w:rPr>
          <w:snapToGrid w:val="0"/>
        </w:rPr>
        <w:tab/>
      </w:r>
      <w:r>
        <w:t>CEO</w:t>
      </w:r>
      <w:r>
        <w:rPr>
          <w:snapToGrid w:val="0"/>
        </w:rPr>
        <w:t xml:space="preserve"> may approve container or label</w:t>
      </w:r>
      <w:r>
        <w:tab/>
      </w:r>
      <w:r>
        <w:fldChar w:fldCharType="begin"/>
      </w:r>
      <w:r>
        <w:instrText xml:space="preserve"> PAGEREF _Toc389746673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t>CEO</w:t>
      </w:r>
      <w:r>
        <w:rPr>
          <w:snapToGrid w:val="0"/>
          <w:spacing w:val="-4"/>
        </w:rPr>
        <w:t xml:space="preserve"> may suspend use of container or label</w:t>
      </w:r>
      <w:r>
        <w:tab/>
      </w:r>
      <w:r>
        <w:fldChar w:fldCharType="begin"/>
      </w:r>
      <w:r>
        <w:instrText xml:space="preserve"> PAGEREF _Toc389746674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4 — Storage, disposal and loss or theft of poisons</w:t>
      </w:r>
    </w:p>
    <w:p>
      <w:pPr>
        <w:pStyle w:val="TOC8"/>
        <w:rPr>
          <w:rFonts w:asciiTheme="minorHAnsi" w:eastAsiaTheme="minorEastAsia" w:hAnsiTheme="minorHAnsi" w:cstheme="minorBidi"/>
          <w:szCs w:val="22"/>
        </w:rPr>
      </w:pPr>
      <w:r>
        <w:t>30</w:t>
      </w:r>
      <w:r>
        <w:rPr>
          <w:snapToGrid w:val="0"/>
        </w:rPr>
        <w:t>.</w:t>
      </w:r>
      <w:r>
        <w:rPr>
          <w:snapToGrid w:val="0"/>
        </w:rPr>
        <w:tab/>
        <w:t>Storage of substances other than those specified in regulation 56</w:t>
      </w:r>
      <w:r>
        <w:tab/>
      </w:r>
      <w:r>
        <w:fldChar w:fldCharType="begin"/>
      </w:r>
      <w:r>
        <w:instrText xml:space="preserve"> PAGEREF _Toc389746676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Disposal of poisons</w:t>
      </w:r>
      <w:r>
        <w:tab/>
      </w:r>
      <w:r>
        <w:fldChar w:fldCharType="begin"/>
      </w:r>
      <w:r>
        <w:instrText xml:space="preserve"> PAGEREF _Toc389746677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Notification of loss or theft of poison</w:t>
      </w:r>
      <w:r>
        <w:tab/>
      </w:r>
      <w:r>
        <w:fldChar w:fldCharType="begin"/>
      </w:r>
      <w:r>
        <w:instrText xml:space="preserve"> PAGEREF _Toc389746678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4A</w:t>
      </w:r>
      <w:r>
        <w:rPr>
          <w:b w:val="0"/>
        </w:rPr>
        <w:t> </w:t>
      </w:r>
      <w:r>
        <w:t>—</w:t>
      </w:r>
      <w:r>
        <w:rPr>
          <w:b w:val="0"/>
        </w:rPr>
        <w:t> </w:t>
      </w:r>
      <w:r>
        <w:t>Electronic prescribing systems</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_Toc389746680 \h </w:instrText>
      </w:r>
      <w:r>
        <w:fldChar w:fldCharType="separate"/>
      </w:r>
      <w:r>
        <w:t>29</w:t>
      </w:r>
      <w:r>
        <w:fldChar w:fldCharType="end"/>
      </w:r>
    </w:p>
    <w:p>
      <w:pPr>
        <w:pStyle w:val="TOC8"/>
        <w:rPr>
          <w:rFonts w:asciiTheme="minorHAnsi" w:eastAsiaTheme="minorEastAsia" w:hAnsiTheme="minorHAnsi" w:cstheme="minorBidi"/>
          <w:szCs w:val="22"/>
        </w:rPr>
      </w:pPr>
      <w:r>
        <w:t>32B.</w:t>
      </w:r>
      <w:r>
        <w:tab/>
        <w:t>Approval of electronic prescribing systems</w:t>
      </w:r>
      <w:r>
        <w:tab/>
      </w:r>
      <w:r>
        <w:fldChar w:fldCharType="begin"/>
      </w:r>
      <w:r>
        <w:instrText xml:space="preserve"> PAGEREF _Toc389746681 \h </w:instrText>
      </w:r>
      <w:r>
        <w:fldChar w:fldCharType="separate"/>
      </w:r>
      <w:r>
        <w:t>29</w:t>
      </w:r>
      <w:r>
        <w:fldChar w:fldCharType="end"/>
      </w:r>
    </w:p>
    <w:p>
      <w:pPr>
        <w:pStyle w:val="TOC8"/>
        <w:rPr>
          <w:rFonts w:asciiTheme="minorHAnsi" w:eastAsiaTheme="minorEastAsia" w:hAnsiTheme="minorHAnsi" w:cstheme="minorBidi"/>
          <w:szCs w:val="22"/>
        </w:rPr>
      </w:pPr>
      <w:r>
        <w:t>32C.</w:t>
      </w:r>
      <w:r>
        <w:tab/>
        <w:t>System administrators</w:t>
      </w:r>
      <w:r>
        <w:tab/>
      </w:r>
      <w:r>
        <w:fldChar w:fldCharType="begin"/>
      </w:r>
      <w:r>
        <w:instrText xml:space="preserve"> PAGEREF _Toc389746682 \h </w:instrText>
      </w:r>
      <w:r>
        <w:fldChar w:fldCharType="separate"/>
      </w:r>
      <w:r>
        <w:t>31</w:t>
      </w:r>
      <w:r>
        <w:fldChar w:fldCharType="end"/>
      </w:r>
    </w:p>
    <w:p>
      <w:pPr>
        <w:pStyle w:val="TOC8"/>
        <w:rPr>
          <w:rFonts w:asciiTheme="minorHAnsi" w:eastAsiaTheme="minorEastAsia" w:hAnsiTheme="minorHAnsi" w:cstheme="minorBidi"/>
          <w:szCs w:val="22"/>
        </w:rPr>
      </w:pPr>
      <w:r>
        <w:t>32D.</w:t>
      </w:r>
      <w:r>
        <w:tab/>
        <w:t>Offence provisions</w:t>
      </w:r>
      <w:r>
        <w:tab/>
      </w:r>
      <w:r>
        <w:fldChar w:fldCharType="begin"/>
      </w:r>
      <w:r>
        <w:instrText xml:space="preserve"> PAGEREF _Toc389746683 \h </w:instrText>
      </w:r>
      <w:r>
        <w:fldChar w:fldCharType="separate"/>
      </w:r>
      <w:r>
        <w:t>31</w:t>
      </w:r>
      <w:r>
        <w:fldChar w:fldCharType="end"/>
      </w:r>
    </w:p>
    <w:p>
      <w:pPr>
        <w:pStyle w:val="TOC8"/>
        <w:rPr>
          <w:rFonts w:asciiTheme="minorHAnsi" w:eastAsiaTheme="minorEastAsia" w:hAnsiTheme="minorHAnsi" w:cstheme="minorBidi"/>
          <w:szCs w:val="22"/>
        </w:rPr>
      </w:pPr>
      <w:r>
        <w:t>32E.</w:t>
      </w:r>
      <w:r>
        <w:tab/>
        <w:t>Miscellaneous rules</w:t>
      </w:r>
      <w:r>
        <w:tab/>
      </w:r>
      <w:r>
        <w:fldChar w:fldCharType="begin"/>
      </w:r>
      <w:r>
        <w:instrText xml:space="preserve"> PAGEREF _Toc389746684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5 — Sale, supply and use of poisons</w:t>
      </w:r>
    </w:p>
    <w:p>
      <w:pPr>
        <w:pStyle w:val="TOC4"/>
        <w:tabs>
          <w:tab w:val="right" w:leader="dot" w:pos="7086"/>
        </w:tabs>
        <w:rPr>
          <w:rFonts w:asciiTheme="minorHAnsi" w:eastAsiaTheme="minorEastAsia" w:hAnsiTheme="minorHAnsi" w:cstheme="minorBidi"/>
          <w:b w:val="0"/>
          <w:szCs w:val="22"/>
        </w:rPr>
      </w:pPr>
      <w:r>
        <w:t>Division 1 — Restrictions</w:t>
      </w:r>
    </w:p>
    <w:p>
      <w:pPr>
        <w:pStyle w:val="TOC8"/>
        <w:rPr>
          <w:rFonts w:asciiTheme="minorHAnsi" w:eastAsiaTheme="minorEastAsia" w:hAnsiTheme="minorHAnsi" w:cstheme="minorBidi"/>
          <w:szCs w:val="22"/>
        </w:rPr>
      </w:pPr>
      <w:r>
        <w:t>33</w:t>
      </w:r>
      <w:r>
        <w:rPr>
          <w:snapToGrid w:val="0"/>
        </w:rPr>
        <w:t>.</w:t>
      </w:r>
      <w:r>
        <w:rPr>
          <w:snapToGrid w:val="0"/>
        </w:rPr>
        <w:tab/>
        <w:t>Poison not to be sold to persons under 16 years</w:t>
      </w:r>
      <w:r>
        <w:tab/>
      </w:r>
      <w:r>
        <w:fldChar w:fldCharType="begin"/>
      </w:r>
      <w:r>
        <w:instrText xml:space="preserve"> PAGEREF _Toc389746687 \h </w:instrText>
      </w:r>
      <w:r>
        <w:fldChar w:fldCharType="separate"/>
      </w:r>
      <w:r>
        <w:t>33</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Restrictions applying to veterinary preparations</w:t>
      </w:r>
      <w:r>
        <w:tab/>
      </w:r>
      <w:r>
        <w:fldChar w:fldCharType="begin"/>
      </w:r>
      <w:r>
        <w:instrText xml:space="preserve"> PAGEREF _Toc389746688 \h </w:instrText>
      </w:r>
      <w:r>
        <w:fldChar w:fldCharType="separate"/>
      </w:r>
      <w:r>
        <w:t>33</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Adoption of SUSDP for certain paints</w:t>
      </w:r>
      <w:r>
        <w:tab/>
      </w:r>
      <w:r>
        <w:fldChar w:fldCharType="begin"/>
      </w:r>
      <w:r>
        <w:instrText xml:space="preserve"> PAGEREF _Toc389746689 \h </w:instrText>
      </w:r>
      <w:r>
        <w:fldChar w:fldCharType="separate"/>
      </w:r>
      <w:r>
        <w:t>33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Restrictions on retail sale of substances included in Schedule 2</w:t>
      </w:r>
      <w:r>
        <w:tab/>
      </w:r>
      <w:r>
        <w:fldChar w:fldCharType="begin"/>
      </w:r>
      <w:r>
        <w:instrText xml:space="preserve"> PAGEREF _Toc389746690 \h </w:instrText>
      </w:r>
      <w:r>
        <w:fldChar w:fldCharType="separate"/>
      </w:r>
      <w:r>
        <w:t>34</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Restrictions on retail sale of substances included in Schedule 3</w:t>
      </w:r>
      <w:r>
        <w:tab/>
      </w:r>
      <w:r>
        <w:fldChar w:fldCharType="begin"/>
      </w:r>
      <w:r>
        <w:instrText xml:space="preserve"> PAGEREF _Toc389746691 \h </w:instrText>
      </w:r>
      <w:r>
        <w:fldChar w:fldCharType="separate"/>
      </w:r>
      <w:r>
        <w:t>34</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Storage of substances included in Schedule 3</w:t>
      </w:r>
      <w:r>
        <w:tab/>
      </w:r>
      <w:r>
        <w:fldChar w:fldCharType="begin"/>
      </w:r>
      <w:r>
        <w:instrText xml:space="preserve"> PAGEREF _Toc389746692 \h </w:instrText>
      </w:r>
      <w:r>
        <w:fldChar w:fldCharType="separate"/>
      </w:r>
      <w:r>
        <w:t>36</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Advertising of substances included in Schedule 3</w:t>
      </w:r>
      <w:r>
        <w:tab/>
      </w:r>
      <w:r>
        <w:fldChar w:fldCharType="begin"/>
      </w:r>
      <w:r>
        <w:instrText xml:space="preserve"> PAGEREF _Toc389746693 \h </w:instrText>
      </w:r>
      <w:r>
        <w:fldChar w:fldCharType="separate"/>
      </w:r>
      <w:r>
        <w:t>36</w:t>
      </w:r>
      <w:r>
        <w:fldChar w:fldCharType="end"/>
      </w:r>
    </w:p>
    <w:p>
      <w:pPr>
        <w:pStyle w:val="TOC8"/>
        <w:rPr>
          <w:rFonts w:asciiTheme="minorHAnsi" w:eastAsiaTheme="minorEastAsia" w:hAnsiTheme="minorHAnsi" w:cstheme="minorBidi"/>
          <w:szCs w:val="22"/>
        </w:rPr>
      </w:pPr>
      <w:r>
        <w:t>35D.</w:t>
      </w:r>
      <w:r>
        <w:tab/>
        <w:t>Advertising of substances included in Schedule 4</w:t>
      </w:r>
      <w:r>
        <w:tab/>
      </w:r>
      <w:r>
        <w:fldChar w:fldCharType="begin"/>
      </w:r>
      <w:r>
        <w:instrText xml:space="preserve"> PAGEREF _Toc389746694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2 — Schedule 4 poisons</w:t>
      </w:r>
    </w:p>
    <w:p>
      <w:pPr>
        <w:pStyle w:val="TOC8"/>
        <w:rPr>
          <w:rFonts w:asciiTheme="minorHAnsi" w:eastAsiaTheme="minorEastAsia" w:hAnsiTheme="minorHAnsi" w:cstheme="minorBidi"/>
          <w:szCs w:val="22"/>
        </w:rPr>
      </w:pPr>
      <w:r>
        <w:t>36</w:t>
      </w:r>
      <w:r>
        <w:rPr>
          <w:snapToGrid w:val="0"/>
        </w:rPr>
        <w:t>.</w:t>
      </w:r>
      <w:r>
        <w:rPr>
          <w:snapToGrid w:val="0"/>
        </w:rPr>
        <w:tab/>
        <w:t>Supply of poisons included in Schedule 4</w:t>
      </w:r>
      <w:r>
        <w:tab/>
      </w:r>
      <w:r>
        <w:fldChar w:fldCharType="begin"/>
      </w:r>
      <w:r>
        <w:instrText xml:space="preserve"> PAGEREF _Toc389746696 \h </w:instrText>
      </w:r>
      <w:r>
        <w:fldChar w:fldCharType="separate"/>
      </w:r>
      <w:r>
        <w:t>37</w:t>
      </w:r>
      <w:r>
        <w:fldChar w:fldCharType="end"/>
      </w:r>
    </w:p>
    <w:p>
      <w:pPr>
        <w:pStyle w:val="TOC8"/>
        <w:rPr>
          <w:rFonts w:asciiTheme="minorHAnsi" w:eastAsiaTheme="minorEastAsia" w:hAnsiTheme="minorHAnsi" w:cstheme="minorBidi"/>
          <w:szCs w:val="22"/>
        </w:rPr>
      </w:pPr>
      <w:r>
        <w:t>36AA.</w:t>
      </w:r>
      <w:r>
        <w:tab/>
        <w:t>Provision of approved starter packs by registered nurses</w:t>
      </w:r>
      <w:r>
        <w:tab/>
      </w:r>
      <w:r>
        <w:fldChar w:fldCharType="begin"/>
      </w:r>
      <w:r>
        <w:instrText xml:space="preserve"> PAGEREF _Toc389746697 \h </w:instrText>
      </w:r>
      <w:r>
        <w:fldChar w:fldCharType="separate"/>
      </w:r>
      <w:r>
        <w:t>42</w:t>
      </w:r>
      <w:r>
        <w:fldChar w:fldCharType="end"/>
      </w:r>
    </w:p>
    <w:p>
      <w:pPr>
        <w:pStyle w:val="TOC8"/>
        <w:rPr>
          <w:rFonts w:asciiTheme="minorHAnsi" w:eastAsiaTheme="minorEastAsia" w:hAnsiTheme="minorHAnsi" w:cstheme="minorBidi"/>
          <w:szCs w:val="22"/>
        </w:rPr>
      </w:pPr>
      <w:r>
        <w:t>36AAB.</w:t>
      </w:r>
      <w:r>
        <w:tab/>
        <w:t>Provision of psychiatric emergency packs by certain registered nurses</w:t>
      </w:r>
      <w:r>
        <w:tab/>
      </w:r>
      <w:r>
        <w:fldChar w:fldCharType="begin"/>
      </w:r>
      <w:r>
        <w:instrText xml:space="preserve"> PAGEREF _Toc389746698 \h </w:instrText>
      </w:r>
      <w:r>
        <w:fldChar w:fldCharType="separate"/>
      </w:r>
      <w:r>
        <w:t>46</w:t>
      </w:r>
      <w:r>
        <w:fldChar w:fldCharType="end"/>
      </w:r>
    </w:p>
    <w:p>
      <w:pPr>
        <w:pStyle w:val="TOC8"/>
        <w:rPr>
          <w:rFonts w:asciiTheme="minorHAnsi" w:eastAsiaTheme="minorEastAsia" w:hAnsiTheme="minorHAnsi" w:cstheme="minorBidi"/>
          <w:szCs w:val="22"/>
        </w:rPr>
      </w:pPr>
      <w:r>
        <w:t>36A.</w:t>
      </w:r>
      <w:r>
        <w:tab/>
        <w:t>Storage of substances included in Schedule 4</w:t>
      </w:r>
      <w:r>
        <w:tab/>
      </w:r>
      <w:r>
        <w:fldChar w:fldCharType="begin"/>
      </w:r>
      <w:r>
        <w:instrText xml:space="preserve"> PAGEREF _Toc389746699 \h </w:instrText>
      </w:r>
      <w:r>
        <w:fldChar w:fldCharType="separate"/>
      </w:r>
      <w:r>
        <w:t>50</w:t>
      </w:r>
      <w:r>
        <w:fldChar w:fldCharType="end"/>
      </w:r>
    </w:p>
    <w:p>
      <w:pPr>
        <w:pStyle w:val="TOC8"/>
        <w:rPr>
          <w:rFonts w:asciiTheme="minorHAnsi" w:eastAsiaTheme="minorEastAsia" w:hAnsiTheme="minorHAnsi" w:cstheme="minorBidi"/>
          <w:szCs w:val="22"/>
        </w:rPr>
      </w:pPr>
      <w:r>
        <w:t>36B.</w:t>
      </w:r>
      <w:r>
        <w:tab/>
        <w:t>Record of supply or administration of substances included in Schedule 4</w:t>
      </w:r>
      <w:r>
        <w:tab/>
      </w:r>
      <w:r>
        <w:fldChar w:fldCharType="begin"/>
      </w:r>
      <w:r>
        <w:instrText xml:space="preserve"> PAGEREF _Toc389746700 \h </w:instrText>
      </w:r>
      <w:r>
        <w:fldChar w:fldCharType="separate"/>
      </w:r>
      <w:r>
        <w:t>51</w:t>
      </w:r>
      <w:r>
        <w:fldChar w:fldCharType="end"/>
      </w:r>
    </w:p>
    <w:p>
      <w:pPr>
        <w:pStyle w:val="TOC8"/>
        <w:rPr>
          <w:rFonts w:asciiTheme="minorHAnsi" w:eastAsiaTheme="minorEastAsia" w:hAnsiTheme="minorHAnsi" w:cstheme="minorBidi"/>
          <w:szCs w:val="22"/>
        </w:rPr>
      </w:pPr>
      <w:r>
        <w:t>37A.</w:t>
      </w:r>
      <w:r>
        <w:tab/>
        <w:t>H1N1 Pandemic Influenza Vaccine — exemption from specified provisions of the Act</w:t>
      </w:r>
      <w:r>
        <w:tab/>
      </w:r>
      <w:r>
        <w:fldChar w:fldCharType="begin"/>
      </w:r>
      <w:r>
        <w:instrText xml:space="preserve"> PAGEREF _Toc389746701 \h </w:instrText>
      </w:r>
      <w:r>
        <w:fldChar w:fldCharType="separate"/>
      </w:r>
      <w:r>
        <w:t>52</w:t>
      </w:r>
      <w:r>
        <w:fldChar w:fldCharType="end"/>
      </w:r>
    </w:p>
    <w:p>
      <w:pPr>
        <w:pStyle w:val="TOC8"/>
        <w:rPr>
          <w:rFonts w:asciiTheme="minorHAnsi" w:eastAsiaTheme="minorEastAsia" w:hAnsiTheme="minorHAnsi" w:cstheme="minorBidi"/>
          <w:szCs w:val="22"/>
        </w:rPr>
      </w:pPr>
      <w:r>
        <w:t>37B.</w:t>
      </w:r>
      <w:r>
        <w:tab/>
        <w:t>Vaccines — exemption from specified provisions of the Act</w:t>
      </w:r>
      <w:r>
        <w:tab/>
      </w:r>
      <w:r>
        <w:fldChar w:fldCharType="begin"/>
      </w:r>
      <w:r>
        <w:instrText xml:space="preserve"> PAGEREF _Toc389746702 \h </w:instrText>
      </w:r>
      <w:r>
        <w:fldChar w:fldCharType="separate"/>
      </w:r>
      <w:r>
        <w:t>53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Conditions for prescription of a poison included in Schedule 4</w:t>
      </w:r>
      <w:r>
        <w:tab/>
      </w:r>
      <w:r>
        <w:fldChar w:fldCharType="begin"/>
      </w:r>
      <w:r>
        <w:instrText xml:space="preserve"> PAGEREF _Toc389746703 \h </w:instrText>
      </w:r>
      <w:r>
        <w:fldChar w:fldCharType="separate"/>
      </w:r>
      <w:r>
        <w:t>53</w:t>
      </w:r>
      <w:r>
        <w:fldChar w:fldCharType="end"/>
      </w:r>
    </w:p>
    <w:p>
      <w:pPr>
        <w:pStyle w:val="TOC8"/>
        <w:rPr>
          <w:rFonts w:asciiTheme="minorHAnsi" w:eastAsiaTheme="minorEastAsia" w:hAnsiTheme="minorHAnsi" w:cstheme="minorBidi"/>
          <w:szCs w:val="22"/>
        </w:rPr>
      </w:pPr>
      <w:r>
        <w:t>38A.</w:t>
      </w:r>
      <w:r>
        <w:tab/>
        <w:t>Prescriptions for poisons included in Schedule 4 for patient discharged from public hospital</w:t>
      </w:r>
      <w:r>
        <w:tab/>
      </w:r>
      <w:r>
        <w:fldChar w:fldCharType="begin"/>
      </w:r>
      <w:r>
        <w:instrText xml:space="preserve"> PAGEREF _Toc389746704 \h </w:instrText>
      </w:r>
      <w:r>
        <w:fldChar w:fldCharType="separate"/>
      </w:r>
      <w:r>
        <w:t>55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snapToGrid w:val="0"/>
          <w:spacing w:val="-4"/>
        </w:rPr>
        <w:t>Dispensing poisons included in Schedule 4 in emergency cases</w:t>
      </w:r>
      <w:r>
        <w:tab/>
      </w:r>
      <w:r>
        <w:fldChar w:fldCharType="begin"/>
      </w:r>
      <w:r>
        <w:instrText xml:space="preserve"> PAGEREF _Toc389746705 \h </w:instrText>
      </w:r>
      <w:r>
        <w:fldChar w:fldCharType="separate"/>
      </w:r>
      <w:r>
        <w:t>56</w:t>
      </w:r>
      <w:r>
        <w:fldChar w:fldCharType="end"/>
      </w:r>
    </w:p>
    <w:p>
      <w:pPr>
        <w:pStyle w:val="TOC8"/>
        <w:rPr>
          <w:rFonts w:asciiTheme="minorHAnsi" w:eastAsiaTheme="minorEastAsia" w:hAnsiTheme="minorHAnsi" w:cstheme="minorBidi"/>
          <w:szCs w:val="22"/>
        </w:rPr>
      </w:pPr>
      <w:r>
        <w:t>38AA</w:t>
      </w:r>
      <w:r>
        <w:rPr>
          <w:snapToGrid w:val="0"/>
        </w:rPr>
        <w:t>.</w:t>
      </w:r>
      <w:r>
        <w:rPr>
          <w:snapToGrid w:val="0"/>
        </w:rPr>
        <w:tab/>
        <w:t>Administration of poisons included in Schedule 4 in hospital</w:t>
      </w:r>
      <w:r>
        <w:tab/>
      </w:r>
      <w:r>
        <w:fldChar w:fldCharType="begin"/>
      </w:r>
      <w:r>
        <w:instrText xml:space="preserve"> PAGEREF _Toc389746706 \h </w:instrText>
      </w:r>
      <w:r>
        <w:fldChar w:fldCharType="separate"/>
      </w:r>
      <w:r>
        <w:t>56</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Clomiphene and cyclofenil</w:t>
      </w:r>
      <w:r>
        <w:tab/>
      </w:r>
      <w:r>
        <w:fldChar w:fldCharType="begin"/>
      </w:r>
      <w:r>
        <w:instrText xml:space="preserve"> PAGEREF _Toc389746707 \h </w:instrText>
      </w:r>
      <w:r>
        <w:fldChar w:fldCharType="separate"/>
      </w:r>
      <w:r>
        <w:t>57</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Etretinate or acitretin</w:t>
      </w:r>
      <w:r>
        <w:tab/>
      </w:r>
      <w:r>
        <w:fldChar w:fldCharType="begin"/>
      </w:r>
      <w:r>
        <w:instrText xml:space="preserve"> PAGEREF _Toc389746708 \h </w:instrText>
      </w:r>
      <w:r>
        <w:fldChar w:fldCharType="separate"/>
      </w:r>
      <w:r>
        <w:t>57</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Prostaglandins</w:t>
      </w:r>
      <w:r>
        <w:tab/>
      </w:r>
      <w:r>
        <w:fldChar w:fldCharType="begin"/>
      </w:r>
      <w:r>
        <w:instrText xml:space="preserve"> PAGEREF _Toc389746709 \h </w:instrText>
      </w:r>
      <w:r>
        <w:fldChar w:fldCharType="separate"/>
      </w:r>
      <w:r>
        <w:t>58</w:t>
      </w:r>
      <w:r>
        <w:fldChar w:fldCharType="end"/>
      </w:r>
    </w:p>
    <w:p>
      <w:pPr>
        <w:pStyle w:val="TOC8"/>
        <w:rPr>
          <w:rFonts w:asciiTheme="minorHAnsi" w:eastAsiaTheme="minorEastAsia" w:hAnsiTheme="minorHAnsi" w:cstheme="minorBidi"/>
          <w:szCs w:val="22"/>
        </w:rPr>
      </w:pPr>
      <w:r>
        <w:t>38F.</w:t>
      </w:r>
      <w:r>
        <w:tab/>
        <w:t>Isotr</w:t>
      </w:r>
      <w:r>
        <w:rPr>
          <w:snapToGrid w:val="0"/>
        </w:rPr>
        <w:t>e</w:t>
      </w:r>
      <w:r>
        <w:t>tinoin</w:t>
      </w:r>
      <w:r>
        <w:tab/>
      </w:r>
      <w:r>
        <w:fldChar w:fldCharType="begin"/>
      </w:r>
      <w:r>
        <w:instrText xml:space="preserve"> PAGEREF _Toc389746710 \h </w:instrText>
      </w:r>
      <w:r>
        <w:fldChar w:fldCharType="separate"/>
      </w:r>
      <w:r>
        <w:t>59</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Thalidomide for human use</w:t>
      </w:r>
      <w:r>
        <w:tab/>
      </w:r>
      <w:r>
        <w:fldChar w:fldCharType="begin"/>
      </w:r>
      <w:r>
        <w:instrText xml:space="preserve"> PAGEREF _Toc389746711 \h </w:instrText>
      </w:r>
      <w:r>
        <w:fldChar w:fldCharType="separate"/>
      </w:r>
      <w:r>
        <w:t>59</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Chloramphenicol</w:t>
      </w:r>
      <w:r>
        <w:tab/>
      </w:r>
      <w:r>
        <w:fldChar w:fldCharType="begin"/>
      </w:r>
      <w:r>
        <w:instrText xml:space="preserve"> PAGEREF _Toc389746712 \h </w:instrText>
      </w:r>
      <w:r>
        <w:fldChar w:fldCharType="separate"/>
      </w:r>
      <w:r>
        <w:t>60</w:t>
      </w:r>
      <w:r>
        <w:fldChar w:fldCharType="end"/>
      </w:r>
    </w:p>
    <w:p>
      <w:pPr>
        <w:pStyle w:val="TOC8"/>
        <w:rPr>
          <w:rFonts w:asciiTheme="minorHAnsi" w:eastAsiaTheme="minorEastAsia" w:hAnsiTheme="minorHAnsi" w:cstheme="minorBidi"/>
          <w:szCs w:val="22"/>
        </w:rPr>
      </w:pPr>
      <w:r>
        <w:t>38I</w:t>
      </w:r>
      <w:r>
        <w:rPr>
          <w:snapToGrid w:val="0"/>
        </w:rPr>
        <w:t>.</w:t>
      </w:r>
      <w:r>
        <w:rPr>
          <w:snapToGrid w:val="0"/>
        </w:rPr>
        <w:tab/>
        <w:t>Follicular stimulating hormone and luteinising hormone</w:t>
      </w:r>
      <w:r>
        <w:tab/>
      </w:r>
      <w:r>
        <w:fldChar w:fldCharType="begin"/>
      </w:r>
      <w:r>
        <w:instrText xml:space="preserve"> PAGEREF _Toc389746713 \h </w:instrText>
      </w:r>
      <w:r>
        <w:fldChar w:fldCharType="separate"/>
      </w:r>
      <w:r>
        <w:t>60</w:t>
      </w:r>
      <w:r>
        <w:fldChar w:fldCharType="end"/>
      </w:r>
    </w:p>
    <w:p>
      <w:pPr>
        <w:pStyle w:val="TOC8"/>
        <w:rPr>
          <w:rFonts w:asciiTheme="minorHAnsi" w:eastAsiaTheme="minorEastAsia" w:hAnsiTheme="minorHAnsi" w:cstheme="minorBidi"/>
          <w:szCs w:val="22"/>
        </w:rPr>
      </w:pPr>
      <w:r>
        <w:t>38K</w:t>
      </w:r>
      <w:r>
        <w:rPr>
          <w:snapToGrid w:val="0"/>
        </w:rPr>
        <w:t>.</w:t>
      </w:r>
      <w:r>
        <w:rPr>
          <w:snapToGrid w:val="0"/>
        </w:rPr>
        <w:tab/>
        <w:t>Carnidazole</w:t>
      </w:r>
      <w:r>
        <w:tab/>
      </w:r>
      <w:r>
        <w:fldChar w:fldCharType="begin"/>
      </w:r>
      <w:r>
        <w:instrText xml:space="preserve"> PAGEREF _Toc389746714 \h </w:instrText>
      </w:r>
      <w:r>
        <w:fldChar w:fldCharType="separate"/>
      </w:r>
      <w:r>
        <w:t>61</w:t>
      </w:r>
      <w:r>
        <w:fldChar w:fldCharType="end"/>
      </w:r>
    </w:p>
    <w:p>
      <w:pPr>
        <w:pStyle w:val="TOC8"/>
        <w:rPr>
          <w:rFonts w:asciiTheme="minorHAnsi" w:eastAsiaTheme="minorEastAsia" w:hAnsiTheme="minorHAnsi" w:cstheme="minorBidi"/>
          <w:szCs w:val="22"/>
        </w:rPr>
      </w:pPr>
      <w:r>
        <w:t>38L</w:t>
      </w:r>
      <w:r>
        <w:rPr>
          <w:snapToGrid w:val="0"/>
        </w:rPr>
        <w:t>.</w:t>
      </w:r>
      <w:r>
        <w:rPr>
          <w:snapToGrid w:val="0"/>
        </w:rPr>
        <w:tab/>
        <w:t>Oxolinic acid</w:t>
      </w:r>
      <w:r>
        <w:tab/>
      </w:r>
      <w:r>
        <w:fldChar w:fldCharType="begin"/>
      </w:r>
      <w:r>
        <w:instrText xml:space="preserve"> PAGEREF _Toc389746715 \h </w:instrText>
      </w:r>
      <w:r>
        <w:fldChar w:fldCharType="separate"/>
      </w:r>
      <w:r>
        <w:t>61</w:t>
      </w:r>
      <w:r>
        <w:fldChar w:fldCharType="end"/>
      </w:r>
    </w:p>
    <w:p>
      <w:pPr>
        <w:pStyle w:val="TOC8"/>
        <w:rPr>
          <w:rFonts w:asciiTheme="minorHAnsi" w:eastAsiaTheme="minorEastAsia" w:hAnsiTheme="minorHAnsi" w:cstheme="minorBidi"/>
          <w:szCs w:val="22"/>
        </w:rPr>
      </w:pPr>
      <w:r>
        <w:t>38M</w:t>
      </w:r>
      <w:r>
        <w:rPr>
          <w:snapToGrid w:val="0"/>
        </w:rPr>
        <w:t>.</w:t>
      </w:r>
      <w:r>
        <w:rPr>
          <w:snapToGrid w:val="0"/>
        </w:rPr>
        <w:tab/>
        <w:t>Clozapine</w:t>
      </w:r>
      <w:r>
        <w:tab/>
      </w:r>
      <w:r>
        <w:fldChar w:fldCharType="begin"/>
      </w:r>
      <w:r>
        <w:instrText xml:space="preserve"> PAGEREF _Toc389746716 \h </w:instrText>
      </w:r>
      <w:r>
        <w:fldChar w:fldCharType="separate"/>
      </w:r>
      <w:r>
        <w:t>61</w:t>
      </w:r>
      <w:r>
        <w:fldChar w:fldCharType="end"/>
      </w:r>
    </w:p>
    <w:p>
      <w:pPr>
        <w:pStyle w:val="TOC8"/>
        <w:rPr>
          <w:rFonts w:asciiTheme="minorHAnsi" w:eastAsiaTheme="minorEastAsia" w:hAnsiTheme="minorHAnsi" w:cstheme="minorBidi"/>
          <w:szCs w:val="22"/>
        </w:rPr>
      </w:pPr>
      <w:r>
        <w:t>38N</w:t>
      </w:r>
      <w:r>
        <w:rPr>
          <w:snapToGrid w:val="0"/>
        </w:rPr>
        <w:t>.</w:t>
      </w:r>
      <w:r>
        <w:rPr>
          <w:snapToGrid w:val="0"/>
        </w:rPr>
        <w:tab/>
        <w:t>Nitrofuran derivatives</w:t>
      </w:r>
      <w:r>
        <w:tab/>
      </w:r>
      <w:r>
        <w:fldChar w:fldCharType="begin"/>
      </w:r>
      <w:r>
        <w:instrText xml:space="preserve"> PAGEREF _Toc389746717 \h </w:instrText>
      </w:r>
      <w:r>
        <w:fldChar w:fldCharType="separate"/>
      </w:r>
      <w:r>
        <w:t>62</w:t>
      </w:r>
      <w:r>
        <w:fldChar w:fldCharType="end"/>
      </w:r>
    </w:p>
    <w:p>
      <w:pPr>
        <w:pStyle w:val="TOC8"/>
        <w:rPr>
          <w:rFonts w:asciiTheme="minorHAnsi" w:eastAsiaTheme="minorEastAsia" w:hAnsiTheme="minorHAnsi" w:cstheme="minorBidi"/>
          <w:szCs w:val="22"/>
        </w:rPr>
      </w:pPr>
      <w:r>
        <w:t>38O.</w:t>
      </w:r>
      <w:r>
        <w:tab/>
        <w:t>Bosentan for human use</w:t>
      </w:r>
      <w:r>
        <w:tab/>
      </w:r>
      <w:r>
        <w:fldChar w:fldCharType="begin"/>
      </w:r>
      <w:r>
        <w:instrText xml:space="preserve"> PAGEREF _Toc389746718 \h </w:instrText>
      </w:r>
      <w:r>
        <w:fldChar w:fldCharType="separate"/>
      </w:r>
      <w:r>
        <w:t>62</w:t>
      </w:r>
      <w:r>
        <w:fldChar w:fldCharType="end"/>
      </w:r>
    </w:p>
    <w:p>
      <w:pPr>
        <w:pStyle w:val="TOC8"/>
        <w:rPr>
          <w:rFonts w:asciiTheme="minorHAnsi" w:eastAsiaTheme="minorEastAsia" w:hAnsiTheme="minorHAnsi" w:cstheme="minorBidi"/>
          <w:szCs w:val="22"/>
        </w:rPr>
      </w:pPr>
      <w:r>
        <w:t>38P.</w:t>
      </w:r>
      <w:r>
        <w:tab/>
        <w:t>Teriparatide for human use</w:t>
      </w:r>
      <w:r>
        <w:tab/>
      </w:r>
      <w:r>
        <w:fldChar w:fldCharType="begin"/>
      </w:r>
      <w:r>
        <w:instrText xml:space="preserve"> PAGEREF _Toc389746719 \h </w:instrText>
      </w:r>
      <w:r>
        <w:fldChar w:fldCharType="separate"/>
      </w:r>
      <w:r>
        <w:t>63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Veterinary use of poisons included in Schedule 4</w:t>
      </w:r>
      <w:r>
        <w:tab/>
      </w:r>
      <w:r>
        <w:fldChar w:fldCharType="begin"/>
      </w:r>
      <w:r>
        <w:instrText xml:space="preserve"> PAGEREF _Toc389746720 \h </w:instrText>
      </w:r>
      <w:r>
        <w:fldChar w:fldCharType="separate"/>
      </w:r>
      <w:r>
        <w:t>63</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Stockfeed manufacturers may sell poisons included in Schedule 4</w:t>
      </w:r>
      <w:r>
        <w:tab/>
      </w:r>
      <w:r>
        <w:fldChar w:fldCharType="begin"/>
      </w:r>
      <w:r>
        <w:instrText xml:space="preserve"> PAGEREF _Toc389746721 \h </w:instrText>
      </w:r>
      <w:r>
        <w:fldChar w:fldCharType="separate"/>
      </w:r>
      <w:r>
        <w:t>64</w:t>
      </w:r>
      <w:r>
        <w:fldChar w:fldCharType="end"/>
      </w:r>
    </w:p>
    <w:p>
      <w:pPr>
        <w:pStyle w:val="TOC8"/>
        <w:rPr>
          <w:rFonts w:asciiTheme="minorHAnsi" w:eastAsiaTheme="minorEastAsia" w:hAnsiTheme="minorHAnsi" w:cstheme="minorBidi"/>
          <w:szCs w:val="22"/>
        </w:rPr>
      </w:pPr>
      <w:r>
        <w:t>39BA.</w:t>
      </w:r>
      <w:r>
        <w:tab/>
        <w:t>Use of poisons included in Schedule 4 on certificated commercial vessels</w:t>
      </w:r>
      <w:r>
        <w:tab/>
      </w:r>
      <w:r>
        <w:fldChar w:fldCharType="begin"/>
      </w:r>
      <w:r>
        <w:instrText xml:space="preserve"> PAGEREF _Toc389746722 \h </w:instrText>
      </w:r>
      <w:r>
        <w:fldChar w:fldCharType="separate"/>
      </w:r>
      <w:r>
        <w:t>65</w:t>
      </w:r>
      <w:r>
        <w:fldChar w:fldCharType="end"/>
      </w:r>
    </w:p>
    <w:p>
      <w:pPr>
        <w:pStyle w:val="TOC8"/>
        <w:rPr>
          <w:rFonts w:asciiTheme="minorHAnsi" w:eastAsiaTheme="minorEastAsia" w:hAnsiTheme="minorHAnsi" w:cstheme="minorBidi"/>
          <w:szCs w:val="22"/>
        </w:rPr>
      </w:pPr>
      <w:r>
        <w:t>39BB.</w:t>
      </w:r>
      <w:r>
        <w:tab/>
        <w:t>Use of poisons included in Schedule 4 on racing yachts</w:t>
      </w:r>
      <w:r>
        <w:tab/>
      </w:r>
      <w:r>
        <w:fldChar w:fldCharType="begin"/>
      </w:r>
      <w:r>
        <w:instrText xml:space="preserve"> PAGEREF _Toc389746723 \h </w:instrText>
      </w:r>
      <w:r>
        <w:fldChar w:fldCharType="separate"/>
      </w:r>
      <w:r>
        <w:t>66</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Use of poisons included in Schedule 4 on ships and aircraft</w:t>
      </w:r>
      <w:r>
        <w:tab/>
      </w:r>
      <w:r>
        <w:fldChar w:fldCharType="begin"/>
      </w:r>
      <w:r>
        <w:instrText xml:space="preserve"> PAGEREF _Toc389746724 \h </w:instrText>
      </w:r>
      <w:r>
        <w:fldChar w:fldCharType="separate"/>
      </w:r>
      <w:r>
        <w:t>67</w:t>
      </w:r>
      <w:r>
        <w:fldChar w:fldCharType="end"/>
      </w:r>
    </w:p>
    <w:p>
      <w:pPr>
        <w:pStyle w:val="TOC8"/>
        <w:rPr>
          <w:rFonts w:asciiTheme="minorHAnsi" w:eastAsiaTheme="minorEastAsia" w:hAnsiTheme="minorHAnsi" w:cstheme="minorBidi"/>
          <w:szCs w:val="22"/>
        </w:rPr>
      </w:pPr>
      <w:r>
        <w:t>39C.</w:t>
      </w:r>
      <w:r>
        <w:tab/>
        <w:t>Use of poisons included in Schedule 4 on ships carrying livestock</w:t>
      </w:r>
      <w:r>
        <w:tab/>
      </w:r>
      <w:r>
        <w:fldChar w:fldCharType="begin"/>
      </w:r>
      <w:r>
        <w:instrText xml:space="preserve"> PAGEREF _Toc389746725 \h </w:instrText>
      </w:r>
      <w:r>
        <w:fldChar w:fldCharType="separate"/>
      </w:r>
      <w:r>
        <w:t>69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Special authority to purchase poisons included in Schedule 4</w:t>
      </w:r>
      <w:r>
        <w:tab/>
      </w:r>
      <w:r>
        <w:fldChar w:fldCharType="begin"/>
      </w:r>
      <w:r>
        <w:instrText xml:space="preserve"> PAGEREF _Toc389746726 \h </w:instrText>
      </w:r>
      <w:r>
        <w:fldChar w:fldCharType="separate"/>
      </w:r>
      <w:r>
        <w:t>70</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Delivery of a poison included in Schedule 4 on order</w:t>
      </w:r>
      <w:r>
        <w:tab/>
      </w:r>
      <w:r>
        <w:fldChar w:fldCharType="begin"/>
      </w:r>
      <w:r>
        <w:instrText xml:space="preserve"> PAGEREF _Toc389746727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41</w:t>
      </w:r>
      <w:r>
        <w:rPr>
          <w:snapToGrid w:val="0"/>
        </w:rPr>
        <w:t>.</w:t>
      </w:r>
      <w:r>
        <w:rPr>
          <w:snapToGrid w:val="0"/>
        </w:rPr>
        <w:tab/>
        <w:t>Revocation notice in relation to poisons included in Schedule 6</w:t>
      </w:r>
      <w:r>
        <w:tab/>
      </w:r>
      <w:r>
        <w:fldChar w:fldCharType="begin"/>
      </w:r>
      <w:r>
        <w:instrText xml:space="preserve"> PAGEREF _Toc389746729 \h </w:instrText>
      </w:r>
      <w:r>
        <w:fldChar w:fldCharType="separate"/>
      </w:r>
      <w:r>
        <w:t>72</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Sale of poisons included in Schedule 7</w:t>
      </w:r>
      <w:r>
        <w:tab/>
      </w:r>
      <w:r>
        <w:fldChar w:fldCharType="begin"/>
      </w:r>
      <w:r>
        <w:instrText xml:space="preserve"> PAGEREF _Toc389746730 \h </w:instrText>
      </w:r>
      <w:r>
        <w:fldChar w:fldCharType="separate"/>
      </w:r>
      <w:r>
        <w:t>72</w:t>
      </w:r>
      <w:r>
        <w:fldChar w:fldCharType="end"/>
      </w:r>
    </w:p>
    <w:p>
      <w:pPr>
        <w:pStyle w:val="TOC8"/>
        <w:rPr>
          <w:rFonts w:asciiTheme="minorHAnsi" w:eastAsiaTheme="minorEastAsia" w:hAnsiTheme="minorHAnsi" w:cstheme="minorBidi"/>
          <w:szCs w:val="22"/>
        </w:rPr>
      </w:pPr>
      <w:r>
        <w:t>41AA</w:t>
      </w:r>
      <w:r>
        <w:rPr>
          <w:snapToGrid w:val="0"/>
        </w:rPr>
        <w:t>.</w:t>
      </w:r>
      <w:r>
        <w:rPr>
          <w:snapToGrid w:val="0"/>
        </w:rPr>
        <w:tab/>
        <w:t>Standard for intramammary antibiotic preparations</w:t>
      </w:r>
      <w:r>
        <w:tab/>
      </w:r>
      <w:r>
        <w:fldChar w:fldCharType="begin"/>
      </w:r>
      <w:r>
        <w:instrText xml:space="preserve"> PAGEREF _Toc389746731 \h </w:instrText>
      </w:r>
      <w:r>
        <w:fldChar w:fldCharType="separate"/>
      </w:r>
      <w:r>
        <w:t>73</w:t>
      </w:r>
      <w:r>
        <w:fldChar w:fldCharType="end"/>
      </w:r>
    </w:p>
    <w:p>
      <w:pPr>
        <w:pStyle w:val="TOC8"/>
        <w:rPr>
          <w:rFonts w:asciiTheme="minorHAnsi" w:eastAsiaTheme="minorEastAsia" w:hAnsiTheme="minorHAnsi" w:cstheme="minorBidi"/>
          <w:szCs w:val="22"/>
        </w:rPr>
      </w:pPr>
      <w:r>
        <w:t>41AB</w:t>
      </w:r>
      <w:r>
        <w:rPr>
          <w:snapToGrid w:val="0"/>
        </w:rPr>
        <w:t>.</w:t>
      </w:r>
      <w:r>
        <w:rPr>
          <w:snapToGrid w:val="0"/>
        </w:rPr>
        <w:tab/>
        <w:t>Camphor and naphthalene</w:t>
      </w:r>
      <w:r>
        <w:tab/>
      </w:r>
      <w:r>
        <w:fldChar w:fldCharType="begin"/>
      </w:r>
      <w:r>
        <w:instrText xml:space="preserve"> PAGEREF _Toc389746732 \h </w:instrText>
      </w:r>
      <w:r>
        <w:fldChar w:fldCharType="separate"/>
      </w:r>
      <w:r>
        <w:t>74</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Record of poisons included in Schedule 3, 4 or 7</w:t>
      </w:r>
      <w:r>
        <w:tab/>
      </w:r>
      <w:r>
        <w:fldChar w:fldCharType="begin"/>
      </w:r>
      <w:r>
        <w:instrText xml:space="preserve"> PAGEREF _Toc389746733 \h </w:instrText>
      </w:r>
      <w:r>
        <w:fldChar w:fldCharType="separate"/>
      </w:r>
      <w:r>
        <w:t>74</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Access to poisons included in Schedule 7</w:t>
      </w:r>
      <w:r>
        <w:tab/>
      </w:r>
      <w:r>
        <w:fldChar w:fldCharType="begin"/>
      </w:r>
      <w:r>
        <w:instrText xml:space="preserve"> PAGEREF _Toc389746734 \h </w:instrText>
      </w:r>
      <w:r>
        <w:fldChar w:fldCharType="separate"/>
      </w:r>
      <w:r>
        <w:t>75</w:t>
      </w:r>
      <w:r>
        <w:fldChar w:fldCharType="end"/>
      </w:r>
    </w:p>
    <w:p>
      <w:pPr>
        <w:pStyle w:val="TOC8"/>
        <w:rPr>
          <w:rFonts w:asciiTheme="minorHAnsi" w:eastAsiaTheme="minorEastAsia" w:hAnsiTheme="minorHAnsi" w:cstheme="minorBidi"/>
          <w:szCs w:val="22"/>
        </w:rPr>
      </w:pPr>
      <w:r>
        <w:t>41D.</w:t>
      </w:r>
      <w:r>
        <w:tab/>
        <w:t>Emergency supply of adrenaline in schools and child care centres</w:t>
      </w:r>
      <w:r>
        <w:tab/>
      </w:r>
      <w:r>
        <w:fldChar w:fldCharType="begin"/>
      </w:r>
      <w:r>
        <w:instrText xml:space="preserve"> PAGEREF _Toc389746735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rPr>
      </w:pPr>
      <w:r>
        <w:t>Part 6 — Drugs of addiction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42A.</w:t>
      </w:r>
      <w:r>
        <w:tab/>
        <w:t>Interpretation</w:t>
      </w:r>
      <w:r>
        <w:tab/>
      </w:r>
      <w:r>
        <w:fldChar w:fldCharType="begin"/>
      </w:r>
      <w:r>
        <w:instrText xml:space="preserve"> PAGEREF _Toc389746738 \h </w:instrText>
      </w:r>
      <w:r>
        <w:fldChar w:fldCharType="separate"/>
      </w:r>
      <w:r>
        <w:t>77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Authority for prescribed persons to procure and have poisons included in Schedule 8</w:t>
      </w:r>
      <w:r>
        <w:tab/>
      </w:r>
      <w:r>
        <w:fldChar w:fldCharType="begin"/>
      </w:r>
      <w:r>
        <w:instrText xml:space="preserve"> PAGEREF _Toc389746739 \h </w:instrText>
      </w:r>
      <w:r>
        <w:fldChar w:fldCharType="separate"/>
      </w:r>
      <w:r>
        <w:t>77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Authority for pharmacists to retail, compound and dispense poisons included in Schedule 8</w:t>
      </w:r>
      <w:r>
        <w:tab/>
      </w:r>
      <w:r>
        <w:fldChar w:fldCharType="begin"/>
      </w:r>
      <w:r>
        <w:instrText xml:space="preserve"> PAGEREF _Toc389746740 \h </w:instrText>
      </w:r>
      <w:r>
        <w:fldChar w:fldCharType="separate"/>
      </w:r>
      <w:r>
        <w:t>79</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Revocation notice in relation to poisons included in Schedule 8 and specified drugs</w:t>
      </w:r>
      <w:r>
        <w:tab/>
      </w:r>
      <w:r>
        <w:fldChar w:fldCharType="begin"/>
      </w:r>
      <w:r>
        <w:instrText xml:space="preserve"> PAGEREF _Toc389746741 \h </w:instrText>
      </w:r>
      <w:r>
        <w:fldChar w:fldCharType="separate"/>
      </w:r>
      <w:r>
        <w:t>80</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Prescribed purposes (section 41(1))</w:t>
      </w:r>
      <w:r>
        <w:tab/>
      </w:r>
      <w:r>
        <w:fldChar w:fldCharType="begin"/>
      </w:r>
      <w:r>
        <w:instrText xml:space="preserve"> PAGEREF _Toc389746742 \h </w:instrText>
      </w:r>
      <w:r>
        <w:fldChar w:fldCharType="separate"/>
      </w:r>
      <w:r>
        <w:t>80</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Advertising of substances included in Schedule 8</w:t>
      </w:r>
      <w:r>
        <w:tab/>
      </w:r>
      <w:r>
        <w:fldChar w:fldCharType="begin"/>
      </w:r>
      <w:r>
        <w:instrText xml:space="preserve"> PAGEREF _Toc389746743 \h </w:instrText>
      </w:r>
      <w:r>
        <w:fldChar w:fldCharType="separate"/>
      </w:r>
      <w:r>
        <w:t>80</w:t>
      </w:r>
      <w:r>
        <w:fldChar w:fldCharType="end"/>
      </w:r>
    </w:p>
    <w:p>
      <w:pPr>
        <w:pStyle w:val="TOC8"/>
        <w:rPr>
          <w:rFonts w:asciiTheme="minorHAnsi" w:eastAsiaTheme="minorEastAsia" w:hAnsiTheme="minorHAnsi" w:cstheme="minorBidi"/>
          <w:szCs w:val="22"/>
        </w:rPr>
      </w:pPr>
      <w:r>
        <w:t>44.</w:t>
      </w:r>
      <w:r>
        <w:tab/>
        <w:t>Register of drugs of addiction</w:t>
      </w:r>
      <w:r>
        <w:tab/>
      </w:r>
      <w:r>
        <w:fldChar w:fldCharType="begin"/>
      </w:r>
      <w:r>
        <w:instrText xml:space="preserve"> PAGEREF _Toc389746744 \h </w:instrText>
      </w:r>
      <w:r>
        <w:fldChar w:fldCharType="separate"/>
      </w:r>
      <w:r>
        <w:t>81</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Destruction of drugs of addiction and poisons included in Schedule 8</w:t>
      </w:r>
      <w:r>
        <w:tab/>
      </w:r>
      <w:r>
        <w:fldChar w:fldCharType="begin"/>
      </w:r>
      <w:r>
        <w:instrText xml:space="preserve"> PAGEREF _Toc389746745 \h </w:instrText>
      </w:r>
      <w:r>
        <w:fldChar w:fldCharType="separate"/>
      </w:r>
      <w:r>
        <w:t>82</w:t>
      </w:r>
      <w:r>
        <w:fldChar w:fldCharType="end"/>
      </w:r>
    </w:p>
    <w:p>
      <w:pPr>
        <w:pStyle w:val="TOC8"/>
        <w:rPr>
          <w:rFonts w:asciiTheme="minorHAnsi" w:eastAsiaTheme="minorEastAsia" w:hAnsiTheme="minorHAnsi" w:cstheme="minorBidi"/>
          <w:szCs w:val="22"/>
        </w:rPr>
      </w:pPr>
      <w:r>
        <w:t>44B.</w:t>
      </w:r>
      <w:r>
        <w:tab/>
        <w:t>Form of registers</w:t>
      </w:r>
      <w:r>
        <w:tab/>
      </w:r>
      <w:r>
        <w:fldChar w:fldCharType="begin"/>
      </w:r>
      <w:r>
        <w:instrText xml:space="preserve"> PAGEREF _Toc389746746 \h </w:instrText>
      </w:r>
      <w:r>
        <w:fldChar w:fldCharType="separate"/>
      </w:r>
      <w:r>
        <w:t>84</w:t>
      </w:r>
      <w:r>
        <w:fldChar w:fldCharType="end"/>
      </w:r>
    </w:p>
    <w:p>
      <w:pPr>
        <w:pStyle w:val="TOC8"/>
        <w:rPr>
          <w:rFonts w:asciiTheme="minorHAnsi" w:eastAsiaTheme="minorEastAsia" w:hAnsiTheme="minorHAnsi" w:cstheme="minorBidi"/>
          <w:szCs w:val="22"/>
        </w:rPr>
      </w:pPr>
      <w:r>
        <w:t>44C.</w:t>
      </w:r>
      <w:r>
        <w:tab/>
        <w:t>Control of access to electronic registers</w:t>
      </w:r>
      <w:r>
        <w:tab/>
      </w:r>
      <w:r>
        <w:fldChar w:fldCharType="begin"/>
      </w:r>
      <w:r>
        <w:instrText xml:space="preserve"> PAGEREF _Toc389746747 \h </w:instrText>
      </w:r>
      <w:r>
        <w:fldChar w:fldCharType="separate"/>
      </w:r>
      <w:r>
        <w:t>85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Inventory of drugs of addiction</w:t>
      </w:r>
      <w:r>
        <w:tab/>
      </w:r>
      <w:r>
        <w:fldChar w:fldCharType="begin"/>
      </w:r>
      <w:r>
        <w:instrText xml:space="preserve"> PAGEREF _Toc389746748 \h </w:instrText>
      </w:r>
      <w:r>
        <w:fldChar w:fldCharType="separate"/>
      </w:r>
      <w:r>
        <w:t>86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Records to be retained for 7 years and available on demand</w:t>
      </w:r>
      <w:r>
        <w:tab/>
      </w:r>
      <w:r>
        <w:fldChar w:fldCharType="begin"/>
      </w:r>
      <w:r>
        <w:instrText xml:space="preserve"> PAGEREF _Toc389746749 \h </w:instrText>
      </w:r>
      <w:r>
        <w:fldChar w:fldCharType="separate"/>
      </w:r>
      <w:r>
        <w:t>87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Returns from manufacturers and wholesalers</w:t>
      </w:r>
      <w:r>
        <w:tab/>
      </w:r>
      <w:r>
        <w:fldChar w:fldCharType="begin"/>
      </w:r>
      <w:r>
        <w:instrText xml:space="preserve"> PAGEREF _Toc389746750 \h </w:instrText>
      </w:r>
      <w:r>
        <w:fldChar w:fldCharType="separate"/>
      </w:r>
      <w:r>
        <w:t>88</w:t>
      </w:r>
      <w:r>
        <w:fldChar w:fldCharType="end"/>
      </w:r>
    </w:p>
    <w:p>
      <w:pPr>
        <w:pStyle w:val="TOC8"/>
        <w:rPr>
          <w:rFonts w:asciiTheme="minorHAnsi" w:eastAsiaTheme="minorEastAsia" w:hAnsiTheme="minorHAnsi" w:cstheme="minorBidi"/>
          <w:szCs w:val="22"/>
        </w:rPr>
      </w:pPr>
      <w:r>
        <w:t>49A.</w:t>
      </w:r>
      <w:r>
        <w:tab/>
        <w:t>Use of poisons included in Schedule 8 on certificated commercial vessels</w:t>
      </w:r>
      <w:r>
        <w:tab/>
      </w:r>
      <w:r>
        <w:fldChar w:fldCharType="begin"/>
      </w:r>
      <w:r>
        <w:instrText xml:space="preserve"> PAGEREF _Toc389746751 \h </w:instrText>
      </w:r>
      <w:r>
        <w:fldChar w:fldCharType="separate"/>
      </w:r>
      <w:r>
        <w:t>89</w:t>
      </w:r>
      <w:r>
        <w:fldChar w:fldCharType="end"/>
      </w:r>
    </w:p>
    <w:p>
      <w:pPr>
        <w:pStyle w:val="TOC8"/>
        <w:rPr>
          <w:rFonts w:asciiTheme="minorHAnsi" w:eastAsiaTheme="minorEastAsia" w:hAnsiTheme="minorHAnsi" w:cstheme="minorBidi"/>
          <w:szCs w:val="22"/>
        </w:rPr>
      </w:pPr>
      <w:r>
        <w:t>49B.</w:t>
      </w:r>
      <w:r>
        <w:tab/>
        <w:t>Use of poisons included in Schedule 8 on racing yachts</w:t>
      </w:r>
      <w:r>
        <w:tab/>
      </w:r>
      <w:r>
        <w:fldChar w:fldCharType="begin"/>
      </w:r>
      <w:r>
        <w:instrText xml:space="preserve"> PAGEREF _Toc389746752 \h </w:instrText>
      </w:r>
      <w:r>
        <w:fldChar w:fldCharType="separate"/>
      </w:r>
      <w:r>
        <w:t>90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Use of poisons included in Schedule 8 on ships and aircraft</w:t>
      </w:r>
      <w:r>
        <w:tab/>
      </w:r>
      <w:r>
        <w:fldChar w:fldCharType="begin"/>
      </w:r>
      <w:r>
        <w:instrText xml:space="preserve"> PAGEREF _Toc389746753 \h </w:instrText>
      </w:r>
      <w:r>
        <w:fldChar w:fldCharType="separate"/>
      </w:r>
      <w:r>
        <w:t>91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Used poisons included in Schedule 8 at hospitals</w:t>
      </w:r>
      <w:r>
        <w:tab/>
      </w:r>
      <w:r>
        <w:fldChar w:fldCharType="begin"/>
      </w:r>
      <w:r>
        <w:instrText xml:space="preserve"> PAGEREF _Toc389746754 \h </w:instrText>
      </w:r>
      <w:r>
        <w:fldChar w:fldCharType="separate"/>
      </w:r>
      <w:r>
        <w:t>93</w:t>
      </w:r>
      <w:r>
        <w:fldChar w:fldCharType="end"/>
      </w:r>
    </w:p>
    <w:p>
      <w:pPr>
        <w:pStyle w:val="TOC4"/>
        <w:tabs>
          <w:tab w:val="right" w:leader="dot" w:pos="7086"/>
        </w:tabs>
        <w:rPr>
          <w:rFonts w:asciiTheme="minorHAnsi" w:eastAsiaTheme="minorEastAsia" w:hAnsiTheme="minorHAnsi" w:cstheme="minorBidi"/>
          <w:b w:val="0"/>
          <w:szCs w:val="22"/>
        </w:rPr>
      </w:pPr>
      <w:r>
        <w:t>Division 2 — Supply and prescription</w:t>
      </w:r>
    </w:p>
    <w:p>
      <w:pPr>
        <w:pStyle w:val="TOC6"/>
        <w:tabs>
          <w:tab w:val="right" w:leader="dot" w:pos="7086"/>
        </w:tabs>
        <w:rPr>
          <w:rFonts w:asciiTheme="minorHAnsi" w:eastAsiaTheme="minorEastAsia" w:hAnsiTheme="minorHAnsi" w:cstheme="minorBidi"/>
          <w:b w:val="0"/>
          <w:sz w:val="22"/>
          <w:szCs w:val="22"/>
        </w:rPr>
      </w:pPr>
      <w:r>
        <w:t>Subdivision 1 — Prescriptions generally</w:t>
      </w:r>
    </w:p>
    <w:p>
      <w:pPr>
        <w:pStyle w:val="TOC8"/>
        <w:rPr>
          <w:rFonts w:asciiTheme="minorHAnsi" w:eastAsiaTheme="minorEastAsia" w:hAnsiTheme="minorHAnsi" w:cstheme="minorBidi"/>
          <w:szCs w:val="22"/>
        </w:rPr>
      </w:pPr>
      <w:r>
        <w:t>51</w:t>
      </w:r>
      <w:r>
        <w:rPr>
          <w:snapToGrid w:val="0"/>
        </w:rPr>
        <w:t>.</w:t>
      </w:r>
      <w:r>
        <w:rPr>
          <w:snapToGrid w:val="0"/>
        </w:rPr>
        <w:tab/>
        <w:t>Prescriptions</w:t>
      </w:r>
      <w:r>
        <w:tab/>
      </w:r>
      <w:r>
        <w:fldChar w:fldCharType="begin"/>
      </w:r>
      <w:r>
        <w:instrText xml:space="preserve"> PAGEREF _Toc389746757 \h </w:instrText>
      </w:r>
      <w:r>
        <w:fldChar w:fldCharType="separate"/>
      </w:r>
      <w:r>
        <w:t>94</w:t>
      </w:r>
      <w:r>
        <w:fldChar w:fldCharType="end"/>
      </w:r>
    </w:p>
    <w:p>
      <w:pPr>
        <w:pStyle w:val="TOC8"/>
        <w:rPr>
          <w:rFonts w:asciiTheme="minorHAnsi" w:eastAsiaTheme="minorEastAsia" w:hAnsiTheme="minorHAnsi" w:cstheme="minorBidi"/>
          <w:szCs w:val="22"/>
        </w:rPr>
      </w:pPr>
      <w:r>
        <w:t>51AAA.</w:t>
      </w:r>
      <w:r>
        <w:tab/>
        <w:t>Prescriptions for poisons included in Schedule 8 for patient discharged from public hospital</w:t>
      </w:r>
      <w:r>
        <w:tab/>
      </w:r>
      <w:r>
        <w:fldChar w:fldCharType="begin"/>
      </w:r>
      <w:r>
        <w:instrText xml:space="preserve"> PAGEREF _Toc389746758 \h </w:instrText>
      </w:r>
      <w:r>
        <w:fldChar w:fldCharType="separate"/>
      </w:r>
      <w:r>
        <w:t>96</w:t>
      </w:r>
      <w:r>
        <w:fldChar w:fldCharType="end"/>
      </w:r>
    </w:p>
    <w:p>
      <w:pPr>
        <w:pStyle w:val="TOC6"/>
        <w:tabs>
          <w:tab w:val="right" w:leader="dot" w:pos="7086"/>
        </w:tabs>
        <w:rPr>
          <w:rFonts w:asciiTheme="minorHAnsi" w:eastAsiaTheme="minorEastAsia" w:hAnsiTheme="minorHAnsi" w:cstheme="minorBidi"/>
          <w:b w:val="0"/>
          <w:sz w:val="22"/>
          <w:szCs w:val="22"/>
        </w:rPr>
      </w:pPr>
      <w:r>
        <w:t>Subdivision 2 — Supply and prescription to drug addicts</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_Toc389746760 \h </w:instrText>
      </w:r>
      <w:r>
        <w:fldChar w:fldCharType="separate"/>
      </w:r>
      <w:r>
        <w:t>97</w:t>
      </w:r>
      <w:r>
        <w:fldChar w:fldCharType="end"/>
      </w:r>
    </w:p>
    <w:p>
      <w:pPr>
        <w:pStyle w:val="TOC8"/>
        <w:rPr>
          <w:rFonts w:asciiTheme="minorHAnsi" w:eastAsiaTheme="minorEastAsia" w:hAnsiTheme="minorHAnsi" w:cstheme="minorBidi"/>
          <w:szCs w:val="22"/>
        </w:rPr>
      </w:pPr>
      <w:r>
        <w:t>51AA.</w:t>
      </w:r>
      <w:r>
        <w:tab/>
        <w:t>Disclosure by drug addict to medical practitioner</w:t>
      </w:r>
      <w:r>
        <w:tab/>
      </w:r>
      <w:r>
        <w:fldChar w:fldCharType="begin"/>
      </w:r>
      <w:r>
        <w:instrText xml:space="preserve"> PAGEREF _Toc389746761 \h </w:instrText>
      </w:r>
      <w:r>
        <w:fldChar w:fldCharType="separate"/>
      </w:r>
      <w:r>
        <w:t>98</w:t>
      </w:r>
      <w:r>
        <w:fldChar w:fldCharType="end"/>
      </w:r>
    </w:p>
    <w:p>
      <w:pPr>
        <w:pStyle w:val="TOC8"/>
        <w:rPr>
          <w:rFonts w:asciiTheme="minorHAnsi" w:eastAsiaTheme="minorEastAsia" w:hAnsiTheme="minorHAnsi" w:cstheme="minorBidi"/>
          <w:szCs w:val="22"/>
        </w:rPr>
      </w:pPr>
      <w:r>
        <w:t>51B.</w:t>
      </w:r>
      <w:r>
        <w:tab/>
        <w:t>Prescription and supply in accordance with this Subdivision — general provision</w:t>
      </w:r>
      <w:r>
        <w:tab/>
      </w:r>
      <w:r>
        <w:fldChar w:fldCharType="begin"/>
      </w:r>
      <w:r>
        <w:instrText xml:space="preserve"> PAGEREF _Toc389746762 \h </w:instrText>
      </w:r>
      <w:r>
        <w:fldChar w:fldCharType="separate"/>
      </w:r>
      <w:r>
        <w:t>98</w:t>
      </w:r>
      <w:r>
        <w:fldChar w:fldCharType="end"/>
      </w:r>
    </w:p>
    <w:p>
      <w:pPr>
        <w:pStyle w:val="TOC8"/>
        <w:rPr>
          <w:rFonts w:asciiTheme="minorHAnsi" w:eastAsiaTheme="minorEastAsia" w:hAnsiTheme="minorHAnsi" w:cstheme="minorBidi"/>
          <w:szCs w:val="22"/>
        </w:rPr>
      </w:pPr>
      <w:r>
        <w:t>51BA.</w:t>
      </w:r>
      <w:r>
        <w:tab/>
        <w:t>P</w:t>
      </w:r>
      <w:r>
        <w:rPr>
          <w:snapToGrid w:val="0"/>
        </w:rPr>
        <w:t>rescribing drugs of addiction for drug addicts other than for the treatment of drug addiction</w:t>
      </w:r>
      <w:r>
        <w:tab/>
      </w:r>
      <w:r>
        <w:fldChar w:fldCharType="begin"/>
      </w:r>
      <w:r>
        <w:instrText xml:space="preserve"> PAGEREF _Toc389746763 \h </w:instrText>
      </w:r>
      <w:r>
        <w:fldChar w:fldCharType="separate"/>
      </w:r>
      <w:r>
        <w:t>98</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Designation of authorised prescribers and specialist prescribers</w:t>
      </w:r>
      <w:r>
        <w:tab/>
      </w:r>
      <w:r>
        <w:fldChar w:fldCharType="begin"/>
      </w:r>
      <w:r>
        <w:instrText xml:space="preserve"> PAGEREF _Toc389746764 \h </w:instrText>
      </w:r>
      <w:r>
        <w:fldChar w:fldCharType="separate"/>
      </w:r>
      <w:r>
        <w:t>99</w:t>
      </w:r>
      <w:r>
        <w:fldChar w:fldCharType="end"/>
      </w:r>
    </w:p>
    <w:p>
      <w:pPr>
        <w:pStyle w:val="TOC8"/>
        <w:rPr>
          <w:rFonts w:asciiTheme="minorHAnsi" w:eastAsiaTheme="minorEastAsia" w:hAnsiTheme="minorHAnsi" w:cstheme="minorBidi"/>
          <w:szCs w:val="22"/>
        </w:rPr>
      </w:pPr>
      <w:r>
        <w:t>51CA.</w:t>
      </w:r>
      <w:r>
        <w:tab/>
        <w:t>Appointment</w:t>
      </w:r>
      <w:r>
        <w:rPr>
          <w:snapToGrid w:val="0"/>
        </w:rPr>
        <w:t xml:space="preserve"> of medical practitioner as authorised prescriber for a drug addict</w:t>
      </w:r>
      <w:r>
        <w:tab/>
      </w:r>
      <w:r>
        <w:fldChar w:fldCharType="begin"/>
      </w:r>
      <w:r>
        <w:instrText xml:space="preserve"> PAGEREF _Toc389746765 \h </w:instrText>
      </w:r>
      <w:r>
        <w:fldChar w:fldCharType="separate"/>
      </w:r>
      <w:r>
        <w:t>99</w:t>
      </w:r>
      <w:r>
        <w:fldChar w:fldCharType="end"/>
      </w:r>
    </w:p>
    <w:p>
      <w:pPr>
        <w:pStyle w:val="TOC8"/>
        <w:rPr>
          <w:rFonts w:asciiTheme="minorHAnsi" w:eastAsiaTheme="minorEastAsia" w:hAnsiTheme="minorHAnsi" w:cstheme="minorBidi"/>
          <w:szCs w:val="22"/>
        </w:rPr>
      </w:pPr>
      <w:r>
        <w:t>51CB.</w:t>
      </w:r>
      <w:r>
        <w:tab/>
        <w:t>Appointment of co</w:t>
      </w:r>
      <w:r>
        <w:noBreakHyphen/>
        <w:t xml:space="preserve">prescriber </w:t>
      </w:r>
      <w:r>
        <w:rPr>
          <w:snapToGrid w:val="0"/>
        </w:rPr>
        <w:t>for a drug addict</w:t>
      </w:r>
      <w:r>
        <w:tab/>
      </w:r>
      <w:r>
        <w:fldChar w:fldCharType="begin"/>
      </w:r>
      <w:r>
        <w:instrText xml:space="preserve"> PAGEREF _Toc389746766 \h </w:instrText>
      </w:r>
      <w:r>
        <w:fldChar w:fldCharType="separate"/>
      </w:r>
      <w:r>
        <w:t>100</w:t>
      </w:r>
      <w:r>
        <w:fldChar w:fldCharType="end"/>
      </w:r>
    </w:p>
    <w:p>
      <w:pPr>
        <w:pStyle w:val="TOC8"/>
        <w:rPr>
          <w:rFonts w:asciiTheme="minorHAnsi" w:eastAsiaTheme="minorEastAsia" w:hAnsiTheme="minorHAnsi" w:cstheme="minorBidi"/>
          <w:szCs w:val="22"/>
        </w:rPr>
      </w:pPr>
      <w:r>
        <w:t>51CC.</w:t>
      </w:r>
      <w:r>
        <w:tab/>
      </w:r>
      <w:r>
        <w:rPr>
          <w:snapToGrid w:val="0"/>
        </w:rPr>
        <w:t>Designations, authorisations and appointments — general rules</w:t>
      </w:r>
      <w:r>
        <w:tab/>
      </w:r>
      <w:r>
        <w:fldChar w:fldCharType="begin"/>
      </w:r>
      <w:r>
        <w:instrText xml:space="preserve"> PAGEREF _Toc389746767 \h </w:instrText>
      </w:r>
      <w:r>
        <w:fldChar w:fldCharType="separate"/>
      </w:r>
      <w:r>
        <w:t>100</w:t>
      </w:r>
      <w:r>
        <w:fldChar w:fldCharType="end"/>
      </w:r>
    </w:p>
    <w:p>
      <w:pPr>
        <w:pStyle w:val="TOC8"/>
        <w:rPr>
          <w:rFonts w:asciiTheme="minorHAnsi" w:eastAsiaTheme="minorEastAsia" w:hAnsiTheme="minorHAnsi" w:cstheme="minorBidi"/>
          <w:szCs w:val="22"/>
        </w:rPr>
      </w:pPr>
      <w:r>
        <w:t>51D.</w:t>
      </w:r>
      <w:r>
        <w:tab/>
        <w:t>P</w:t>
      </w:r>
      <w:r>
        <w:rPr>
          <w:snapToGrid w:val="0"/>
        </w:rPr>
        <w:t>rescribing pharmacotherapies for the treatment of the drug addiction of a drug addict — general rules</w:t>
      </w:r>
      <w:r>
        <w:tab/>
      </w:r>
      <w:r>
        <w:fldChar w:fldCharType="begin"/>
      </w:r>
      <w:r>
        <w:instrText xml:space="preserve"> PAGEREF _Toc389746768 \h </w:instrText>
      </w:r>
      <w:r>
        <w:fldChar w:fldCharType="separate"/>
      </w:r>
      <w:r>
        <w:t>100</w:t>
      </w:r>
      <w:r>
        <w:fldChar w:fldCharType="end"/>
      </w:r>
    </w:p>
    <w:p>
      <w:pPr>
        <w:pStyle w:val="TOC8"/>
        <w:rPr>
          <w:rFonts w:asciiTheme="minorHAnsi" w:eastAsiaTheme="minorEastAsia" w:hAnsiTheme="minorHAnsi" w:cstheme="minorBidi"/>
          <w:szCs w:val="22"/>
        </w:rPr>
      </w:pPr>
      <w:r>
        <w:t>51DA.</w:t>
      </w:r>
      <w:r>
        <w:tab/>
        <w:t>P</w:t>
      </w:r>
      <w:r>
        <w:rPr>
          <w:snapToGrid w:val="0"/>
        </w:rPr>
        <w:t>rescribing pharmacotherapies for the treatment of the drug addiction of a drug addict — in a hospital</w:t>
      </w:r>
      <w:r>
        <w:tab/>
      </w:r>
      <w:r>
        <w:fldChar w:fldCharType="begin"/>
      </w:r>
      <w:r>
        <w:instrText xml:space="preserve"> PAGEREF _Toc389746769 \h </w:instrText>
      </w:r>
      <w:r>
        <w:fldChar w:fldCharType="separate"/>
      </w:r>
      <w:r>
        <w:t>102</w:t>
      </w:r>
      <w:r>
        <w:fldChar w:fldCharType="end"/>
      </w:r>
    </w:p>
    <w:p>
      <w:pPr>
        <w:pStyle w:val="TOC8"/>
        <w:rPr>
          <w:rFonts w:asciiTheme="minorHAnsi" w:eastAsiaTheme="minorEastAsia" w:hAnsiTheme="minorHAnsi" w:cstheme="minorBidi"/>
          <w:szCs w:val="22"/>
        </w:rPr>
      </w:pPr>
      <w:r>
        <w:t>51DB.</w:t>
      </w:r>
      <w:r>
        <w:tab/>
        <w:t>P</w:t>
      </w:r>
      <w:r>
        <w:rPr>
          <w:snapToGrid w:val="0"/>
        </w:rPr>
        <w:t>rescribing pharmacotherapies for the treatment of the drug addiction of a drug addict — in custody</w:t>
      </w:r>
      <w:r>
        <w:tab/>
      </w:r>
      <w:r>
        <w:fldChar w:fldCharType="begin"/>
      </w:r>
      <w:r>
        <w:instrText xml:space="preserve"> PAGEREF _Toc389746770 \h </w:instrText>
      </w:r>
      <w:r>
        <w:fldChar w:fldCharType="separate"/>
      </w:r>
      <w:r>
        <w:t>103</w:t>
      </w:r>
      <w:r>
        <w:fldChar w:fldCharType="end"/>
      </w:r>
    </w:p>
    <w:p>
      <w:pPr>
        <w:pStyle w:val="TOC8"/>
        <w:rPr>
          <w:rFonts w:asciiTheme="minorHAnsi" w:eastAsiaTheme="minorEastAsia" w:hAnsiTheme="minorHAnsi" w:cstheme="minorBidi"/>
          <w:szCs w:val="22"/>
        </w:rPr>
      </w:pPr>
      <w:r>
        <w:t>51DC.</w:t>
      </w:r>
      <w:r>
        <w:tab/>
        <w:t>P</w:t>
      </w:r>
      <w:r>
        <w:rPr>
          <w:snapToGrid w:val="0"/>
        </w:rPr>
        <w:t>rescribing pharmacotherapies for the treatment of the drug addiction of a drug addict — interim prescriptions</w:t>
      </w:r>
      <w:r>
        <w:tab/>
      </w:r>
      <w:r>
        <w:fldChar w:fldCharType="begin"/>
      </w:r>
      <w:r>
        <w:instrText xml:space="preserve"> PAGEREF _Toc389746771 \h </w:instrText>
      </w:r>
      <w:r>
        <w:fldChar w:fldCharType="separate"/>
      </w:r>
      <w:r>
        <w:t>103</w:t>
      </w:r>
      <w:r>
        <w:fldChar w:fldCharType="end"/>
      </w:r>
    </w:p>
    <w:p>
      <w:pPr>
        <w:pStyle w:val="TOC8"/>
        <w:rPr>
          <w:rFonts w:asciiTheme="minorHAnsi" w:eastAsiaTheme="minorEastAsia" w:hAnsiTheme="minorHAnsi" w:cstheme="minorBidi"/>
          <w:szCs w:val="22"/>
        </w:rPr>
      </w:pPr>
      <w:r>
        <w:t>51E.</w:t>
      </w:r>
      <w:r>
        <w:tab/>
        <w:t>Dispensing drugs of addiction from a pharmacy</w:t>
      </w:r>
      <w:r>
        <w:tab/>
      </w:r>
      <w:r>
        <w:fldChar w:fldCharType="begin"/>
      </w:r>
      <w:r>
        <w:instrText xml:space="preserve"> PAGEREF _Toc389746772 \h </w:instrText>
      </w:r>
      <w:r>
        <w:fldChar w:fldCharType="separate"/>
      </w:r>
      <w:r>
        <w:t>104</w:t>
      </w:r>
      <w:r>
        <w:fldChar w:fldCharType="end"/>
      </w:r>
    </w:p>
    <w:p>
      <w:pPr>
        <w:pStyle w:val="TOC8"/>
        <w:rPr>
          <w:rFonts w:asciiTheme="minorHAnsi" w:eastAsiaTheme="minorEastAsia" w:hAnsiTheme="minorHAnsi" w:cstheme="minorBidi"/>
          <w:szCs w:val="22"/>
        </w:rPr>
      </w:pPr>
      <w:r>
        <w:t>51EA.</w:t>
      </w:r>
      <w:r>
        <w:tab/>
        <w:t>Dispensing pharmacotherapies from a pharmacy</w:t>
      </w:r>
      <w:r>
        <w:tab/>
      </w:r>
      <w:r>
        <w:fldChar w:fldCharType="begin"/>
      </w:r>
      <w:r>
        <w:instrText xml:space="preserve"> PAGEREF _Toc389746773 \h </w:instrText>
      </w:r>
      <w:r>
        <w:fldChar w:fldCharType="separate"/>
      </w:r>
      <w:r>
        <w:t>104</w:t>
      </w:r>
      <w:r>
        <w:fldChar w:fldCharType="end"/>
      </w:r>
    </w:p>
    <w:p>
      <w:pPr>
        <w:pStyle w:val="TOC6"/>
        <w:tabs>
          <w:tab w:val="right" w:leader="dot" w:pos="7086"/>
        </w:tabs>
        <w:rPr>
          <w:rFonts w:asciiTheme="minorHAnsi" w:eastAsiaTheme="minorEastAsia" w:hAnsiTheme="minorHAnsi" w:cstheme="minorBidi"/>
          <w:b w:val="0"/>
          <w:sz w:val="22"/>
          <w:szCs w:val="22"/>
        </w:rPr>
      </w:pPr>
      <w:r>
        <w:t>Subdivision 2A — Supply and prescription of Schedule 8 poisons to persons other than drug addicts</w:t>
      </w:r>
    </w:p>
    <w:p>
      <w:pPr>
        <w:pStyle w:val="TOC8"/>
        <w:rPr>
          <w:rFonts w:asciiTheme="minorHAnsi" w:eastAsiaTheme="minorEastAsia" w:hAnsiTheme="minorHAnsi" w:cstheme="minorBidi"/>
          <w:szCs w:val="22"/>
        </w:rPr>
      </w:pPr>
      <w:r>
        <w:t>51F</w:t>
      </w:r>
      <w:r>
        <w:rPr>
          <w:snapToGrid w:val="0"/>
        </w:rPr>
        <w:t>.</w:t>
      </w:r>
      <w:r>
        <w:rPr>
          <w:snapToGrid w:val="0"/>
        </w:rPr>
        <w:tab/>
        <w:t xml:space="preserve">Treatment not to exceed 60 days unless authorised by </w:t>
      </w:r>
      <w:r>
        <w:t>CEO</w:t>
      </w:r>
      <w:r>
        <w:tab/>
      </w:r>
      <w:r>
        <w:fldChar w:fldCharType="begin"/>
      </w:r>
      <w:r>
        <w:instrText xml:space="preserve"> PAGEREF _Toc389746775 \h </w:instrText>
      </w:r>
      <w:r>
        <w:fldChar w:fldCharType="separate"/>
      </w:r>
      <w:r>
        <w:t>105</w:t>
      </w:r>
      <w:r>
        <w:fldChar w:fldCharType="end"/>
      </w:r>
    </w:p>
    <w:p>
      <w:pPr>
        <w:pStyle w:val="TOC6"/>
        <w:tabs>
          <w:tab w:val="right" w:leader="dot" w:pos="7086"/>
        </w:tabs>
        <w:rPr>
          <w:rFonts w:asciiTheme="minorHAnsi" w:eastAsiaTheme="minorEastAsia" w:hAnsiTheme="minorHAnsi" w:cstheme="minorBidi"/>
          <w:b w:val="0"/>
          <w:sz w:val="22"/>
          <w:szCs w:val="22"/>
        </w:rPr>
      </w:pPr>
      <w:r>
        <w:t xml:space="preserve">Subdivision 3 — Supply and prescription of </w:t>
      </w:r>
      <w:r>
        <w:rPr>
          <w:bCs/>
        </w:rPr>
        <w:t>stimulants</w:t>
      </w:r>
    </w:p>
    <w:p>
      <w:pPr>
        <w:pStyle w:val="TOC8"/>
        <w:rPr>
          <w:rFonts w:asciiTheme="minorHAnsi" w:eastAsiaTheme="minorEastAsia" w:hAnsiTheme="minorHAnsi" w:cstheme="minorBidi"/>
          <w:szCs w:val="22"/>
        </w:rPr>
      </w:pPr>
      <w:r>
        <w:t>51FA.</w:t>
      </w:r>
      <w:r>
        <w:tab/>
        <w:t>Terms used</w:t>
      </w:r>
      <w:r>
        <w:tab/>
      </w:r>
      <w:r>
        <w:fldChar w:fldCharType="begin"/>
      </w:r>
      <w:r>
        <w:instrText xml:space="preserve"> PAGEREF _Toc389746777 \h </w:instrText>
      </w:r>
      <w:r>
        <w:fldChar w:fldCharType="separate"/>
      </w:r>
      <w:r>
        <w:t>107</w:t>
      </w:r>
      <w:r>
        <w:fldChar w:fldCharType="end"/>
      </w:r>
    </w:p>
    <w:p>
      <w:pPr>
        <w:pStyle w:val="TOC8"/>
        <w:rPr>
          <w:rFonts w:asciiTheme="minorHAnsi" w:eastAsiaTheme="minorEastAsia" w:hAnsiTheme="minorHAnsi" w:cstheme="minorBidi"/>
          <w:szCs w:val="22"/>
        </w:rPr>
      </w:pPr>
      <w:r>
        <w:t>51FB.</w:t>
      </w:r>
      <w:r>
        <w:tab/>
        <w:t>Who may supply or prescribe a stimulant</w:t>
      </w:r>
      <w:r>
        <w:tab/>
      </w:r>
      <w:r>
        <w:fldChar w:fldCharType="begin"/>
      </w:r>
      <w:r>
        <w:instrText xml:space="preserve"> PAGEREF _Toc389746778 \h </w:instrText>
      </w:r>
      <w:r>
        <w:fldChar w:fldCharType="separate"/>
      </w:r>
      <w:r>
        <w:t>108</w:t>
      </w:r>
      <w:r>
        <w:fldChar w:fldCharType="end"/>
      </w:r>
    </w:p>
    <w:p>
      <w:pPr>
        <w:pStyle w:val="TOC8"/>
        <w:rPr>
          <w:rFonts w:asciiTheme="minorHAnsi" w:eastAsiaTheme="minorEastAsia" w:hAnsiTheme="minorHAnsi" w:cstheme="minorBidi"/>
          <w:szCs w:val="22"/>
        </w:rPr>
      </w:pPr>
      <w:r>
        <w:t>51FC.</w:t>
      </w:r>
      <w:r>
        <w:tab/>
        <w:t>Stimulant Prescribing Code</w:t>
      </w:r>
      <w:r>
        <w:tab/>
      </w:r>
      <w:r>
        <w:fldChar w:fldCharType="begin"/>
      </w:r>
      <w:r>
        <w:instrText xml:space="preserve"> PAGEREF _Toc389746779 \h </w:instrText>
      </w:r>
      <w:r>
        <w:fldChar w:fldCharType="separate"/>
      </w:r>
      <w:r>
        <w:t>110</w:t>
      </w:r>
      <w:r>
        <w:fldChar w:fldCharType="end"/>
      </w:r>
    </w:p>
    <w:p>
      <w:pPr>
        <w:pStyle w:val="TOC8"/>
        <w:rPr>
          <w:rFonts w:asciiTheme="minorHAnsi" w:eastAsiaTheme="minorEastAsia" w:hAnsiTheme="minorHAnsi" w:cstheme="minorBidi"/>
          <w:szCs w:val="22"/>
        </w:rPr>
      </w:pPr>
      <w:r>
        <w:t>51FD.</w:t>
      </w:r>
      <w:r>
        <w:tab/>
        <w:t>CEO may order treatment to be terminated or varied</w:t>
      </w:r>
      <w:r>
        <w:tab/>
      </w:r>
      <w:r>
        <w:fldChar w:fldCharType="begin"/>
      </w:r>
      <w:r>
        <w:instrText xml:space="preserve"> PAGEREF _Toc389746780 \h </w:instrText>
      </w:r>
      <w:r>
        <w:fldChar w:fldCharType="separate"/>
      </w:r>
      <w:r>
        <w:t>111</w:t>
      </w:r>
      <w:r>
        <w:fldChar w:fldCharType="end"/>
      </w:r>
    </w:p>
    <w:p>
      <w:pPr>
        <w:pStyle w:val="TOC8"/>
        <w:rPr>
          <w:rFonts w:asciiTheme="minorHAnsi" w:eastAsiaTheme="minorEastAsia" w:hAnsiTheme="minorHAnsi" w:cstheme="minorBidi"/>
          <w:szCs w:val="22"/>
        </w:rPr>
      </w:pPr>
      <w:r>
        <w:t>51FE.</w:t>
      </w:r>
      <w:r>
        <w:tab/>
        <w:t>CEO to be notified of supply or prescription</w:t>
      </w:r>
      <w:r>
        <w:tab/>
      </w:r>
      <w:r>
        <w:fldChar w:fldCharType="begin"/>
      </w:r>
      <w:r>
        <w:instrText xml:space="preserve"> PAGEREF _Toc389746781 \h </w:instrText>
      </w:r>
      <w:r>
        <w:fldChar w:fldCharType="separate"/>
      </w:r>
      <w:r>
        <w:t>112</w:t>
      </w:r>
      <w:r>
        <w:fldChar w:fldCharType="end"/>
      </w:r>
    </w:p>
    <w:p>
      <w:pPr>
        <w:pStyle w:val="TOC8"/>
        <w:rPr>
          <w:rFonts w:asciiTheme="minorHAnsi" w:eastAsiaTheme="minorEastAsia" w:hAnsiTheme="minorHAnsi" w:cstheme="minorBidi"/>
          <w:szCs w:val="22"/>
        </w:rPr>
      </w:pPr>
      <w:r>
        <w:t>51FF.</w:t>
      </w:r>
      <w:r>
        <w:tab/>
        <w:t>Current prescriber and current clinic</w:t>
      </w:r>
      <w:r>
        <w:tab/>
      </w:r>
      <w:r>
        <w:fldChar w:fldCharType="begin"/>
      </w:r>
      <w:r>
        <w:instrText xml:space="preserve"> PAGEREF _Toc389746782 \h </w:instrText>
      </w:r>
      <w:r>
        <w:fldChar w:fldCharType="separate"/>
      </w:r>
      <w:r>
        <w:t>113</w:t>
      </w:r>
      <w:r>
        <w:fldChar w:fldCharType="end"/>
      </w:r>
    </w:p>
    <w:p>
      <w:pPr>
        <w:pStyle w:val="TOC8"/>
        <w:rPr>
          <w:rFonts w:asciiTheme="minorHAnsi" w:eastAsiaTheme="minorEastAsia" w:hAnsiTheme="minorHAnsi" w:cstheme="minorBidi"/>
          <w:szCs w:val="22"/>
        </w:rPr>
      </w:pPr>
      <w:r>
        <w:t>51FG.</w:t>
      </w:r>
      <w:r>
        <w:tab/>
        <w:t>Authorisation of practitioners</w:t>
      </w:r>
      <w:r>
        <w:tab/>
      </w:r>
      <w:r>
        <w:fldChar w:fldCharType="begin"/>
      </w:r>
      <w:r>
        <w:instrText xml:space="preserve"> PAGEREF _Toc389746783 \h </w:instrText>
      </w:r>
      <w:r>
        <w:fldChar w:fldCharType="separate"/>
      </w:r>
      <w:r>
        <w:t>114</w:t>
      </w:r>
      <w:r>
        <w:fldChar w:fldCharType="end"/>
      </w:r>
    </w:p>
    <w:p>
      <w:pPr>
        <w:pStyle w:val="TOC8"/>
        <w:rPr>
          <w:rFonts w:asciiTheme="minorHAnsi" w:eastAsiaTheme="minorEastAsia" w:hAnsiTheme="minorHAnsi" w:cstheme="minorBidi"/>
          <w:szCs w:val="22"/>
        </w:rPr>
      </w:pPr>
      <w:r>
        <w:t>51FH.</w:t>
      </w:r>
      <w:r>
        <w:tab/>
        <w:t>Co</w:t>
      </w:r>
      <w:r>
        <w:noBreakHyphen/>
        <w:t>prescribers</w:t>
      </w:r>
      <w:r>
        <w:tab/>
      </w:r>
      <w:r>
        <w:fldChar w:fldCharType="begin"/>
      </w:r>
      <w:r>
        <w:instrText xml:space="preserve"> PAGEREF _Toc389746784 \h </w:instrText>
      </w:r>
      <w:r>
        <w:fldChar w:fldCharType="separate"/>
      </w:r>
      <w:r>
        <w:t>115</w:t>
      </w:r>
      <w:r>
        <w:fldChar w:fldCharType="end"/>
      </w:r>
    </w:p>
    <w:p>
      <w:pPr>
        <w:pStyle w:val="TOC8"/>
        <w:rPr>
          <w:rFonts w:asciiTheme="minorHAnsi" w:eastAsiaTheme="minorEastAsia" w:hAnsiTheme="minorHAnsi" w:cstheme="minorBidi"/>
          <w:szCs w:val="22"/>
        </w:rPr>
      </w:pPr>
      <w:r>
        <w:t>51FJ.</w:t>
      </w:r>
      <w:r>
        <w:tab/>
        <w:t>Approval of public sector clinics</w:t>
      </w:r>
      <w:r>
        <w:tab/>
      </w:r>
      <w:r>
        <w:fldChar w:fldCharType="begin"/>
      </w:r>
      <w:r>
        <w:instrText xml:space="preserve"> PAGEREF _Toc389746785 \h </w:instrText>
      </w:r>
      <w:r>
        <w:fldChar w:fldCharType="separate"/>
      </w:r>
      <w:r>
        <w:t>116</w:t>
      </w:r>
      <w:r>
        <w:fldChar w:fldCharType="end"/>
      </w:r>
    </w:p>
    <w:p>
      <w:pPr>
        <w:pStyle w:val="TOC8"/>
        <w:rPr>
          <w:rFonts w:asciiTheme="minorHAnsi" w:eastAsiaTheme="minorEastAsia" w:hAnsiTheme="minorHAnsi" w:cstheme="minorBidi"/>
          <w:szCs w:val="22"/>
        </w:rPr>
      </w:pPr>
      <w:r>
        <w:t>51FK.</w:t>
      </w:r>
      <w:r>
        <w:tab/>
        <w:t>Change of manager</w:t>
      </w:r>
      <w:r>
        <w:tab/>
      </w:r>
      <w:r>
        <w:fldChar w:fldCharType="begin"/>
      </w:r>
      <w:r>
        <w:instrText xml:space="preserve"> PAGEREF _Toc389746786 \h </w:instrText>
      </w:r>
      <w:r>
        <w:fldChar w:fldCharType="separate"/>
      </w:r>
      <w:r>
        <w:t>117</w:t>
      </w:r>
      <w:r>
        <w:fldChar w:fldCharType="end"/>
      </w:r>
    </w:p>
    <w:p>
      <w:pPr>
        <w:pStyle w:val="TOC6"/>
        <w:tabs>
          <w:tab w:val="right" w:leader="dot" w:pos="7086"/>
        </w:tabs>
        <w:rPr>
          <w:rFonts w:asciiTheme="minorHAnsi" w:eastAsiaTheme="minorEastAsia" w:hAnsiTheme="minorHAnsi" w:cstheme="minorBidi"/>
          <w:b w:val="0"/>
          <w:sz w:val="22"/>
          <w:szCs w:val="22"/>
        </w:rPr>
      </w:pPr>
      <w:r>
        <w:t>Subdivision 4 — Supply and prescription of other poisons</w:t>
      </w:r>
    </w:p>
    <w:p>
      <w:pPr>
        <w:pStyle w:val="TOC8"/>
        <w:rPr>
          <w:rFonts w:asciiTheme="minorHAnsi" w:eastAsiaTheme="minorEastAsia" w:hAnsiTheme="minorHAnsi" w:cstheme="minorBidi"/>
          <w:szCs w:val="22"/>
        </w:rPr>
      </w:pPr>
      <w:r>
        <w:t>51GA</w:t>
      </w:r>
      <w:r>
        <w:rPr>
          <w:snapToGrid w:val="0"/>
        </w:rPr>
        <w:t>.</w:t>
      </w:r>
      <w:r>
        <w:rPr>
          <w:snapToGrid w:val="0"/>
        </w:rPr>
        <w:tab/>
        <w:t>Supply of dronabinol</w:t>
      </w:r>
      <w:r>
        <w:tab/>
      </w:r>
      <w:r>
        <w:fldChar w:fldCharType="begin"/>
      </w:r>
      <w:r>
        <w:instrText xml:space="preserve"> PAGEREF _Toc389746788 \h </w:instrText>
      </w:r>
      <w:r>
        <w:fldChar w:fldCharType="separate"/>
      </w:r>
      <w:r>
        <w:t>118</w:t>
      </w:r>
      <w:r>
        <w:fldChar w:fldCharType="end"/>
      </w:r>
    </w:p>
    <w:p>
      <w:pPr>
        <w:pStyle w:val="TOC8"/>
        <w:rPr>
          <w:rFonts w:asciiTheme="minorHAnsi" w:eastAsiaTheme="minorEastAsia" w:hAnsiTheme="minorHAnsi" w:cstheme="minorBidi"/>
          <w:szCs w:val="22"/>
        </w:rPr>
      </w:pPr>
      <w:r>
        <w:t>51GB</w:t>
      </w:r>
      <w:r>
        <w:rPr>
          <w:snapToGrid w:val="0"/>
        </w:rPr>
        <w:t>.</w:t>
      </w:r>
      <w:r>
        <w:rPr>
          <w:snapToGrid w:val="0"/>
        </w:rPr>
        <w:tab/>
        <w:t>Supply of flunitrazepam</w:t>
      </w:r>
      <w:r>
        <w:tab/>
      </w:r>
      <w:r>
        <w:fldChar w:fldCharType="begin"/>
      </w:r>
      <w:r>
        <w:instrText xml:space="preserve"> PAGEREF _Toc389746789 \h </w:instrText>
      </w:r>
      <w:r>
        <w:fldChar w:fldCharType="separate"/>
      </w:r>
      <w:r>
        <w:t>119</w:t>
      </w:r>
      <w:r>
        <w:fldChar w:fldCharType="end"/>
      </w:r>
    </w:p>
    <w:p>
      <w:pPr>
        <w:pStyle w:val="TOC8"/>
        <w:rPr>
          <w:rFonts w:asciiTheme="minorHAnsi" w:eastAsiaTheme="minorEastAsia" w:hAnsiTheme="minorHAnsi" w:cstheme="minorBidi"/>
          <w:szCs w:val="22"/>
        </w:rPr>
      </w:pPr>
      <w:r>
        <w:t>51H</w:t>
      </w:r>
      <w:r>
        <w:rPr>
          <w:snapToGrid w:val="0"/>
        </w:rPr>
        <w:t>.</w:t>
      </w:r>
      <w:r>
        <w:rPr>
          <w:snapToGrid w:val="0"/>
        </w:rPr>
        <w:tab/>
        <w:t>Dentists not to prescribe or supply certain drugs of addiction</w:t>
      </w:r>
      <w:r>
        <w:tab/>
      </w:r>
      <w:r>
        <w:fldChar w:fldCharType="begin"/>
      </w:r>
      <w:r>
        <w:instrText xml:space="preserve"> PAGEREF _Toc389746790 \h </w:instrText>
      </w:r>
      <w:r>
        <w:fldChar w:fldCharType="separate"/>
      </w:r>
      <w:r>
        <w:t>120</w:t>
      </w:r>
      <w:r>
        <w:fldChar w:fldCharType="end"/>
      </w:r>
    </w:p>
    <w:p>
      <w:pPr>
        <w:pStyle w:val="TOC4"/>
        <w:tabs>
          <w:tab w:val="right" w:leader="dot" w:pos="7086"/>
        </w:tabs>
        <w:rPr>
          <w:rFonts w:asciiTheme="minorHAnsi" w:eastAsiaTheme="minorEastAsia" w:hAnsiTheme="minorHAnsi" w:cstheme="minorBidi"/>
          <w:b w:val="0"/>
          <w:szCs w:val="22"/>
        </w:rPr>
      </w:pPr>
      <w:r>
        <w:t>Division 3 — Dispensing and delivery</w:t>
      </w:r>
    </w:p>
    <w:p>
      <w:pPr>
        <w:pStyle w:val="TOC8"/>
        <w:rPr>
          <w:rFonts w:asciiTheme="minorHAnsi" w:eastAsiaTheme="minorEastAsia" w:hAnsiTheme="minorHAnsi" w:cstheme="minorBidi"/>
          <w:szCs w:val="22"/>
        </w:rPr>
      </w:pPr>
      <w:r>
        <w:t>52</w:t>
      </w:r>
      <w:r>
        <w:rPr>
          <w:snapToGrid w:val="0"/>
        </w:rPr>
        <w:t>.</w:t>
      </w:r>
      <w:r>
        <w:rPr>
          <w:snapToGrid w:val="0"/>
        </w:rPr>
        <w:tab/>
        <w:t>Dispensing drugs of addiction</w:t>
      </w:r>
      <w:r>
        <w:tab/>
      </w:r>
      <w:r>
        <w:fldChar w:fldCharType="begin"/>
      </w:r>
      <w:r>
        <w:instrText xml:space="preserve"> PAGEREF _Toc389746792 \h </w:instrText>
      </w:r>
      <w:r>
        <w:fldChar w:fldCharType="separate"/>
      </w:r>
      <w:r>
        <w:t>121</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Movement of drugs of addiction in other circumstances</w:t>
      </w:r>
      <w:r>
        <w:tab/>
      </w:r>
      <w:r>
        <w:fldChar w:fldCharType="begin"/>
      </w:r>
      <w:r>
        <w:instrText xml:space="preserve"> PAGEREF _Toc389746793 \h </w:instrText>
      </w:r>
      <w:r>
        <w:fldChar w:fldCharType="separate"/>
      </w:r>
      <w:r>
        <w:t>127</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Manner of recording details</w:t>
      </w:r>
      <w:r>
        <w:tab/>
      </w:r>
      <w:r>
        <w:fldChar w:fldCharType="begin"/>
      </w:r>
      <w:r>
        <w:instrText xml:space="preserve"> PAGEREF _Toc389746794 \h </w:instrText>
      </w:r>
      <w:r>
        <w:fldChar w:fldCharType="separate"/>
      </w:r>
      <w:r>
        <w:t>128</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Returns to department</w:t>
      </w:r>
      <w:r>
        <w:tab/>
      </w:r>
      <w:r>
        <w:fldChar w:fldCharType="begin"/>
      </w:r>
      <w:r>
        <w:instrText xml:space="preserve"> PAGEREF _Toc389746795 \h </w:instrText>
      </w:r>
      <w:r>
        <w:fldChar w:fldCharType="separate"/>
      </w:r>
      <w:r>
        <w:t>128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Dispensing poisons included in Schedule 8 in case of emergency</w:t>
      </w:r>
      <w:r>
        <w:tab/>
      </w:r>
      <w:r>
        <w:fldChar w:fldCharType="begin"/>
      </w:r>
      <w:r>
        <w:instrText xml:space="preserve"> PAGEREF _Toc389746796 \h </w:instrText>
      </w:r>
      <w:r>
        <w:fldChar w:fldCharType="separate"/>
      </w:r>
      <w:r>
        <w:t>129</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Dispensing poisons included in Schedule 8</w:t>
      </w:r>
      <w:r>
        <w:tab/>
      </w:r>
      <w:r>
        <w:fldChar w:fldCharType="begin"/>
      </w:r>
      <w:r>
        <w:instrText xml:space="preserve"> PAGEREF _Toc389746797 \h </w:instrText>
      </w:r>
      <w:r>
        <w:fldChar w:fldCharType="separate"/>
      </w:r>
      <w:r>
        <w:t>129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Delivery of poisons included in Schedule 8 on order</w:t>
      </w:r>
      <w:r>
        <w:tab/>
      </w:r>
      <w:r>
        <w:fldChar w:fldCharType="begin"/>
      </w:r>
      <w:r>
        <w:instrText xml:space="preserve"> PAGEREF _Toc389746798 \h </w:instrText>
      </w:r>
      <w:r>
        <w:fldChar w:fldCharType="separate"/>
      </w:r>
      <w:r>
        <w:t>130</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Packaging of drugs of addiction</w:t>
      </w:r>
      <w:r>
        <w:tab/>
      </w:r>
      <w:r>
        <w:fldChar w:fldCharType="begin"/>
      </w:r>
      <w:r>
        <w:instrText xml:space="preserve"> PAGEREF _Toc389746799 \h </w:instrText>
      </w:r>
      <w:r>
        <w:fldChar w:fldCharType="separate"/>
      </w:r>
      <w:r>
        <w:t>131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Common carrier protected</w:t>
      </w:r>
      <w:r>
        <w:tab/>
      </w:r>
      <w:r>
        <w:fldChar w:fldCharType="begin"/>
      </w:r>
      <w:r>
        <w:instrText xml:space="preserve"> PAGEREF _Toc389746800 \h </w:instrText>
      </w:r>
      <w:r>
        <w:fldChar w:fldCharType="separate"/>
      </w:r>
      <w:r>
        <w:t>132</w:t>
      </w:r>
      <w:r>
        <w:fldChar w:fldCharType="end"/>
      </w:r>
    </w:p>
    <w:p>
      <w:pPr>
        <w:pStyle w:val="TOC4"/>
        <w:tabs>
          <w:tab w:val="right" w:leader="dot" w:pos="7086"/>
        </w:tabs>
        <w:rPr>
          <w:rFonts w:asciiTheme="minorHAnsi" w:eastAsiaTheme="minorEastAsia" w:hAnsiTheme="minorHAnsi" w:cstheme="minorBidi"/>
          <w:b w:val="0"/>
          <w:szCs w:val="22"/>
        </w:rPr>
      </w:pPr>
      <w:r>
        <w:t>Division 4 — Safe custody</w:t>
      </w:r>
    </w:p>
    <w:p>
      <w:pPr>
        <w:pStyle w:val="TOC8"/>
        <w:rPr>
          <w:rFonts w:asciiTheme="minorHAnsi" w:eastAsiaTheme="minorEastAsia" w:hAnsiTheme="minorHAnsi" w:cstheme="minorBidi"/>
          <w:szCs w:val="22"/>
        </w:rPr>
      </w:pPr>
      <w:r>
        <w:t>56</w:t>
      </w:r>
      <w:r>
        <w:rPr>
          <w:snapToGrid w:val="0"/>
        </w:rPr>
        <w:t>.</w:t>
      </w:r>
      <w:r>
        <w:rPr>
          <w:snapToGrid w:val="0"/>
        </w:rPr>
        <w:tab/>
        <w:t>Storing and securing drugs of addiction</w:t>
      </w:r>
      <w:r>
        <w:tab/>
      </w:r>
      <w:r>
        <w:fldChar w:fldCharType="begin"/>
      </w:r>
      <w:r>
        <w:instrText xml:space="preserve"> PAGEREF _Toc389746802 \h </w:instrText>
      </w:r>
      <w:r>
        <w:fldChar w:fldCharType="separate"/>
      </w:r>
      <w:r>
        <w:t>132</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Prescribed amount of poisons included in Schedule 8</w:t>
      </w:r>
      <w:r>
        <w:tab/>
      </w:r>
      <w:r>
        <w:fldChar w:fldCharType="begin"/>
      </w:r>
      <w:r>
        <w:instrText xml:space="preserve"> PAGEREF _Toc389746803 \h </w:instrText>
      </w:r>
      <w:r>
        <w:fldChar w:fldCharType="separate"/>
      </w:r>
      <w:r>
        <w:t>134</w:t>
      </w:r>
      <w:r>
        <w:fldChar w:fldCharType="end"/>
      </w:r>
    </w:p>
    <w:p>
      <w:pPr>
        <w:pStyle w:val="TOC8"/>
        <w:rPr>
          <w:rFonts w:asciiTheme="minorHAnsi" w:eastAsiaTheme="minorEastAsia" w:hAnsiTheme="minorHAnsi" w:cstheme="minorBidi"/>
          <w:szCs w:val="22"/>
        </w:rPr>
      </w:pPr>
      <w:r>
        <w:t>56B</w:t>
      </w:r>
      <w:r>
        <w:rPr>
          <w:snapToGrid w:val="0"/>
        </w:rPr>
        <w:t>.</w:t>
      </w:r>
      <w:r>
        <w:rPr>
          <w:snapToGrid w:val="0"/>
        </w:rPr>
        <w:tab/>
        <w:t>Location of safe in premises</w:t>
      </w:r>
      <w:r>
        <w:tab/>
      </w:r>
      <w:r>
        <w:fldChar w:fldCharType="begin"/>
      </w:r>
      <w:r>
        <w:instrText xml:space="preserve"> PAGEREF _Toc389746804 \h </w:instrText>
      </w:r>
      <w:r>
        <w:fldChar w:fldCharType="separate"/>
      </w:r>
      <w:r>
        <w:t>135</w:t>
      </w:r>
      <w:r>
        <w:fldChar w:fldCharType="end"/>
      </w:r>
    </w:p>
    <w:p>
      <w:pPr>
        <w:pStyle w:val="TOC8"/>
        <w:rPr>
          <w:rFonts w:asciiTheme="minorHAnsi" w:eastAsiaTheme="minorEastAsia" w:hAnsiTheme="minorHAnsi" w:cstheme="minorBidi"/>
          <w:szCs w:val="22"/>
        </w:rPr>
      </w:pPr>
      <w:r>
        <w:t>56C</w:t>
      </w:r>
      <w:r>
        <w:rPr>
          <w:snapToGrid w:val="0"/>
        </w:rPr>
        <w:t>.</w:t>
      </w:r>
      <w:r>
        <w:rPr>
          <w:snapToGrid w:val="0"/>
        </w:rPr>
        <w:tab/>
        <w:t>Authorised persons to keep keys to safes</w:t>
      </w:r>
      <w:r>
        <w:tab/>
      </w:r>
      <w:r>
        <w:fldChar w:fldCharType="begin"/>
      </w:r>
      <w:r>
        <w:instrText xml:space="preserve"> PAGEREF _Toc389746805 \h </w:instrText>
      </w:r>
      <w:r>
        <w:fldChar w:fldCharType="separate"/>
      </w:r>
      <w:r>
        <w:t>135</w:t>
      </w:r>
      <w:r>
        <w:fldChar w:fldCharType="end"/>
      </w:r>
    </w:p>
    <w:p>
      <w:pPr>
        <w:pStyle w:val="TOC8"/>
        <w:rPr>
          <w:rFonts w:asciiTheme="minorHAnsi" w:eastAsiaTheme="minorEastAsia" w:hAnsiTheme="minorHAnsi" w:cstheme="minorBidi"/>
          <w:szCs w:val="22"/>
        </w:rPr>
      </w:pPr>
      <w:r>
        <w:t>56D</w:t>
      </w:r>
      <w:r>
        <w:rPr>
          <w:snapToGrid w:val="0"/>
        </w:rPr>
        <w:t>.</w:t>
      </w:r>
      <w:r>
        <w:rPr>
          <w:snapToGrid w:val="0"/>
        </w:rPr>
        <w:tab/>
        <w:t>Safes to be kept locked</w:t>
      </w:r>
      <w:r>
        <w:tab/>
      </w:r>
      <w:r>
        <w:fldChar w:fldCharType="begin"/>
      </w:r>
      <w:r>
        <w:instrText xml:space="preserve"> PAGEREF _Toc389746806 \h </w:instrText>
      </w:r>
      <w:r>
        <w:fldChar w:fldCharType="separate"/>
      </w:r>
      <w:r>
        <w:t>135</w:t>
      </w:r>
      <w:r>
        <w:fldChar w:fldCharType="end"/>
      </w:r>
    </w:p>
    <w:p>
      <w:pPr>
        <w:pStyle w:val="TOC8"/>
        <w:rPr>
          <w:rFonts w:asciiTheme="minorHAnsi" w:eastAsiaTheme="minorEastAsia" w:hAnsiTheme="minorHAnsi" w:cstheme="minorBidi"/>
          <w:szCs w:val="22"/>
        </w:rPr>
      </w:pPr>
      <w:r>
        <w:t>56E</w:t>
      </w:r>
      <w:r>
        <w:rPr>
          <w:snapToGrid w:val="0"/>
        </w:rPr>
        <w:t>.</w:t>
      </w:r>
      <w:r>
        <w:rPr>
          <w:snapToGrid w:val="0"/>
        </w:rPr>
        <w:tab/>
        <w:t>Pharmacist present on premises</w:t>
      </w:r>
      <w:r>
        <w:tab/>
      </w:r>
      <w:r>
        <w:fldChar w:fldCharType="begin"/>
      </w:r>
      <w:r>
        <w:instrText xml:space="preserve"> PAGEREF _Toc389746807 \h </w:instrText>
      </w:r>
      <w:r>
        <w:fldChar w:fldCharType="separate"/>
      </w:r>
      <w:r>
        <w:t>136</w:t>
      </w:r>
      <w:r>
        <w:fldChar w:fldCharType="end"/>
      </w:r>
    </w:p>
    <w:p>
      <w:pPr>
        <w:pStyle w:val="TOC8"/>
        <w:rPr>
          <w:rFonts w:asciiTheme="minorHAnsi" w:eastAsiaTheme="minorEastAsia" w:hAnsiTheme="minorHAnsi" w:cstheme="minorBidi"/>
          <w:szCs w:val="22"/>
        </w:rPr>
      </w:pPr>
      <w:r>
        <w:t>56F</w:t>
      </w:r>
      <w:r>
        <w:rPr>
          <w:snapToGrid w:val="0"/>
        </w:rPr>
        <w:t>.</w:t>
      </w:r>
      <w:r>
        <w:rPr>
          <w:snapToGrid w:val="0"/>
        </w:rPr>
        <w:tab/>
        <w:t>Keys to, and locking of, poisons cupboards and lockable drawers</w:t>
      </w:r>
      <w:r>
        <w:tab/>
      </w:r>
      <w:r>
        <w:fldChar w:fldCharType="begin"/>
      </w:r>
      <w:r>
        <w:instrText xml:space="preserve"> PAGEREF _Toc389746808 \h </w:instrText>
      </w:r>
      <w:r>
        <w:fldChar w:fldCharType="separate"/>
      </w:r>
      <w:r>
        <w:t>136</w:t>
      </w:r>
      <w:r>
        <w:fldChar w:fldCharType="end"/>
      </w:r>
    </w:p>
    <w:p>
      <w:pPr>
        <w:pStyle w:val="TOC8"/>
        <w:rPr>
          <w:rFonts w:asciiTheme="minorHAnsi" w:eastAsiaTheme="minorEastAsia" w:hAnsiTheme="minorHAnsi" w:cstheme="minorBidi"/>
          <w:szCs w:val="22"/>
        </w:rPr>
      </w:pPr>
      <w:r>
        <w:t>56G</w:t>
      </w:r>
      <w:r>
        <w:rPr>
          <w:snapToGrid w:val="0"/>
        </w:rPr>
        <w:t>.</w:t>
      </w:r>
      <w:r>
        <w:rPr>
          <w:snapToGrid w:val="0"/>
        </w:rPr>
        <w:tab/>
        <w:t>Poisons included in Schedule 8 in hospital ward</w:t>
      </w:r>
      <w:r>
        <w:tab/>
      </w:r>
      <w:r>
        <w:fldChar w:fldCharType="begin"/>
      </w:r>
      <w:r>
        <w:instrText xml:space="preserve"> PAGEREF _Toc389746809 \h </w:instrText>
      </w:r>
      <w:r>
        <w:fldChar w:fldCharType="separate"/>
      </w:r>
      <w:r>
        <w:t>136</w:t>
      </w:r>
      <w:r>
        <w:fldChar w:fldCharType="end"/>
      </w:r>
    </w:p>
    <w:p>
      <w:pPr>
        <w:pStyle w:val="TOC8"/>
        <w:rPr>
          <w:rFonts w:asciiTheme="minorHAnsi" w:eastAsiaTheme="minorEastAsia" w:hAnsiTheme="minorHAnsi" w:cstheme="minorBidi"/>
          <w:szCs w:val="22"/>
        </w:rPr>
      </w:pPr>
      <w:r>
        <w:t>56H</w:t>
      </w:r>
      <w:r>
        <w:rPr>
          <w:snapToGrid w:val="0"/>
        </w:rPr>
        <w:t>.</w:t>
      </w:r>
      <w:r>
        <w:rPr>
          <w:snapToGrid w:val="0"/>
        </w:rPr>
        <w:tab/>
        <w:t>Keys to, and locking of, cupboards in hospital wards</w:t>
      </w:r>
      <w:r>
        <w:tab/>
      </w:r>
      <w:r>
        <w:fldChar w:fldCharType="begin"/>
      </w:r>
      <w:r>
        <w:instrText xml:space="preserve"> PAGEREF _Toc389746810 \h </w:instrText>
      </w:r>
      <w:r>
        <w:fldChar w:fldCharType="separate"/>
      </w:r>
      <w:r>
        <w:t>137</w:t>
      </w:r>
      <w:r>
        <w:fldChar w:fldCharType="end"/>
      </w:r>
    </w:p>
    <w:p>
      <w:pPr>
        <w:pStyle w:val="TOC4"/>
        <w:tabs>
          <w:tab w:val="right" w:leader="dot" w:pos="7086"/>
        </w:tabs>
        <w:rPr>
          <w:rFonts w:asciiTheme="minorHAnsi" w:eastAsiaTheme="minorEastAsia" w:hAnsiTheme="minorHAnsi" w:cstheme="minorBidi"/>
          <w:b w:val="0"/>
          <w:szCs w:val="22"/>
        </w:rPr>
      </w:pPr>
      <w:r>
        <w:t>Division 5 — Restrictions on supply</w:t>
      </w:r>
    </w:p>
    <w:p>
      <w:pPr>
        <w:pStyle w:val="TOC8"/>
        <w:rPr>
          <w:rFonts w:asciiTheme="minorHAnsi" w:eastAsiaTheme="minorEastAsia" w:hAnsiTheme="minorHAnsi" w:cstheme="minorBidi"/>
          <w:szCs w:val="22"/>
        </w:rPr>
      </w:pPr>
      <w:r>
        <w:t>57</w:t>
      </w:r>
      <w:r>
        <w:rPr>
          <w:snapToGrid w:val="0"/>
        </w:rPr>
        <w:t>.</w:t>
      </w:r>
      <w:r>
        <w:rPr>
          <w:snapToGrid w:val="0"/>
        </w:rPr>
        <w:tab/>
        <w:t>Labelling</w:t>
      </w:r>
      <w:r>
        <w:tab/>
      </w:r>
      <w:r>
        <w:fldChar w:fldCharType="begin"/>
      </w:r>
      <w:r>
        <w:instrText xml:space="preserve"> PAGEREF _Toc389746812 \h </w:instrText>
      </w:r>
      <w:r>
        <w:fldChar w:fldCharType="separate"/>
      </w:r>
      <w:r>
        <w:t>137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Improper prescribing or use of drugs of addiction</w:t>
      </w:r>
      <w:r>
        <w:tab/>
      </w:r>
      <w:r>
        <w:fldChar w:fldCharType="begin"/>
      </w:r>
      <w:r>
        <w:instrText xml:space="preserve"> PAGEREF _Toc389746813 \h </w:instrText>
      </w:r>
      <w:r>
        <w:fldChar w:fldCharType="separate"/>
      </w:r>
      <w:r>
        <w:t>138</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 provisions</w:t>
      </w:r>
    </w:p>
    <w:p>
      <w:pPr>
        <w:pStyle w:val="TOC8"/>
        <w:rPr>
          <w:rFonts w:asciiTheme="minorHAnsi" w:eastAsiaTheme="minorEastAsia" w:hAnsiTheme="minorHAnsi" w:cstheme="minorBidi"/>
          <w:szCs w:val="22"/>
        </w:rPr>
      </w:pPr>
      <w:r>
        <w:t>59</w:t>
      </w:r>
      <w:r>
        <w:rPr>
          <w:snapToGrid w:val="0"/>
        </w:rPr>
        <w:t>.</w:t>
      </w:r>
      <w:r>
        <w:rPr>
          <w:snapToGrid w:val="0"/>
        </w:rPr>
        <w:tab/>
        <w:t>Names of persons from whom licence or authority withdrawn to be published</w:t>
      </w:r>
      <w:r>
        <w:tab/>
      </w:r>
      <w:r>
        <w:fldChar w:fldCharType="begin"/>
      </w:r>
      <w:r>
        <w:instrText xml:space="preserve"> PAGEREF _Toc389746815 \h </w:instrText>
      </w:r>
      <w:r>
        <w:fldChar w:fldCharType="separate"/>
      </w:r>
      <w:r>
        <w:t>139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Substitution of one brand of a drug for another</w:t>
      </w:r>
      <w:r>
        <w:tab/>
      </w:r>
      <w:r>
        <w:fldChar w:fldCharType="begin"/>
      </w:r>
      <w:r>
        <w:instrText xml:space="preserve"> PAGEREF _Toc389746816 \h </w:instrText>
      </w:r>
      <w:r>
        <w:fldChar w:fldCharType="separate"/>
      </w:r>
      <w:r>
        <w:t>139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Form of warrant (section 55A)</w:t>
      </w:r>
      <w:r>
        <w:tab/>
      </w:r>
      <w:r>
        <w:fldChar w:fldCharType="begin"/>
      </w:r>
      <w:r>
        <w:instrText xml:space="preserve"> PAGEREF _Toc389746817 \h </w:instrText>
      </w:r>
      <w:r>
        <w:fldChar w:fldCharType="separate"/>
      </w:r>
      <w:r>
        <w:t>140</w:t>
      </w:r>
      <w:r>
        <w:fldChar w:fldCharType="end"/>
      </w:r>
    </w:p>
    <w:p>
      <w:pPr>
        <w:pStyle w:val="TOC2"/>
        <w:tabs>
          <w:tab w:val="right" w:leader="dot" w:pos="7086"/>
        </w:tabs>
        <w:rPr>
          <w:rFonts w:asciiTheme="minorHAnsi" w:eastAsiaTheme="minorEastAsia" w:hAnsiTheme="minorHAnsi" w:cstheme="minorBidi"/>
          <w:b w:val="0"/>
          <w:sz w:val="22"/>
          <w:szCs w:val="22"/>
        </w:rPr>
      </w:pPr>
      <w:r>
        <w:t>Part 8</w:t>
      </w:r>
      <w:r>
        <w:rPr>
          <w:b w:val="0"/>
        </w:rPr>
        <w:t> </w:t>
      </w:r>
      <w:r>
        <w:t>—</w:t>
      </w:r>
      <w:r>
        <w:rPr>
          <w:b w:val="0"/>
        </w:rPr>
        <w:t> </w:t>
      </w:r>
      <w:r>
        <w:t>Transitional provisions</w:t>
      </w:r>
    </w:p>
    <w:p>
      <w:pPr>
        <w:pStyle w:val="TOC4"/>
        <w:tabs>
          <w:tab w:val="right" w:leader="dot" w:pos="7086"/>
        </w:tabs>
        <w:rPr>
          <w:rFonts w:asciiTheme="minorHAnsi" w:eastAsiaTheme="minorEastAsia" w:hAnsiTheme="minorHAnsi" w:cstheme="minorBidi"/>
          <w:b w:val="0"/>
          <w:szCs w:val="22"/>
        </w:rPr>
      </w:pPr>
      <w:r>
        <w:t xml:space="preserve">Division 1 — Transitional provisions relating to the </w:t>
      </w:r>
      <w:r>
        <w:rPr>
          <w:i/>
          <w:iCs/>
        </w:rPr>
        <w:t>Poisons Amendment Regulations (No. 2) 2009</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_Toc389746820 \h </w:instrText>
      </w:r>
      <w:r>
        <w:fldChar w:fldCharType="separate"/>
      </w:r>
      <w:r>
        <w:t>141</w:t>
      </w:r>
      <w:r>
        <w:fldChar w:fldCharType="end"/>
      </w:r>
    </w:p>
    <w:p>
      <w:pPr>
        <w:pStyle w:val="TOC8"/>
        <w:rPr>
          <w:rFonts w:asciiTheme="minorHAnsi" w:eastAsiaTheme="minorEastAsia" w:hAnsiTheme="minorHAnsi" w:cstheme="minorBidi"/>
          <w:szCs w:val="22"/>
        </w:rPr>
      </w:pPr>
      <w:r>
        <w:t>67.</w:t>
      </w:r>
      <w:r>
        <w:tab/>
        <w:t>Authorisation to prescribe drugs of addiction</w:t>
      </w:r>
      <w:r>
        <w:tab/>
      </w:r>
      <w:r>
        <w:fldChar w:fldCharType="begin"/>
      </w:r>
      <w:r>
        <w:instrText xml:space="preserve"> PAGEREF _Toc389746821 \h </w:instrText>
      </w:r>
      <w:r>
        <w:fldChar w:fldCharType="separate"/>
      </w:r>
      <w:r>
        <w:t>141</w:t>
      </w:r>
      <w:r>
        <w:fldChar w:fldCharType="end"/>
      </w:r>
    </w:p>
    <w:p>
      <w:pPr>
        <w:pStyle w:val="TOC8"/>
        <w:rPr>
          <w:rFonts w:asciiTheme="minorHAnsi" w:eastAsiaTheme="minorEastAsia" w:hAnsiTheme="minorHAnsi" w:cstheme="minorBidi"/>
          <w:szCs w:val="22"/>
        </w:rPr>
      </w:pPr>
      <w:r>
        <w:t>68.</w:t>
      </w:r>
      <w:r>
        <w:tab/>
        <w:t>Authorisation to prescribe pharmacotherapies</w:t>
      </w:r>
      <w:r>
        <w:tab/>
      </w:r>
      <w:r>
        <w:fldChar w:fldCharType="begin"/>
      </w:r>
      <w:r>
        <w:instrText xml:space="preserve"> PAGEREF _Toc389746822 \h </w:instrText>
      </w:r>
      <w:r>
        <w:fldChar w:fldCharType="separate"/>
      </w:r>
      <w:r>
        <w:t>141</w:t>
      </w:r>
      <w:r>
        <w:fldChar w:fldCharType="end"/>
      </w:r>
    </w:p>
    <w:p>
      <w:pPr>
        <w:pStyle w:val="TOC8"/>
        <w:rPr>
          <w:rFonts w:asciiTheme="minorHAnsi" w:eastAsiaTheme="minorEastAsia" w:hAnsiTheme="minorHAnsi" w:cstheme="minorBidi"/>
          <w:szCs w:val="22"/>
        </w:rPr>
      </w:pPr>
      <w:r>
        <w:t>69.</w:t>
      </w:r>
      <w:r>
        <w:tab/>
        <w:t>Prescriptions</w:t>
      </w:r>
      <w:r>
        <w:tab/>
      </w:r>
      <w:r>
        <w:fldChar w:fldCharType="begin"/>
      </w:r>
      <w:r>
        <w:instrText xml:space="preserve"> PAGEREF _Toc389746823 \h </w:instrText>
      </w:r>
      <w:r>
        <w:fldChar w:fldCharType="separate"/>
      </w:r>
      <w:r>
        <w:t>142</w:t>
      </w:r>
      <w:r>
        <w:fldChar w:fldCharType="end"/>
      </w:r>
    </w:p>
    <w:p>
      <w:pPr>
        <w:pStyle w:val="TOC8"/>
        <w:rPr>
          <w:rFonts w:asciiTheme="minorHAnsi" w:eastAsiaTheme="minorEastAsia" w:hAnsiTheme="minorHAnsi" w:cstheme="minorBidi"/>
          <w:szCs w:val="22"/>
        </w:rPr>
      </w:pPr>
      <w:r>
        <w:t>70.</w:t>
      </w:r>
      <w:r>
        <w:tab/>
        <w:t>Dispensing drugs of addiction from a pharmacy</w:t>
      </w:r>
      <w:r>
        <w:tab/>
      </w:r>
      <w:r>
        <w:fldChar w:fldCharType="begin"/>
      </w:r>
      <w:r>
        <w:instrText xml:space="preserve"> PAGEREF _Toc389746824 \h </w:instrText>
      </w:r>
      <w:r>
        <w:fldChar w:fldCharType="separate"/>
      </w:r>
      <w:r>
        <w:t>142</w:t>
      </w:r>
      <w:r>
        <w:fldChar w:fldCharType="end"/>
      </w:r>
    </w:p>
    <w:p>
      <w:pPr>
        <w:pStyle w:val="TOC2"/>
        <w:tabs>
          <w:tab w:val="right" w:leader="dot" w:pos="7086"/>
        </w:tabs>
        <w:rPr>
          <w:rFonts w:asciiTheme="minorHAnsi" w:eastAsiaTheme="minorEastAsia" w:hAnsiTheme="minorHAnsi" w:cstheme="minorBidi"/>
          <w:b w:val="0"/>
          <w:sz w:val="22"/>
          <w:szCs w:val="22"/>
        </w:rPr>
      </w:pPr>
      <w:r>
        <w:t>Appendix A</w:t>
      </w:r>
    </w:p>
    <w:p>
      <w:pPr>
        <w:pStyle w:val="TOC2"/>
        <w:tabs>
          <w:tab w:val="right" w:leader="dot" w:pos="7086"/>
        </w:tabs>
        <w:rPr>
          <w:rFonts w:asciiTheme="minorHAnsi" w:eastAsiaTheme="minorEastAsia" w:hAnsiTheme="minorHAnsi" w:cstheme="minorBidi"/>
          <w:b w:val="0"/>
          <w:sz w:val="22"/>
          <w:szCs w:val="22"/>
        </w:rPr>
      </w:pPr>
      <w:r>
        <w:t>Appendix B — Vaccines exempt from specified provisions of the Act</w:t>
      </w:r>
    </w:p>
    <w:p>
      <w:pPr>
        <w:pStyle w:val="TOC2"/>
        <w:tabs>
          <w:tab w:val="right" w:leader="dot" w:pos="7086"/>
        </w:tabs>
        <w:rPr>
          <w:rFonts w:asciiTheme="minorHAnsi" w:eastAsiaTheme="minorEastAsia" w:hAnsiTheme="minorHAnsi" w:cstheme="minorBidi"/>
          <w:b w:val="0"/>
          <w:sz w:val="22"/>
          <w:szCs w:val="22"/>
        </w:rPr>
      </w:pPr>
      <w:r>
        <w:t>Appendix G</w:t>
      </w:r>
    </w:p>
    <w:p>
      <w:pPr>
        <w:pStyle w:val="TOC2"/>
        <w:tabs>
          <w:tab w:val="right" w:leader="dot" w:pos="7086"/>
        </w:tabs>
        <w:rPr>
          <w:rFonts w:asciiTheme="minorHAnsi" w:eastAsiaTheme="minorEastAsia" w:hAnsiTheme="minorHAnsi" w:cstheme="minorBidi"/>
          <w:b w:val="0"/>
          <w:sz w:val="22"/>
          <w:szCs w:val="22"/>
        </w:rPr>
      </w:pPr>
      <w:r>
        <w:t>Appendix H</w:t>
      </w:r>
    </w:p>
    <w:p>
      <w:pPr>
        <w:pStyle w:val="TOC2"/>
        <w:tabs>
          <w:tab w:val="right" w:leader="dot" w:pos="7086"/>
        </w:tabs>
        <w:rPr>
          <w:rFonts w:asciiTheme="minorHAnsi" w:eastAsiaTheme="minorEastAsia" w:hAnsiTheme="minorHAnsi" w:cstheme="minorBidi"/>
          <w:b w:val="0"/>
          <w:sz w:val="22"/>
          <w:szCs w:val="22"/>
        </w:rPr>
      </w:pPr>
      <w:r>
        <w:t>Schedule 4 substances referred to in regulation 39(1)</w:t>
      </w:r>
    </w:p>
    <w:p>
      <w:pPr>
        <w:pStyle w:val="TOC2"/>
        <w:tabs>
          <w:tab w:val="right" w:leader="dot" w:pos="7086"/>
        </w:tabs>
        <w:rPr>
          <w:rFonts w:asciiTheme="minorHAnsi" w:eastAsiaTheme="minorEastAsia" w:hAnsiTheme="minorHAnsi" w:cstheme="minorBidi"/>
          <w:b w:val="0"/>
          <w:sz w:val="22"/>
          <w:szCs w:val="22"/>
        </w:rPr>
      </w:pPr>
      <w:r>
        <w:t>Appendix J</w:t>
      </w:r>
    </w:p>
    <w:p>
      <w:pPr>
        <w:pStyle w:val="TOC2"/>
        <w:tabs>
          <w:tab w:val="right" w:leader="dot" w:pos="7086"/>
        </w:tabs>
        <w:rPr>
          <w:rFonts w:asciiTheme="minorHAnsi" w:eastAsiaTheme="minorEastAsia" w:hAnsiTheme="minorHAnsi" w:cstheme="minorBidi"/>
          <w:b w:val="0"/>
          <w:sz w:val="22"/>
          <w:szCs w:val="22"/>
        </w:rPr>
      </w:pPr>
      <w:r>
        <w:t>Schedule 3 poison sales to be recorded</w:t>
      </w:r>
    </w:p>
    <w:p>
      <w:pPr>
        <w:pStyle w:val="TOC2"/>
        <w:tabs>
          <w:tab w:val="right" w:leader="dot" w:pos="7086"/>
        </w:tabs>
        <w:rPr>
          <w:rFonts w:asciiTheme="minorHAnsi" w:eastAsiaTheme="minorEastAsia" w:hAnsiTheme="minorHAnsi" w:cstheme="minorBidi"/>
          <w:b w:val="0"/>
          <w:sz w:val="22"/>
          <w:szCs w:val="22"/>
        </w:rPr>
      </w:pPr>
      <w:r>
        <w:t>Appendix K</w:t>
      </w:r>
    </w:p>
    <w:p>
      <w:pPr>
        <w:pStyle w:val="TOC2"/>
        <w:tabs>
          <w:tab w:val="right" w:leader="dot" w:pos="7086"/>
        </w:tabs>
        <w:rPr>
          <w:rFonts w:asciiTheme="minorHAnsi" w:eastAsiaTheme="minorEastAsia" w:hAnsiTheme="minorHAnsi" w:cstheme="minorBidi"/>
          <w:b w:val="0"/>
          <w:sz w:val="22"/>
          <w:szCs w:val="22"/>
        </w:rPr>
      </w:pPr>
      <w:r>
        <w:t>Criteria for electronic prescribing systems</w:t>
      </w:r>
    </w:p>
    <w:p>
      <w:pPr>
        <w:pStyle w:val="TOC2"/>
        <w:tabs>
          <w:tab w:val="right" w:leader="dot" w:pos="7086"/>
        </w:tabs>
        <w:rPr>
          <w:rFonts w:asciiTheme="minorHAnsi" w:eastAsiaTheme="minorEastAsia" w:hAnsiTheme="minorHAnsi" w:cstheme="minorBidi"/>
          <w:b w:val="0"/>
          <w:sz w:val="22"/>
          <w:szCs w:val="22"/>
        </w:rPr>
      </w:pPr>
      <w:r>
        <w:t>Appendix L</w:t>
      </w:r>
    </w:p>
    <w:p>
      <w:pPr>
        <w:pStyle w:val="TOC2"/>
        <w:tabs>
          <w:tab w:val="right" w:leader="dot" w:pos="7086"/>
        </w:tabs>
        <w:rPr>
          <w:rFonts w:asciiTheme="minorHAnsi" w:eastAsiaTheme="minorEastAsia" w:hAnsiTheme="minorHAnsi" w:cstheme="minorBidi"/>
          <w:b w:val="0"/>
          <w:sz w:val="22"/>
          <w:szCs w:val="22"/>
        </w:rPr>
      </w:pPr>
      <w:r>
        <w:t>Specified criteria for the generation of prescriptions by computer</w:t>
      </w:r>
    </w:p>
    <w:p>
      <w:pPr>
        <w:pStyle w:val="TOC2"/>
        <w:tabs>
          <w:tab w:val="right" w:leader="dot" w:pos="7086"/>
        </w:tabs>
        <w:rPr>
          <w:rFonts w:asciiTheme="minorHAnsi" w:eastAsiaTheme="minorEastAsia" w:hAnsiTheme="minorHAnsi" w:cstheme="minorBidi"/>
          <w:b w:val="0"/>
          <w:sz w:val="22"/>
          <w:szCs w:val="22"/>
        </w:rPr>
      </w:pPr>
      <w:r>
        <w:t>Appendix M</w:t>
      </w:r>
    </w:p>
    <w:p>
      <w:pPr>
        <w:pStyle w:val="TOC2"/>
        <w:tabs>
          <w:tab w:val="right" w:leader="dot" w:pos="7086"/>
        </w:tabs>
        <w:rPr>
          <w:rFonts w:asciiTheme="minorHAnsi" w:eastAsiaTheme="minorEastAsia" w:hAnsiTheme="minorHAnsi" w:cstheme="minorBidi"/>
          <w:b w:val="0"/>
          <w:sz w:val="22"/>
          <w:szCs w:val="22"/>
        </w:rPr>
      </w:pPr>
      <w:r>
        <w:t>Safes and additional security for storing drugs of addiction</w:t>
      </w:r>
    </w:p>
    <w:p>
      <w:pPr>
        <w:pStyle w:val="TOC8"/>
        <w:rPr>
          <w:rFonts w:asciiTheme="minorHAnsi" w:eastAsiaTheme="minorEastAsia" w:hAnsiTheme="minorHAnsi" w:cstheme="minorBidi"/>
          <w:szCs w:val="22"/>
        </w:rPr>
      </w:pPr>
      <w:r>
        <w:t>1</w:t>
      </w:r>
      <w:r>
        <w:rPr>
          <w:snapToGrid w:val="0"/>
        </w:rPr>
        <w:t>.</w:t>
      </w:r>
      <w:r>
        <w:rPr>
          <w:snapToGrid w:val="0"/>
        </w:rPr>
        <w:tab/>
        <w:t>Safes</w:t>
      </w:r>
      <w:r>
        <w:tab/>
      </w:r>
      <w:r>
        <w:fldChar w:fldCharType="begin"/>
      </w:r>
      <w:r>
        <w:instrText xml:space="preserve"> PAGEREF _Toc389746838 \h </w:instrText>
      </w:r>
      <w:r>
        <w:fldChar w:fldCharType="separate"/>
      </w:r>
      <w:r>
        <w:t>167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Additional security requirements</w:t>
      </w:r>
      <w:r>
        <w:tab/>
      </w:r>
      <w:r>
        <w:fldChar w:fldCharType="begin"/>
      </w:r>
      <w:r>
        <w:instrText xml:space="preserve"> PAGEREF _Toc389746839 \h </w:instrText>
      </w:r>
      <w:r>
        <w:fldChar w:fldCharType="separate"/>
      </w:r>
      <w:r>
        <w:t>168</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_Toc389746841 \h </w:instrText>
      </w:r>
      <w:r>
        <w:fldChar w:fldCharType="separate"/>
      </w:r>
      <w:r>
        <w:t>169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1" w:name="_Toc389746630"/>
      <w:r>
        <w:rPr>
          <w:rStyle w:val="CharPartNo"/>
        </w:rPr>
        <w:t>Part 1</w:t>
      </w:r>
      <w:r>
        <w:rPr>
          <w:rStyle w:val="CharDivNo"/>
        </w:rPr>
        <w:t> </w:t>
      </w:r>
      <w:r>
        <w:t>—</w:t>
      </w:r>
      <w:r>
        <w:rPr>
          <w:rStyle w:val="CharDivText"/>
        </w:rPr>
        <w:t> </w:t>
      </w:r>
      <w:r>
        <w:rPr>
          <w:rStyle w:val="CharPartText"/>
        </w:rPr>
        <w:t>Preliminary</w:t>
      </w:r>
      <w:bookmarkEnd w:id="1"/>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2" w:name="_Toc389746631"/>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r>
        <w:t>[Heading deleted in Gazette 12 Aug 2003 p. 3663.]</w:t>
      </w:r>
    </w:p>
    <w:p>
      <w:pPr>
        <w:pStyle w:val="Heading5"/>
        <w:rPr>
          <w:snapToGrid w:val="0"/>
        </w:rPr>
      </w:pPr>
      <w:bookmarkStart w:id="3" w:name="_Toc389746632"/>
      <w:r>
        <w:rPr>
          <w:rStyle w:val="CharSectno"/>
        </w:rPr>
        <w:t>2</w:t>
      </w:r>
      <w:r>
        <w:rPr>
          <w:snapToGrid w:val="0"/>
        </w:rPr>
        <w:t>.</w:t>
      </w:r>
      <w:r>
        <w:rPr>
          <w:snapToGrid w:val="0"/>
        </w:rPr>
        <w:tab/>
        <w:t>Terms used</w:t>
      </w:r>
      <w:bookmarkEnd w:id="3"/>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spacing w:before="70"/>
      </w:pPr>
      <w:r>
        <w:rPr>
          <w:b/>
        </w:rPr>
        <w:tab/>
      </w:r>
      <w:r>
        <w:rPr>
          <w:rStyle w:val="CharDefText"/>
        </w:rPr>
        <w:t>dermatologist</w:t>
      </w:r>
      <w:r>
        <w:t xml:space="preserve"> means a medical practitioner who has qualifications recognised by the Medical Board as appropriate to a specialist in dermatology;</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rPr>
          <w:b/>
        </w:rPr>
        <w:tab/>
      </w:r>
      <w:r>
        <w:rPr>
          <w:rStyle w:val="CharDefText"/>
        </w:rPr>
        <w:t>gynaecologist</w:t>
      </w:r>
      <w:r>
        <w:t xml:space="preserve"> means a medical practitioner who has qualifications recognised by the Medical Board as appropriate to a specialist in gynaecology;</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rPr>
          <w:b/>
        </w:rPr>
        <w:tab/>
      </w:r>
      <w:r>
        <w:rPr>
          <w:rStyle w:val="CharDefText"/>
        </w:rPr>
        <w:t>Medical Board</w:t>
      </w:r>
      <w:r>
        <w:t xml:space="preserve"> means the Medical Board established under section 4 of the </w:t>
      </w:r>
      <w:r>
        <w:rPr>
          <w:i/>
        </w:rPr>
        <w:t>Medical Act 1894</w:t>
      </w:r>
      <w:r>
        <w:t xml:space="preserve"> </w:t>
      </w:r>
      <w:r>
        <w:rPr>
          <w:vertAlign w:val="superscript"/>
        </w:rPr>
        <w:t>2</w:t>
      </w:r>
      <w:r>
        <w:t>;</w:t>
      </w:r>
    </w:p>
    <w:p>
      <w:pPr>
        <w:pStyle w:val="Defstart"/>
      </w:pPr>
      <w:r>
        <w:rPr>
          <w:b/>
        </w:rPr>
        <w:tab/>
      </w:r>
      <w:r>
        <w:rPr>
          <w:rStyle w:val="CharDefText"/>
        </w:rPr>
        <w:t>obstetrician</w:t>
      </w:r>
      <w:r>
        <w:t xml:space="preserve"> means a medical practitioner who has qualifications recognised by the Medical Board as appropriate to a specialist in obstetrics;</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rPr>
          <w:b/>
        </w:rPr>
        <w:tab/>
      </w:r>
      <w:r>
        <w:rPr>
          <w:rStyle w:val="CharDefText"/>
        </w:rPr>
        <w:t>physician</w:t>
      </w:r>
      <w:r>
        <w:t xml:space="preserve"> means a medical practitioner who has qualifications recognised by the Medical Board as appropriate to a specialist in general medicine;</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rPr>
          <w:b/>
        </w:rPr>
        <w:tab/>
      </w:r>
      <w:r>
        <w:rPr>
          <w:rStyle w:val="CharDefText"/>
        </w:rPr>
        <w:t>psychiatrist</w:t>
      </w:r>
      <w:r>
        <w:t xml:space="preserve"> means a medical practitioner whose name is contained in a register under section 89(1) of the </w:t>
      </w:r>
      <w:r>
        <w:rPr>
          <w:i/>
        </w:rPr>
        <w:t>Mental Health Act 1962</w:t>
      </w:r>
      <w:r>
        <w:t xml:space="preserve"> </w:t>
      </w:r>
      <w:r>
        <w:rPr>
          <w:vertAlign w:val="superscript"/>
        </w:rPr>
        <w:t>3</w:t>
      </w:r>
      <w:r>
        <w:rPr>
          <w:snapToGrid/>
        </w:rPr>
        <w:t>;</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pharmaceutical chemist, dentist, veterinary surgeon;</w:t>
      </w:r>
    </w:p>
    <w:p>
      <w:pPr>
        <w:pStyle w:val="Defpara"/>
      </w:pPr>
      <w:r>
        <w:tab/>
        <w:t>(b)</w:t>
      </w:r>
      <w:r>
        <w:tab/>
        <w:t>a person who is the holder of a degree approved by the CEO conferred by a University of the British Commonwealth;</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midwife as defined in the </w:t>
      </w:r>
      <w:r>
        <w:rPr>
          <w:i/>
        </w:rPr>
        <w:t>Nurses and Midwives Act 2006</w:t>
      </w:r>
      <w:r>
        <w:t>;</w:t>
      </w:r>
    </w:p>
    <w:p>
      <w:pPr>
        <w:pStyle w:val="Defstart"/>
      </w:pPr>
      <w:r>
        <w:tab/>
      </w:r>
      <w:r>
        <w:rPr>
          <w:rStyle w:val="CharDefText"/>
        </w:rPr>
        <w:t>registered nurse</w:t>
      </w:r>
      <w:r>
        <w:t xml:space="preserve"> has the meaning given in the </w:t>
      </w:r>
      <w:r>
        <w:rPr>
          <w:i/>
        </w:rPr>
        <w:t>Nurses and Midwives Act 2006</w:t>
      </w:r>
      <w:r>
        <w:t xml:space="preserve"> section 3;</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pPr>
      <w:r>
        <w:rPr>
          <w:b/>
        </w:rPr>
        <w:tab/>
      </w:r>
      <w:r>
        <w:rPr>
          <w:rStyle w:val="CharDefText"/>
        </w:rPr>
        <w:t>SUSDP</w:t>
      </w:r>
      <w:r>
        <w:t xml:space="preserve"> has the meaning given in clause 1(1) of Appendix A to the Act;</w:t>
      </w:r>
    </w:p>
    <w:p>
      <w:pPr>
        <w:pStyle w:val="Defstart"/>
        <w:keepNext/>
      </w:pPr>
      <w:r>
        <w:rPr>
          <w:b/>
        </w:rPr>
        <w:tab/>
      </w:r>
      <w:r>
        <w:rPr>
          <w:rStyle w:val="CharDefText"/>
        </w:rPr>
        <w:t>the Act</w:t>
      </w:r>
      <w:r>
        <w:t xml:space="preserve"> means the </w:t>
      </w:r>
      <w:r>
        <w:rPr>
          <w:i/>
        </w:rPr>
        <w:t>Poisons Act 1964</w:t>
      </w:r>
      <w:r>
        <w:t>.</w:t>
      </w:r>
    </w:p>
    <w:p>
      <w:pPr>
        <w:pStyle w:val="Subsection"/>
      </w:pPr>
      <w:r>
        <w:tab/>
        <w:t>(2)</w:t>
      </w:r>
      <w:r>
        <w:tab/>
        <w:t>A prescription is issued electronically if it is issued under regulation 37(1A) or 51(1A).</w:t>
      </w:r>
    </w:p>
    <w:p>
      <w:pPr>
        <w:pStyle w:val="Footnotesection"/>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 xml:space="preserve">17; 11 Apr 1997 p. 1829; 27 Nov 1998 p. 6343; 12 Aug 2003 p. 3658; 15 Nov 2005 p. 5603; 15 Dec 2006 p. 5630; 7 Nov 2008 p. 4805; 12 Jun 2009 p. 2109; 26 Mar 2010 p. 1146; 27 Apr 2010 p. 1583; amended by Act No. 9 of 2003 s. 41.] </w:t>
      </w:r>
    </w:p>
    <w:p>
      <w:pPr>
        <w:pStyle w:val="Heading5"/>
      </w:pPr>
      <w:bookmarkStart w:id="4" w:name="_Toc389746633"/>
      <w:r>
        <w:rPr>
          <w:rStyle w:val="CharSectno"/>
        </w:rPr>
        <w:t>2AAA</w:t>
      </w:r>
      <w:r>
        <w:t>.</w:t>
      </w:r>
      <w:r>
        <w:tab/>
        <w:t>Notes not part of regulations</w:t>
      </w:r>
      <w:bookmarkEnd w:id="4"/>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5" w:name="_Toc389746634"/>
      <w:r>
        <w:rPr>
          <w:rStyle w:val="CharSectno"/>
        </w:rPr>
        <w:t>2AA</w:t>
      </w:r>
      <w:r>
        <w:rPr>
          <w:snapToGrid w:val="0"/>
        </w:rPr>
        <w:t>.</w:t>
      </w:r>
      <w:r>
        <w:rPr>
          <w:snapToGrid w:val="0"/>
        </w:rPr>
        <w:tab/>
        <w:t>Prescribed office (section 64B)</w:t>
      </w:r>
      <w:bookmarkEnd w:id="5"/>
      <w:r>
        <w:rPr>
          <w:snapToGrid w:val="0"/>
        </w:rPr>
        <w:t xml:space="preserve"> </w:t>
      </w:r>
    </w:p>
    <w:p>
      <w:pPr>
        <w:pStyle w:val="Subsection"/>
        <w:rPr>
          <w:snapToGrid w:val="0"/>
        </w:rPr>
      </w:pPr>
      <w:r>
        <w:rPr>
          <w:snapToGrid w:val="0"/>
        </w:rPr>
        <w:tab/>
      </w:r>
      <w:r>
        <w:rPr>
          <w:snapToGrid w:val="0"/>
        </w:rPr>
        <w:tab/>
        <w:t>For the purposes of section 64B of the Act, the office of the Pharmaceutical Services, Environmental Health Branch of the department, located at Grace Vaughan House, 227 Stubbs Terrace, Shenton Park, is prescribed as the office of the department at which a copy of every standard referred to in the Act is to be kept and made available to the public for inspection.</w:t>
      </w:r>
    </w:p>
    <w:p>
      <w:pPr>
        <w:pStyle w:val="Footnotesection"/>
      </w:pPr>
      <w:r>
        <w:tab/>
        <w:t>[Regulation 2AA inserted in Gazette 19 Mar 1996 p. 1217.]</w:t>
      </w:r>
    </w:p>
    <w:p>
      <w:pPr>
        <w:pStyle w:val="Heading5"/>
        <w:rPr>
          <w:snapToGrid w:val="0"/>
        </w:rPr>
      </w:pPr>
      <w:bookmarkStart w:id="6" w:name="_Toc389746635"/>
      <w:r>
        <w:rPr>
          <w:rStyle w:val="CharSectno"/>
        </w:rPr>
        <w:t>2A</w:t>
      </w:r>
      <w:r>
        <w:rPr>
          <w:snapToGrid w:val="0"/>
        </w:rPr>
        <w:t>.</w:t>
      </w:r>
      <w:r>
        <w:rPr>
          <w:snapToGrid w:val="0"/>
        </w:rPr>
        <w:tab/>
        <w:t>Exemptions</w:t>
      </w:r>
      <w:bookmarkEnd w:id="6"/>
      <w:r>
        <w:rPr>
          <w:snapToGrid w:val="0"/>
        </w:rPr>
        <w:t xml:space="preserve"> </w:t>
      </w:r>
    </w:p>
    <w:p>
      <w:pPr>
        <w:pStyle w:val="Subsection"/>
        <w:rPr>
          <w:snapToGrid w:val="0"/>
        </w:rPr>
      </w:pPr>
      <w:r>
        <w:rPr>
          <w:snapToGrid w:val="0"/>
        </w:rPr>
        <w:tab/>
      </w:r>
      <w:r>
        <w:rPr>
          <w:snapToGrid w:val="0"/>
        </w:rPr>
        <w:tab/>
        <w:t>Excluding substances included in Schedule 8 and Schedule 9 and specified drugs, the provisions of the Act do not apply to —</w:t>
      </w:r>
    </w:p>
    <w:p>
      <w:pPr>
        <w:pStyle w:val="Indenta"/>
        <w:rPr>
          <w:snapToGrid w:val="0"/>
        </w:rPr>
      </w:pPr>
      <w:r>
        <w:rPr>
          <w:snapToGrid w:val="0"/>
        </w:rPr>
        <w:tab/>
        <w:t>(a)</w:t>
      </w:r>
      <w:r>
        <w:rPr>
          <w:snapToGrid w:val="0"/>
        </w:rPr>
        <w:tab/>
        <w:t>poisons listed in Column 1 of Appendix G to the SUSDP in a product at a concentration the same or less than that specified in Column 2;</w:t>
      </w:r>
    </w:p>
    <w:p>
      <w:pPr>
        <w:pStyle w:val="Indenta"/>
        <w:rPr>
          <w:snapToGrid w:val="0"/>
        </w:rPr>
      </w:pPr>
      <w:r>
        <w:rPr>
          <w:snapToGrid w:val="0"/>
        </w:rPr>
        <w:tab/>
        <w:t>(b)</w:t>
      </w:r>
      <w:r>
        <w:rPr>
          <w:snapToGrid w:val="0"/>
        </w:rPr>
        <w:tab/>
        <w:t>poisons in a product listed in Appendix A to the SUSDP;</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 SUSDP,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 SUSDP.</w:t>
      </w:r>
    </w:p>
    <w:p>
      <w:pPr>
        <w:pStyle w:val="Footnotesection"/>
      </w:pPr>
      <w:r>
        <w:tab/>
        <w:t>[Regulation 2A inserted in Gazette 12 Nov 1993 p. 6146</w:t>
      </w:r>
      <w:r>
        <w:noBreakHyphen/>
        <w:t xml:space="preserve">7; amended in Gazette 19 Sep 1995 p. 4383; 19 Mar 1996 p. 1217; 14 Sep 2001 p. 5073.] </w:t>
      </w:r>
    </w:p>
    <w:p>
      <w:pPr>
        <w:pStyle w:val="Ednotedivision"/>
      </w:pPr>
      <w:r>
        <w:t>[Heading deleted in Gazette 12 Aug 2003 p. 3663.]</w:t>
      </w:r>
    </w:p>
    <w:p>
      <w:pPr>
        <w:pStyle w:val="Heading2"/>
        <w:rPr>
          <w:i/>
        </w:rPr>
      </w:pPr>
      <w:bookmarkStart w:id="7" w:name="_Toc389746636"/>
      <w:r>
        <w:rPr>
          <w:rStyle w:val="CharPartNo"/>
        </w:rPr>
        <w:t>Part 2</w:t>
      </w:r>
      <w:r>
        <w:t xml:space="preserve"> — </w:t>
      </w:r>
      <w:r>
        <w:rPr>
          <w:rStyle w:val="CharPartText"/>
        </w:rPr>
        <w:t>Licences and permits</w:t>
      </w:r>
      <w:bookmarkEnd w:id="7"/>
      <w:r>
        <w:rPr>
          <w:i/>
        </w:rPr>
        <w:t xml:space="preserve"> </w:t>
      </w:r>
    </w:p>
    <w:p>
      <w:pPr>
        <w:pStyle w:val="Footnoteheading"/>
      </w:pPr>
      <w:r>
        <w:tab/>
        <w:t>[Heading inserted in Gazette 12 Aug 2003 p. 3664.]</w:t>
      </w:r>
    </w:p>
    <w:p>
      <w:pPr>
        <w:pStyle w:val="Heading3"/>
        <w:spacing w:before="220"/>
      </w:pPr>
      <w:bookmarkStart w:id="8" w:name="_Toc389746637"/>
      <w:r>
        <w:rPr>
          <w:rStyle w:val="CharDivNo"/>
        </w:rPr>
        <w:t>Division 1</w:t>
      </w:r>
      <w:r>
        <w:t xml:space="preserve"> — </w:t>
      </w:r>
      <w:r>
        <w:rPr>
          <w:rStyle w:val="CharDivText"/>
        </w:rPr>
        <w:t>General</w:t>
      </w:r>
      <w:bookmarkEnd w:id="8"/>
    </w:p>
    <w:p>
      <w:pPr>
        <w:pStyle w:val="Footnoteheading"/>
      </w:pPr>
      <w:r>
        <w:tab/>
        <w:t>[Heading inserted in Gazette 12 Aug 2003 p. 3664.]</w:t>
      </w:r>
    </w:p>
    <w:p>
      <w:pPr>
        <w:pStyle w:val="Heading5"/>
        <w:spacing w:before="180"/>
      </w:pPr>
      <w:bookmarkStart w:id="9" w:name="_Toc389746638"/>
      <w:r>
        <w:rPr>
          <w:rStyle w:val="CharSectno"/>
        </w:rPr>
        <w:t>3</w:t>
      </w:r>
      <w:r>
        <w:t>.</w:t>
      </w:r>
      <w:r>
        <w:tab/>
        <w:t>Wholesaler’s licences and permits</w:t>
      </w:r>
      <w:bookmarkEnd w:id="9"/>
    </w:p>
    <w:p>
      <w:pPr>
        <w:pStyle w:val="Subsection"/>
        <w:spacing w:before="120"/>
      </w:pPr>
      <w:r>
        <w:tab/>
        <w:t>(1)</w:t>
      </w:r>
      <w:r>
        <w:tab/>
        <w:t>A wholesaler’s licence authorises the licensee to procure, manufacture and supply by wholesale dealing specified poisons at or from specified premises.</w:t>
      </w:r>
    </w:p>
    <w:p>
      <w:pPr>
        <w:pStyle w:val="Subsection"/>
        <w:spacing w:before="120"/>
      </w:pPr>
      <w:r>
        <w:tab/>
        <w:t>(2)</w:t>
      </w:r>
      <w:r>
        <w:tab/>
        <w:t>A wholesaler’s licence is to be in the form of Form 1 in Appendix A.</w:t>
      </w:r>
    </w:p>
    <w:p>
      <w:pPr>
        <w:pStyle w:val="Subsection"/>
        <w:spacing w:before="12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20"/>
      </w:pPr>
      <w:r>
        <w:tab/>
        <w:t>(4)</w:t>
      </w:r>
      <w:r>
        <w:tab/>
        <w:t>A wholesaler’s licence is subject to the condition that any supply of a poison under the licence be carried out by —</w:t>
      </w:r>
    </w:p>
    <w:p>
      <w:pPr>
        <w:pStyle w:val="Indenta"/>
        <w:spacing w:before="64"/>
      </w:pPr>
      <w:r>
        <w:tab/>
        <w:t>(a)</w:t>
      </w:r>
      <w:r>
        <w:tab/>
        <w:t>a specified qualified person or a qualified person authorised under subregulation (4); or</w:t>
      </w:r>
    </w:p>
    <w:p>
      <w:pPr>
        <w:pStyle w:val="Indenta"/>
        <w:spacing w:before="64"/>
      </w:pPr>
      <w:r>
        <w:tab/>
        <w:t>(b)</w:t>
      </w:r>
      <w:r>
        <w:tab/>
        <w:t>a specified experienced person or an experienced person authorised under subregulation (4).</w:t>
      </w:r>
    </w:p>
    <w:p>
      <w:pPr>
        <w:pStyle w:val="Subsection"/>
        <w:spacing w:before="120"/>
      </w:pPr>
      <w:r>
        <w:tab/>
        <w:t>(5)</w:t>
      </w:r>
      <w:r>
        <w:tab/>
        <w:t>If a person specified in a wholesaler’s licence for the purposes of subregulation (3)(a) or (4) —</w:t>
      </w:r>
    </w:p>
    <w:p>
      <w:pPr>
        <w:pStyle w:val="Indenta"/>
        <w:spacing w:before="64"/>
      </w:pPr>
      <w:r>
        <w:tab/>
        <w:t>(a)</w:t>
      </w:r>
      <w:r>
        <w:tab/>
        <w:t>ceases to work for the licensee; or</w:t>
      </w:r>
    </w:p>
    <w:p>
      <w:pPr>
        <w:pStyle w:val="Indenta"/>
        <w:spacing w:before="64"/>
      </w:pPr>
      <w:r>
        <w:tab/>
        <w:t>(b)</w:t>
      </w:r>
      <w:r>
        <w:tab/>
        <w:t xml:space="preserve">in the case of a qualified person specified for the purposes of subregulation (3), is unable to exercise the necessary supervision, </w:t>
      </w:r>
    </w:p>
    <w:p>
      <w:pPr>
        <w:pStyle w:val="Subsection"/>
        <w:spacing w:before="10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p. 5073</w:t>
      </w:r>
      <w:r>
        <w:noBreakHyphen/>
        <w:t>4; amended in Gazette 15 Dec 2006 p. 5630.]</w:t>
      </w:r>
    </w:p>
    <w:p>
      <w:pPr>
        <w:pStyle w:val="Ednotesection"/>
      </w:pPr>
      <w:r>
        <w:t>[</w:t>
      </w:r>
      <w:r>
        <w:rPr>
          <w:b/>
        </w:rPr>
        <w:t>4.</w:t>
      </w:r>
      <w:r>
        <w:tab/>
        <w:t>Deleted in Gazette 14 Sep 2001 p. 5073.]</w:t>
      </w:r>
    </w:p>
    <w:p>
      <w:pPr>
        <w:pStyle w:val="Ednotedivision"/>
      </w:pPr>
      <w:r>
        <w:t>[Heading deleted in Gazette 12 Aug 2003 p. 3663.]</w:t>
      </w:r>
    </w:p>
    <w:p>
      <w:pPr>
        <w:pStyle w:val="Heading5"/>
        <w:rPr>
          <w:snapToGrid w:val="0"/>
        </w:rPr>
      </w:pPr>
      <w:bookmarkStart w:id="10" w:name="_Toc389746639"/>
      <w:r>
        <w:rPr>
          <w:rStyle w:val="CharSectno"/>
        </w:rPr>
        <w:t>5</w:t>
      </w:r>
      <w:r>
        <w:rPr>
          <w:snapToGrid w:val="0"/>
        </w:rPr>
        <w:t>.</w:t>
      </w:r>
      <w:r>
        <w:rPr>
          <w:snapToGrid w:val="0"/>
        </w:rPr>
        <w:tab/>
        <w:t>Pharmaceutical chemist’s licence to sell poisons</w:t>
      </w:r>
      <w:bookmarkEnd w:id="10"/>
      <w:r>
        <w:rPr>
          <w:snapToGrid w:val="0"/>
        </w:rPr>
        <w:t xml:space="preserve"> </w:t>
      </w:r>
    </w:p>
    <w:p>
      <w:pPr>
        <w:pStyle w:val="Subsection"/>
        <w:rPr>
          <w:snapToGrid w:val="0"/>
        </w:rPr>
      </w:pPr>
      <w:r>
        <w:rPr>
          <w:snapToGrid w:val="0"/>
        </w:rPr>
        <w:tab/>
      </w:r>
      <w:r>
        <w:rPr>
          <w:snapToGrid w:val="0"/>
        </w:rPr>
        <w:tab/>
        <w:t xml:space="preserve">A pharmaceutical chemist shall not sell or supply any poison except at or from a pharmacy registered under the </w:t>
      </w:r>
      <w:r>
        <w:rPr>
          <w:i/>
          <w:snapToGrid w:val="0"/>
        </w:rPr>
        <w:t>Pharmacy Act 1964</w:t>
      </w:r>
      <w:r>
        <w:rPr>
          <w:snapToGrid w:val="0"/>
        </w:rPr>
        <w:t>, and described in the licence issued under these regulations as provided in Form 3 in Appendix A.</w:t>
      </w:r>
    </w:p>
    <w:p>
      <w:pPr>
        <w:pStyle w:val="Ednotedivision"/>
      </w:pPr>
      <w:r>
        <w:t>[Heading deleted in Gazette 12 Aug 2003 p. 3663.]</w:t>
      </w:r>
    </w:p>
    <w:p>
      <w:pPr>
        <w:pStyle w:val="Ednotesection"/>
      </w:pPr>
      <w:r>
        <w:t>[</w:t>
      </w:r>
      <w:r>
        <w:rPr>
          <w:b/>
        </w:rPr>
        <w:t>6.</w:t>
      </w:r>
      <w:r>
        <w:rPr>
          <w:b/>
        </w:rPr>
        <w:tab/>
      </w:r>
      <w:r>
        <w:t xml:space="preserve">Deleted in Gazette 19 Mar 1996 p. 1217.] </w:t>
      </w:r>
    </w:p>
    <w:p>
      <w:pPr>
        <w:pStyle w:val="Ednotedivision"/>
      </w:pPr>
      <w:r>
        <w:t>[Heading deleted in Gazette 12 Aug 2003 p. 3663.]</w:t>
      </w:r>
    </w:p>
    <w:p>
      <w:pPr>
        <w:pStyle w:val="Heading5"/>
        <w:rPr>
          <w:snapToGrid w:val="0"/>
        </w:rPr>
      </w:pPr>
      <w:bookmarkStart w:id="11" w:name="_Toc389746640"/>
      <w:r>
        <w:rPr>
          <w:rStyle w:val="CharSectno"/>
        </w:rPr>
        <w:t>7</w:t>
      </w:r>
      <w:r>
        <w:rPr>
          <w:snapToGrid w:val="0"/>
        </w:rPr>
        <w:t>.</w:t>
      </w:r>
      <w:r>
        <w:rPr>
          <w:snapToGrid w:val="0"/>
        </w:rPr>
        <w:tab/>
        <w:t>Retailer’s licence to sell poisons specified in Schedule 2 to the Act</w:t>
      </w:r>
      <w:bookmarkEnd w:id="11"/>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pPr>
      <w:r>
        <w:tab/>
        <w:t>[Regulation 7 amended in Gazette 23 May 1986 p. 1716; 19 Mar 1996 p. 1217.]</w:t>
      </w:r>
    </w:p>
    <w:p>
      <w:pPr>
        <w:pStyle w:val="Ednotedivision"/>
      </w:pPr>
      <w:r>
        <w:t>[Heading deleted in Gazette 12 Aug 2003 p. 3663.]</w:t>
      </w:r>
    </w:p>
    <w:p>
      <w:pPr>
        <w:pStyle w:val="Heading5"/>
        <w:rPr>
          <w:snapToGrid w:val="0"/>
        </w:rPr>
      </w:pPr>
      <w:bookmarkStart w:id="12" w:name="_Toc389746641"/>
      <w:r>
        <w:rPr>
          <w:rStyle w:val="CharSectno"/>
        </w:rPr>
        <w:t>8</w:t>
      </w:r>
      <w:r>
        <w:rPr>
          <w:snapToGrid w:val="0"/>
        </w:rPr>
        <w:t>.</w:t>
      </w:r>
      <w:r>
        <w:rPr>
          <w:snapToGrid w:val="0"/>
        </w:rPr>
        <w:tab/>
        <w:t>Retailer’s licence to sell poisons included in Schedule 7 to the Act</w:t>
      </w:r>
      <w:bookmarkEnd w:id="12"/>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r>
        <w:t>[Heading deleted in Gazette 12 Aug 2003 p. 3663.]</w:t>
      </w:r>
    </w:p>
    <w:p>
      <w:pPr>
        <w:pStyle w:val="Heading5"/>
        <w:rPr>
          <w:snapToGrid w:val="0"/>
        </w:rPr>
      </w:pPr>
      <w:bookmarkStart w:id="13" w:name="_Toc389746642"/>
      <w:r>
        <w:rPr>
          <w:rStyle w:val="CharSectno"/>
        </w:rPr>
        <w:t>8A</w:t>
      </w:r>
      <w:r>
        <w:rPr>
          <w:snapToGrid w:val="0"/>
        </w:rPr>
        <w:t>.</w:t>
      </w:r>
      <w:r>
        <w:rPr>
          <w:snapToGrid w:val="0"/>
        </w:rPr>
        <w:tab/>
        <w:t>Poisons permit (distribution of samples)</w:t>
      </w:r>
      <w:bookmarkEnd w:id="13"/>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spacing w:before="60"/>
        <w:rPr>
          <w:snapToGrid w:val="0"/>
        </w:rPr>
      </w:pPr>
      <w:r>
        <w:rPr>
          <w:snapToGrid w:val="0"/>
        </w:rPr>
        <w:tab/>
        <w:t>(a)</w:t>
      </w:r>
      <w:r>
        <w:rPr>
          <w:snapToGrid w:val="0"/>
        </w:rPr>
        <w:tab/>
        <w:t>a representative of a person — </w:t>
      </w:r>
    </w:p>
    <w:p>
      <w:pPr>
        <w:pStyle w:val="Indenti"/>
        <w:spacing w:before="60"/>
        <w:rPr>
          <w:snapToGrid w:val="0"/>
        </w:rPr>
      </w:pPr>
      <w:r>
        <w:rPr>
          <w:snapToGrid w:val="0"/>
        </w:rPr>
        <w:tab/>
        <w:t>(i)</w:t>
      </w:r>
      <w:r>
        <w:rPr>
          <w:snapToGrid w:val="0"/>
        </w:rPr>
        <w:tab/>
        <w:t>licensed to manufacture poisons or to supply poisons by wholesale dealing; or</w:t>
      </w:r>
    </w:p>
    <w:p>
      <w:pPr>
        <w:pStyle w:val="Indenti"/>
        <w:spacing w:before="60"/>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spacing w:before="60"/>
        <w:rPr>
          <w:snapToGrid w:val="0"/>
        </w:rPr>
      </w:pPr>
      <w:r>
        <w:rPr>
          <w:snapToGrid w:val="0"/>
        </w:rPr>
        <w:tab/>
        <w:t>(b)</w:t>
      </w:r>
      <w:r>
        <w:rPr>
          <w:snapToGrid w:val="0"/>
        </w:rPr>
        <w:tab/>
        <w:t>not less than 21 years of age; and</w:t>
      </w:r>
    </w:p>
    <w:p>
      <w:pPr>
        <w:pStyle w:val="Indenta"/>
        <w:spacing w:before="60"/>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 veterinary surgeon;</w:t>
      </w:r>
    </w:p>
    <w:p>
      <w:pPr>
        <w:pStyle w:val="Indenta"/>
        <w:rPr>
          <w:snapToGrid w:val="0"/>
        </w:rPr>
      </w:pPr>
      <w:r>
        <w:rPr>
          <w:snapToGrid w:val="0"/>
        </w:rPr>
        <w:tab/>
        <w:t>(c)</w:t>
      </w:r>
      <w:r>
        <w:rPr>
          <w:snapToGrid w:val="0"/>
        </w:rPr>
        <w:tab/>
        <w:t>a dentist; or</w:t>
      </w:r>
    </w:p>
    <w:p>
      <w:pPr>
        <w:pStyle w:val="Indenta"/>
        <w:rPr>
          <w:snapToGrid w:val="0"/>
        </w:rPr>
      </w:pPr>
      <w:r>
        <w:rPr>
          <w:snapToGrid w:val="0"/>
        </w:rPr>
        <w:tab/>
        <w:t>(d)</w:t>
      </w:r>
      <w:r>
        <w:rPr>
          <w:snapToGrid w:val="0"/>
        </w:rPr>
        <w:tab/>
        <w:t>a pharmacist.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spacing w:val="-4"/>
        </w:rPr>
      </w:pPr>
      <w:r>
        <w:rPr>
          <w:snapToGrid w:val="0"/>
          <w:spacing w:val="-4"/>
        </w:rPr>
        <w:tab/>
        <w:t>(b)</w:t>
      </w:r>
      <w:r>
        <w:rPr>
          <w:snapToGrid w:val="0"/>
          <w:spacing w:val="-4"/>
        </w:rPr>
        <w:tab/>
        <w:t>the</w:t>
      </w:r>
      <w:r>
        <w:t xml:space="preserve"> CEO</w:t>
      </w:r>
      <w:r>
        <w:rPr>
          <w:snapToGrid w:val="0"/>
          <w:spacing w:val="-4"/>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Subsection"/>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8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8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w:t>
      </w:r>
    </w:p>
    <w:p>
      <w:pPr>
        <w:pStyle w:val="Ednotedivision"/>
      </w:pPr>
      <w:r>
        <w:t>[Heading deleted in Gazette 12 Aug 2003 p. 3663.]</w:t>
      </w:r>
    </w:p>
    <w:p>
      <w:pPr>
        <w:pStyle w:val="Heading5"/>
        <w:rPr>
          <w:snapToGrid w:val="0"/>
        </w:rPr>
      </w:pPr>
      <w:bookmarkStart w:id="14" w:name="_Toc389746643"/>
      <w:r>
        <w:rPr>
          <w:rStyle w:val="CharSectno"/>
        </w:rPr>
        <w:t>9</w:t>
      </w:r>
      <w:r>
        <w:rPr>
          <w:snapToGrid w:val="0"/>
        </w:rPr>
        <w:t>.</w:t>
      </w:r>
      <w:r>
        <w:rPr>
          <w:snapToGrid w:val="0"/>
        </w:rPr>
        <w:tab/>
        <w:t>Poisons permit (industrial)</w:t>
      </w:r>
      <w:bookmarkEnd w:id="14"/>
      <w:r>
        <w:rPr>
          <w:snapToGrid w:val="0"/>
        </w:rPr>
        <w:t xml:space="preserve"> </w:t>
      </w:r>
    </w:p>
    <w:p>
      <w:pPr>
        <w:pStyle w:val="Subsection"/>
        <w:rPr>
          <w:snapToGrid w:val="0"/>
          <w:spacing w:val="-4"/>
        </w:rPr>
      </w:pPr>
      <w:r>
        <w:rPr>
          <w:snapToGrid w:val="0"/>
        </w:rPr>
        <w:tab/>
      </w:r>
      <w:r>
        <w:rPr>
          <w:snapToGrid w:val="0"/>
        </w:rPr>
        <w:tab/>
      </w:r>
      <w:r>
        <w:rPr>
          <w:snapToGrid w:val="0"/>
          <w:spacing w:val="-4"/>
        </w:rPr>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r>
        <w:t>[Heading deleted in Gazette 12 Aug 2003 p. 3663.]</w:t>
      </w:r>
    </w:p>
    <w:p>
      <w:pPr>
        <w:pStyle w:val="Heading5"/>
        <w:spacing w:before="260"/>
        <w:rPr>
          <w:snapToGrid w:val="0"/>
        </w:rPr>
      </w:pPr>
      <w:bookmarkStart w:id="15" w:name="_Toc389746644"/>
      <w:r>
        <w:rPr>
          <w:rStyle w:val="CharSectno"/>
        </w:rPr>
        <w:t>10</w:t>
      </w:r>
      <w:r>
        <w:rPr>
          <w:snapToGrid w:val="0"/>
        </w:rPr>
        <w:t>.</w:t>
      </w:r>
      <w:r>
        <w:rPr>
          <w:snapToGrid w:val="0"/>
        </w:rPr>
        <w:tab/>
        <w:t>Poisons permit (educational, advisory or research)</w:t>
      </w:r>
      <w:bookmarkEnd w:id="15"/>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16" w:name="_Toc389746645"/>
      <w:r>
        <w:rPr>
          <w:rStyle w:val="CharSectno"/>
        </w:rPr>
        <w:t>10AA</w:t>
      </w:r>
      <w:r>
        <w:t>.</w:t>
      </w:r>
      <w:r>
        <w:tab/>
        <w:t>Poisons permit (health services)</w:t>
      </w:r>
      <w:bookmarkEnd w:id="16"/>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pPr>
      <w:r>
        <w:tab/>
        <w:t>(2)</w:t>
      </w:r>
      <w:r>
        <w:tab/>
        <w:t xml:space="preserve">The permit may not be granted to — </w:t>
      </w:r>
    </w:p>
    <w:p>
      <w:pPr>
        <w:pStyle w:val="Indenta"/>
      </w:pPr>
      <w:r>
        <w:tab/>
        <w:t>(a)</w:t>
      </w:r>
      <w:r>
        <w:tab/>
        <w:t>a department or instrumentality of the State or of the Commonwealth; or</w:t>
      </w:r>
    </w:p>
    <w:p>
      <w:pPr>
        <w:pStyle w:val="Indenta"/>
      </w:pPr>
      <w:r>
        <w:tab/>
        <w:t>(b)</w:t>
      </w:r>
      <w:r>
        <w:tab/>
        <w:t>a public hospital.</w:t>
      </w:r>
    </w:p>
    <w:p>
      <w:pPr>
        <w:pStyle w:val="Footnotesection"/>
      </w:pPr>
      <w:r>
        <w:tab/>
        <w:t>[Regulation 10AA inserted in Gazette 4 Apr 2006 p. 1406.]</w:t>
      </w:r>
    </w:p>
    <w:p>
      <w:pPr>
        <w:pStyle w:val="Ednotedivision"/>
      </w:pPr>
      <w:r>
        <w:t>[Heading deleted in Gazette 12 Aug 2003 p. 3663.]</w:t>
      </w:r>
    </w:p>
    <w:p>
      <w:pPr>
        <w:pStyle w:val="Heading5"/>
        <w:spacing w:before="260"/>
        <w:rPr>
          <w:snapToGrid w:val="0"/>
        </w:rPr>
      </w:pPr>
      <w:bookmarkStart w:id="17" w:name="_Toc389746646"/>
      <w:r>
        <w:rPr>
          <w:rStyle w:val="CharSectno"/>
        </w:rPr>
        <w:t>10A</w:t>
      </w:r>
      <w:r>
        <w:rPr>
          <w:snapToGrid w:val="0"/>
        </w:rPr>
        <w:t>.</w:t>
      </w:r>
      <w:r>
        <w:rPr>
          <w:snapToGrid w:val="0"/>
        </w:rPr>
        <w:tab/>
        <w:t>Poisons permit (departmental and hospital)</w:t>
      </w:r>
      <w:bookmarkEnd w:id="17"/>
      <w:r>
        <w:rPr>
          <w:snapToGrid w:val="0"/>
        </w:rPr>
        <w:t xml:space="preserve"> </w:t>
      </w:r>
    </w:p>
    <w:p>
      <w:pPr>
        <w:pStyle w:val="Subsection"/>
        <w:spacing w:before="200"/>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spacing w:before="200"/>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18" w:name="_Toc389746647"/>
      <w:r>
        <w:rPr>
          <w:rStyle w:val="CharSectno"/>
        </w:rPr>
        <w:t>10B</w:t>
      </w:r>
      <w:r>
        <w:rPr>
          <w:snapToGrid w:val="0"/>
        </w:rPr>
        <w:t>.</w:t>
      </w:r>
      <w:r>
        <w:rPr>
          <w:snapToGrid w:val="0"/>
        </w:rPr>
        <w:tab/>
        <w:t>Licence to cultivate prohibited plants</w:t>
      </w:r>
      <w:bookmarkEnd w:id="18"/>
      <w:r>
        <w:rPr>
          <w:snapToGrid w:val="0"/>
        </w:rPr>
        <w:t xml:space="preserve"> </w:t>
      </w:r>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pPr>
      <w:r>
        <w:t>[Heading deleted in Gazette 27 May 1988 p. 1789.]</w:t>
      </w:r>
    </w:p>
    <w:p>
      <w:pPr>
        <w:pStyle w:val="Heading5"/>
        <w:spacing w:before="180"/>
        <w:rPr>
          <w:snapToGrid w:val="0"/>
        </w:rPr>
      </w:pPr>
      <w:bookmarkStart w:id="19" w:name="_Toc389746648"/>
      <w:r>
        <w:rPr>
          <w:rStyle w:val="CharSectno"/>
        </w:rPr>
        <w:t>11</w:t>
      </w:r>
      <w:r>
        <w:rPr>
          <w:snapToGrid w:val="0"/>
        </w:rPr>
        <w:t>.</w:t>
      </w:r>
      <w:r>
        <w:rPr>
          <w:snapToGrid w:val="0"/>
        </w:rPr>
        <w:tab/>
      </w:r>
      <w:r>
        <w:t>CEO</w:t>
      </w:r>
      <w:r>
        <w:rPr>
          <w:snapToGrid w:val="0"/>
        </w:rPr>
        <w:t xml:space="preserve"> may designate remote area nursing posts</w:t>
      </w:r>
      <w:bookmarkEnd w:id="19"/>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pPr>
      <w:bookmarkStart w:id="20" w:name="_Toc389746649"/>
      <w:r>
        <w:rPr>
          <w:rStyle w:val="CharSectno"/>
        </w:rPr>
        <w:t>11A</w:t>
      </w:r>
      <w:r>
        <w:t>.</w:t>
      </w:r>
      <w:r>
        <w:tab/>
        <w:t>CEO may designate areas for the purposes of section 23 of the Act</w:t>
      </w:r>
      <w:bookmarkEnd w:id="20"/>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spacing w:before="140"/>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spacing w:before="100"/>
        <w:ind w:left="890" w:hanging="890"/>
      </w:pPr>
      <w:r>
        <w:tab/>
        <w:t>[Regulation 11A inserted by Act No. 9 of 2003 s. 42; amended in Gazette 15 Dec 2006 p. 5630 and 5631.]</w:t>
      </w:r>
    </w:p>
    <w:p>
      <w:pPr>
        <w:pStyle w:val="Ednotedivision"/>
        <w:spacing w:before="180"/>
      </w:pPr>
      <w:r>
        <w:t>[Heading deleted in Gazette 12 Aug 2003 p. 3663.]</w:t>
      </w:r>
    </w:p>
    <w:p>
      <w:pPr>
        <w:pStyle w:val="Heading5"/>
        <w:rPr>
          <w:snapToGrid w:val="0"/>
        </w:rPr>
      </w:pPr>
      <w:bookmarkStart w:id="21" w:name="_Toc389746650"/>
      <w:r>
        <w:rPr>
          <w:rStyle w:val="CharSectno"/>
        </w:rPr>
        <w:t>12</w:t>
      </w:r>
      <w:r>
        <w:rPr>
          <w:snapToGrid w:val="0"/>
        </w:rPr>
        <w:t>.</w:t>
      </w:r>
      <w:r>
        <w:rPr>
          <w:snapToGrid w:val="0"/>
        </w:rPr>
        <w:tab/>
        <w:t>Application for licence or permit (sections 24 and 25)</w:t>
      </w:r>
      <w:bookmarkEnd w:id="21"/>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spacing w:before="120"/>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pPr>
      <w:bookmarkStart w:id="22" w:name="_Toc389746651"/>
      <w:r>
        <w:rPr>
          <w:rStyle w:val="CharDivNo"/>
        </w:rPr>
        <w:t>Division 2</w:t>
      </w:r>
      <w:r>
        <w:t xml:space="preserve"> — </w:t>
      </w:r>
      <w:r>
        <w:rPr>
          <w:rStyle w:val="CharDivText"/>
        </w:rPr>
        <w:t>Needle and syringe programme</w:t>
      </w:r>
      <w:bookmarkEnd w:id="22"/>
    </w:p>
    <w:p>
      <w:pPr>
        <w:pStyle w:val="Footnoteheading"/>
      </w:pPr>
      <w:r>
        <w:tab/>
        <w:t>[Heading inserted in Gazette 12 Aug 2003 p. 3664.]</w:t>
      </w:r>
    </w:p>
    <w:p>
      <w:pPr>
        <w:pStyle w:val="Heading5"/>
        <w:rPr>
          <w:snapToGrid w:val="0"/>
        </w:rPr>
      </w:pPr>
      <w:bookmarkStart w:id="23" w:name="_Toc389746652"/>
      <w:r>
        <w:rPr>
          <w:rStyle w:val="CharSectno"/>
        </w:rPr>
        <w:t>12A</w:t>
      </w:r>
      <w:r>
        <w:rPr>
          <w:snapToGrid w:val="0"/>
        </w:rPr>
        <w:t>.</w:t>
      </w:r>
      <w:r>
        <w:rPr>
          <w:snapToGrid w:val="0"/>
        </w:rPr>
        <w:tab/>
        <w:t>Approval of needle and syringe programme</w:t>
      </w:r>
      <w:bookmarkEnd w:id="23"/>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24" w:name="_Toc389746653"/>
      <w:r>
        <w:rPr>
          <w:rStyle w:val="CharSectno"/>
        </w:rPr>
        <w:t>12B</w:t>
      </w:r>
      <w:r>
        <w:rPr>
          <w:snapToGrid w:val="0"/>
        </w:rPr>
        <w:t>.</w:t>
      </w:r>
      <w:r>
        <w:rPr>
          <w:snapToGrid w:val="0"/>
        </w:rPr>
        <w:tab/>
        <w:t>Copy of approval to be provided</w:t>
      </w:r>
      <w:bookmarkEnd w:id="24"/>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spacing w:before="180"/>
        <w:rPr>
          <w:snapToGrid w:val="0"/>
        </w:rPr>
      </w:pPr>
      <w:bookmarkStart w:id="25" w:name="_Toc389746654"/>
      <w:r>
        <w:rPr>
          <w:rStyle w:val="CharSectno"/>
        </w:rPr>
        <w:t>12C</w:t>
      </w:r>
      <w:r>
        <w:rPr>
          <w:snapToGrid w:val="0"/>
        </w:rPr>
        <w:t>.</w:t>
      </w:r>
      <w:r>
        <w:rPr>
          <w:snapToGrid w:val="0"/>
        </w:rPr>
        <w:tab/>
        <w:t>Duties of coordinator</w:t>
      </w:r>
      <w:bookmarkEnd w:id="25"/>
      <w:r>
        <w:rPr>
          <w:snapToGrid w:val="0"/>
        </w:rPr>
        <w:t xml:space="preserve"> </w:t>
      </w:r>
    </w:p>
    <w:p>
      <w:pPr>
        <w:pStyle w:val="Subsection"/>
        <w:spacing w:before="120"/>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spacing w:before="100"/>
        <w:ind w:left="890" w:hanging="890"/>
      </w:pPr>
      <w:r>
        <w:tab/>
        <w:t xml:space="preserve">[Regulation 12C inserted in Gazette 26 May 1994 p. 2198; amended in Gazette 15 Dec 2006 p. 5630.] </w:t>
      </w:r>
    </w:p>
    <w:p>
      <w:pPr>
        <w:pStyle w:val="Heading5"/>
        <w:spacing w:before="180"/>
        <w:rPr>
          <w:snapToGrid w:val="0"/>
        </w:rPr>
      </w:pPr>
      <w:bookmarkStart w:id="26" w:name="_Toc389746655"/>
      <w:r>
        <w:rPr>
          <w:rStyle w:val="CharSectno"/>
        </w:rPr>
        <w:t>12D</w:t>
      </w:r>
      <w:r>
        <w:rPr>
          <w:snapToGrid w:val="0"/>
        </w:rPr>
        <w:t>.</w:t>
      </w:r>
      <w:r>
        <w:rPr>
          <w:snapToGrid w:val="0"/>
        </w:rPr>
        <w:tab/>
        <w:t>Requirements relating to programme</w:t>
      </w:r>
      <w:bookmarkEnd w:id="26"/>
      <w:r>
        <w:rPr>
          <w:snapToGrid w:val="0"/>
        </w:rPr>
        <w:t xml:space="preserve"> </w:t>
      </w:r>
    </w:p>
    <w:p>
      <w:pPr>
        <w:pStyle w:val="Subsection"/>
        <w:spacing w:before="15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spacing w:before="150"/>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spacing w:before="100"/>
        <w:ind w:left="890" w:hanging="890"/>
      </w:pPr>
      <w:r>
        <w:tab/>
        <w:t>[Regulation 12D inserted in Gazette 26 May 1994 p. 2199; amended in Gazette 15 Dec 2006 p. 5630.]</w:t>
      </w:r>
    </w:p>
    <w:p>
      <w:pPr>
        <w:pStyle w:val="Heading5"/>
        <w:rPr>
          <w:snapToGrid w:val="0"/>
        </w:rPr>
      </w:pPr>
      <w:bookmarkStart w:id="27" w:name="_Toc389746656"/>
      <w:r>
        <w:rPr>
          <w:rStyle w:val="CharSectno"/>
        </w:rPr>
        <w:t>12E</w:t>
      </w:r>
      <w:r>
        <w:rPr>
          <w:snapToGrid w:val="0"/>
        </w:rPr>
        <w:t>.</w:t>
      </w:r>
      <w:r>
        <w:rPr>
          <w:snapToGrid w:val="0"/>
        </w:rPr>
        <w:tab/>
        <w:t>Direction to person not to participate in programme</w:t>
      </w:r>
      <w:bookmarkEnd w:id="27"/>
    </w:p>
    <w:p>
      <w:pPr>
        <w:pStyle w:val="Subsection"/>
        <w:spacing w:before="150"/>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spacing w:before="150"/>
        <w:rPr>
          <w:snapToGrid w:val="0"/>
        </w:rPr>
      </w:pPr>
      <w:r>
        <w:rPr>
          <w:snapToGrid w:val="0"/>
        </w:rPr>
        <w:tab/>
        <w:t>(2)</w:t>
      </w:r>
      <w:r>
        <w:rPr>
          <w:snapToGrid w:val="0"/>
        </w:rPr>
        <w:tab/>
        <w:t>A person shall not contravene a direction under subregulation (1).</w:t>
      </w:r>
    </w:p>
    <w:p>
      <w:pPr>
        <w:pStyle w:val="Footnotesection"/>
        <w:spacing w:before="100"/>
        <w:ind w:left="890" w:hanging="890"/>
      </w:pPr>
      <w:r>
        <w:tab/>
        <w:t>[Regulation 12E inserted in Gazette 26 May 1994 p. 2199; amended in Gazette 15 Dec 2006 p. 5630.]</w:t>
      </w:r>
    </w:p>
    <w:p>
      <w:pPr>
        <w:pStyle w:val="Heading5"/>
        <w:rPr>
          <w:snapToGrid w:val="0"/>
        </w:rPr>
      </w:pPr>
      <w:bookmarkStart w:id="28" w:name="_Toc389746657"/>
      <w:r>
        <w:rPr>
          <w:rStyle w:val="CharSectno"/>
        </w:rPr>
        <w:t>12F</w:t>
      </w:r>
      <w:r>
        <w:rPr>
          <w:snapToGrid w:val="0"/>
        </w:rPr>
        <w:t>.</w:t>
      </w:r>
      <w:r>
        <w:rPr>
          <w:snapToGrid w:val="0"/>
        </w:rPr>
        <w:tab/>
        <w:t>Requirements relating to used hypodermic needles and syringes</w:t>
      </w:r>
      <w:bookmarkEnd w:id="28"/>
      <w:r>
        <w:rPr>
          <w:snapToGrid w:val="0"/>
        </w:rPr>
        <w:t xml:space="preserve"> </w:t>
      </w:r>
    </w:p>
    <w:p>
      <w:pPr>
        <w:pStyle w:val="Subsection"/>
        <w:spacing w:before="140"/>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Ednotedivision"/>
      </w:pPr>
      <w:r>
        <w:t>[Heading deleted in Gazette 12 Aug 2003 p. 3663.]</w:t>
      </w:r>
    </w:p>
    <w:p>
      <w:pPr>
        <w:pStyle w:val="Ednotesection"/>
      </w:pPr>
      <w:r>
        <w:t>[</w:t>
      </w:r>
      <w:r>
        <w:rPr>
          <w:b/>
        </w:rPr>
        <w:t>13, 14.</w:t>
      </w:r>
      <w:r>
        <w:rPr>
          <w:b/>
        </w:rPr>
        <w:tab/>
      </w:r>
      <w:r>
        <w:t xml:space="preserve">Deleted in Gazette 19 Mar 1996 p. 1219.] </w:t>
      </w:r>
    </w:p>
    <w:p>
      <w:pPr>
        <w:pStyle w:val="Heading3"/>
      </w:pPr>
      <w:bookmarkStart w:id="29" w:name="_Toc389746658"/>
      <w:r>
        <w:rPr>
          <w:rStyle w:val="CharDivNo"/>
        </w:rPr>
        <w:t>Division 3</w:t>
      </w:r>
      <w:r>
        <w:t xml:space="preserve"> — </w:t>
      </w:r>
      <w:r>
        <w:rPr>
          <w:rStyle w:val="CharDivText"/>
        </w:rPr>
        <w:t>Restrictions and obligations</w:t>
      </w:r>
      <w:bookmarkEnd w:id="29"/>
    </w:p>
    <w:p>
      <w:pPr>
        <w:pStyle w:val="Footnoteheading"/>
      </w:pPr>
      <w:r>
        <w:tab/>
        <w:t>[Heading inserted in Gazette 12 Aug 2003 p. 3664.]</w:t>
      </w:r>
    </w:p>
    <w:p>
      <w:pPr>
        <w:pStyle w:val="Heading5"/>
        <w:rPr>
          <w:snapToGrid w:val="0"/>
        </w:rPr>
      </w:pPr>
      <w:bookmarkStart w:id="30" w:name="_Toc389746659"/>
      <w:r>
        <w:rPr>
          <w:rStyle w:val="CharSectno"/>
        </w:rPr>
        <w:t>15</w:t>
      </w:r>
      <w:r>
        <w:rPr>
          <w:snapToGrid w:val="0"/>
        </w:rPr>
        <w:t>.</w:t>
      </w:r>
      <w:r>
        <w:rPr>
          <w:snapToGrid w:val="0"/>
        </w:rPr>
        <w:tab/>
        <w:t>Restriction to issue of licence or permit</w:t>
      </w:r>
      <w:bookmarkEnd w:id="30"/>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31" w:name="_Toc389746660"/>
      <w:r>
        <w:rPr>
          <w:rStyle w:val="CharSectno"/>
        </w:rPr>
        <w:t>16</w:t>
      </w:r>
      <w:r>
        <w:rPr>
          <w:snapToGrid w:val="0"/>
        </w:rPr>
        <w:t>.</w:t>
      </w:r>
      <w:r>
        <w:rPr>
          <w:snapToGrid w:val="0"/>
        </w:rPr>
        <w:tab/>
        <w:t>Sale of poison only by licensee</w:t>
      </w:r>
      <w:bookmarkEnd w:id="31"/>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rPr>
          <w:snapToGrid w:val="0"/>
        </w:rPr>
      </w:pPr>
      <w:bookmarkStart w:id="32" w:name="_Toc389746661"/>
      <w:r>
        <w:rPr>
          <w:rStyle w:val="CharSectno"/>
        </w:rPr>
        <w:t>17</w:t>
      </w:r>
      <w:r>
        <w:rPr>
          <w:snapToGrid w:val="0"/>
        </w:rPr>
        <w:t>.</w:t>
      </w:r>
      <w:r>
        <w:rPr>
          <w:snapToGrid w:val="0"/>
        </w:rPr>
        <w:tab/>
        <w:t>Licence or permit not transferable</w:t>
      </w:r>
      <w:bookmarkEnd w:id="32"/>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33" w:name="_Toc389746662"/>
      <w:r>
        <w:rPr>
          <w:rStyle w:val="CharSectno"/>
        </w:rPr>
        <w:t>18</w:t>
      </w:r>
      <w:r>
        <w:rPr>
          <w:snapToGrid w:val="0"/>
        </w:rPr>
        <w:t>.</w:t>
      </w:r>
      <w:r>
        <w:rPr>
          <w:snapToGrid w:val="0"/>
        </w:rPr>
        <w:tab/>
        <w:t>Licensee to display licence</w:t>
      </w:r>
      <w:bookmarkEnd w:id="33"/>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34" w:name="_Toc389746663"/>
      <w:r>
        <w:rPr>
          <w:rStyle w:val="CharPartNo"/>
        </w:rPr>
        <w:t>Part 3</w:t>
      </w:r>
      <w:r>
        <w:t xml:space="preserve"> — </w:t>
      </w:r>
      <w:r>
        <w:rPr>
          <w:rStyle w:val="CharPartText"/>
        </w:rPr>
        <w:t>Containers and labels</w:t>
      </w:r>
      <w:bookmarkEnd w:id="34"/>
      <w:r>
        <w:rPr>
          <w:i/>
        </w:rPr>
        <w:t xml:space="preserve"> </w:t>
      </w:r>
    </w:p>
    <w:p>
      <w:pPr>
        <w:pStyle w:val="Footnoteheading"/>
      </w:pPr>
      <w:r>
        <w:tab/>
        <w:t>[Heading inserted in Gazette 12 Aug 2003 p. 3664.]</w:t>
      </w:r>
    </w:p>
    <w:p>
      <w:pPr>
        <w:pStyle w:val="Heading3"/>
        <w:keepNext w:val="0"/>
      </w:pPr>
      <w:bookmarkStart w:id="35" w:name="_Toc389746664"/>
      <w:r>
        <w:rPr>
          <w:rStyle w:val="CharDivNo"/>
        </w:rPr>
        <w:t>Division 1</w:t>
      </w:r>
      <w:r>
        <w:t xml:space="preserve"> — </w:t>
      </w:r>
      <w:r>
        <w:rPr>
          <w:rStyle w:val="CharDivText"/>
        </w:rPr>
        <w:t>Containers</w:t>
      </w:r>
      <w:bookmarkEnd w:id="35"/>
    </w:p>
    <w:p>
      <w:pPr>
        <w:pStyle w:val="Footnoteheading"/>
      </w:pPr>
      <w:r>
        <w:tab/>
        <w:t>[Heading inserted in Gazette 12 Aug 2003 p. 3664.]</w:t>
      </w:r>
    </w:p>
    <w:p>
      <w:pPr>
        <w:pStyle w:val="Heading5"/>
        <w:rPr>
          <w:snapToGrid w:val="0"/>
        </w:rPr>
      </w:pPr>
      <w:bookmarkStart w:id="36" w:name="_Toc389746665"/>
      <w:r>
        <w:rPr>
          <w:rStyle w:val="CharSectno"/>
        </w:rPr>
        <w:t>19</w:t>
      </w:r>
      <w:r>
        <w:rPr>
          <w:snapToGrid w:val="0"/>
        </w:rPr>
        <w:t>.</w:t>
      </w:r>
      <w:r>
        <w:rPr>
          <w:snapToGrid w:val="0"/>
        </w:rPr>
        <w:tab/>
        <w:t>Adoption of SUSDP for containers and labels</w:t>
      </w:r>
      <w:bookmarkEnd w:id="36"/>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 SUSDP.</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 SUSDP.</w:t>
      </w:r>
    </w:p>
    <w:p>
      <w:pPr>
        <w:pStyle w:val="Subsection"/>
        <w:rPr>
          <w:snapToGrid w:val="0"/>
        </w:rPr>
      </w:pPr>
      <w:r>
        <w:rPr>
          <w:snapToGrid w:val="0"/>
        </w:rPr>
        <w:tab/>
        <w:t>(2a)</w:t>
      </w:r>
      <w:r>
        <w:rPr>
          <w:snapToGrid w:val="0"/>
        </w:rPr>
        <w:tab/>
        <w:t>For the purposes of this regulation, the interpretation provisions of Part 1 of the SUSDP shall be used to interpret Part 2 of the SUSDP as adopted by this regulation.</w:t>
      </w:r>
    </w:p>
    <w:p>
      <w:pPr>
        <w:pStyle w:val="Footnotesection"/>
      </w:pPr>
      <w:r>
        <w:tab/>
        <w:t>[Regulation 19 inserted in Gazette 23 Nov 1990 p. 5791; amended in Gazette 24 Jun 1994 p. 2865; 19 Mar 1996 p. 1219.]</w:t>
      </w:r>
    </w:p>
    <w:p>
      <w:pPr>
        <w:pStyle w:val="Heading5"/>
        <w:rPr>
          <w:snapToGrid w:val="0"/>
        </w:rPr>
      </w:pPr>
      <w:bookmarkStart w:id="37" w:name="_Toc389746666"/>
      <w:r>
        <w:rPr>
          <w:rStyle w:val="CharSectno"/>
        </w:rPr>
        <w:t>19AA</w:t>
      </w:r>
      <w:r>
        <w:rPr>
          <w:snapToGrid w:val="0"/>
        </w:rPr>
        <w:t>.</w:t>
      </w:r>
      <w:r>
        <w:rPr>
          <w:snapToGrid w:val="0"/>
        </w:rPr>
        <w:tab/>
        <w:t>Certain containers prohibited</w:t>
      </w:r>
      <w:bookmarkEnd w:id="37"/>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rPr>
          <w:snapToGrid w:val="0"/>
        </w:rPr>
      </w:pPr>
      <w:bookmarkStart w:id="38" w:name="_Toc389746667"/>
      <w:r>
        <w:rPr>
          <w:rStyle w:val="CharSectno"/>
        </w:rPr>
        <w:t>19A</w:t>
      </w:r>
      <w:r>
        <w:rPr>
          <w:snapToGrid w:val="0"/>
        </w:rPr>
        <w:t>.</w:t>
      </w:r>
      <w:r>
        <w:rPr>
          <w:snapToGrid w:val="0"/>
        </w:rPr>
        <w:tab/>
        <w:t>Food etc. containers to be distinguishable from poison containers</w:t>
      </w:r>
      <w:bookmarkEnd w:id="38"/>
      <w:r>
        <w:rPr>
          <w:snapToGrid w:val="0"/>
        </w:rPr>
        <w:t xml:space="preserve"> </w:t>
      </w:r>
    </w:p>
    <w:p>
      <w:pPr>
        <w:pStyle w:val="Subsection"/>
        <w:rPr>
          <w:snapToGrid w:val="0"/>
        </w:rPr>
      </w:pPr>
      <w:r>
        <w:rPr>
          <w:snapToGrid w:val="0"/>
        </w:rPr>
        <w:tab/>
      </w:r>
      <w:r>
        <w:rPr>
          <w:snapToGrid w:val="0"/>
        </w:rPr>
        <w:tab/>
        <w:t>A person shall not sell any food, drink, or condiment, or any drug or medicine for internal use, in a container — </w:t>
      </w:r>
    </w:p>
    <w:p>
      <w:pPr>
        <w:pStyle w:val="Indenta"/>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pPr>
      <w:r>
        <w:t>[Heading deleted in Gazette 12 Aug 2003 p. 3663.]</w:t>
      </w:r>
    </w:p>
    <w:p>
      <w:pPr>
        <w:pStyle w:val="Ednotesection"/>
        <w:ind w:left="890" w:hanging="890"/>
      </w:pPr>
      <w:r>
        <w:t>[</w:t>
      </w:r>
      <w:r>
        <w:rPr>
          <w:b/>
        </w:rPr>
        <w:t>20.</w:t>
      </w:r>
      <w:r>
        <w:tab/>
        <w:t xml:space="preserve">Deleted in Gazette 23 Nov 1990 p. 5792.] </w:t>
      </w:r>
    </w:p>
    <w:p>
      <w:pPr>
        <w:pStyle w:val="Heading3"/>
        <w:spacing w:before="220"/>
      </w:pPr>
      <w:bookmarkStart w:id="39" w:name="_Toc389746668"/>
      <w:r>
        <w:rPr>
          <w:rStyle w:val="CharDivNo"/>
        </w:rPr>
        <w:t>Division 2</w:t>
      </w:r>
      <w:r>
        <w:t xml:space="preserve"> — </w:t>
      </w:r>
      <w:r>
        <w:rPr>
          <w:rStyle w:val="CharDivText"/>
        </w:rPr>
        <w:t>Labels</w:t>
      </w:r>
      <w:bookmarkEnd w:id="39"/>
    </w:p>
    <w:p>
      <w:pPr>
        <w:pStyle w:val="Footnoteheading"/>
        <w:spacing w:before="100"/>
      </w:pPr>
      <w:r>
        <w:tab/>
        <w:t>[Heading inserted in Gazette 12 Aug 2003 p. 3664.]</w:t>
      </w:r>
    </w:p>
    <w:p>
      <w:pPr>
        <w:pStyle w:val="Heading5"/>
        <w:rPr>
          <w:snapToGrid w:val="0"/>
        </w:rPr>
      </w:pPr>
      <w:bookmarkStart w:id="40" w:name="_Toc389746669"/>
      <w:r>
        <w:rPr>
          <w:rStyle w:val="CharSectno"/>
        </w:rPr>
        <w:t>21</w:t>
      </w:r>
      <w:r>
        <w:rPr>
          <w:snapToGrid w:val="0"/>
        </w:rPr>
        <w:t>.</w:t>
      </w:r>
      <w:r>
        <w:rPr>
          <w:snapToGrid w:val="0"/>
        </w:rPr>
        <w:tab/>
        <w:t>Labels on medicines or preparations</w:t>
      </w:r>
      <w:bookmarkEnd w:id="40"/>
      <w:r>
        <w:rPr>
          <w:snapToGrid w:val="0"/>
        </w:rPr>
        <w:t xml:space="preserve"> </w:t>
      </w:r>
    </w:p>
    <w:p>
      <w:pPr>
        <w:pStyle w:val="Subsection"/>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 pharmaceutical chemist,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name of the patient;</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w:t>
      </w:r>
    </w:p>
    <w:p>
      <w:pPr>
        <w:pStyle w:val="Indenti"/>
        <w:rPr>
          <w:snapToGrid w:val="0"/>
        </w:rPr>
      </w:pPr>
      <w:r>
        <w:rPr>
          <w:snapToGrid w:val="0"/>
        </w:rPr>
        <w:tab/>
        <w:t>(vi)</w:t>
      </w:r>
      <w:r>
        <w:rPr>
          <w:snapToGrid w:val="0"/>
        </w:rPr>
        <w:tab/>
        <w:t>the instructions given on the prescription, if dispensed by a pharmaceutical chemist, or directions for use, if supplied by a medical practitioner,</w:t>
      </w:r>
      <w:r>
        <w:t xml:space="preserve"> nurse practitioner,</w:t>
      </w:r>
      <w:r>
        <w:rPr>
          <w:snapToGrid w:val="0"/>
        </w:rPr>
        <w:t xml:space="preserve"> registered nurse at a remote area nursing post, pharmaceutical chemist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 pharmaceutical chemist, medical practitioner,</w:t>
      </w:r>
      <w:r>
        <w:t xml:space="preserve"> nurse practitioner,</w:t>
      </w:r>
      <w:r>
        <w:rPr>
          <w:snapToGrid w:val="0"/>
        </w:rPr>
        <w:t xml:space="preserve"> registered nurse at a remote area nursing post or dentist, for human external use shall comply with that regulation if it is labelled in accordance with paragraph (a), together with the words “Not to be taken”;</w:t>
      </w:r>
    </w:p>
    <w:p>
      <w:pPr>
        <w:pStyle w:val="Indenta"/>
        <w:spacing w:before="70"/>
        <w:rPr>
          <w:snapToGrid w:val="0"/>
        </w:rPr>
      </w:pPr>
      <w:r>
        <w:rPr>
          <w:snapToGrid w:val="0"/>
        </w:rPr>
        <w:tab/>
        <w:t>(c)</w:t>
      </w:r>
      <w:r>
        <w:rPr>
          <w:snapToGrid w:val="0"/>
        </w:rPr>
        <w:tab/>
        <w:t>a pharmaceutical chemist or veterinary surgeon, for use on any animal shall comply with that regulation if it is labelled in the English language with — </w:t>
      </w:r>
    </w:p>
    <w:p>
      <w:pPr>
        <w:pStyle w:val="Indenti"/>
        <w:spacing w:before="70"/>
        <w:rPr>
          <w:snapToGrid w:val="0"/>
        </w:rPr>
      </w:pPr>
      <w:r>
        <w:rPr>
          <w:snapToGrid w:val="0"/>
        </w:rPr>
        <w:tab/>
        <w:t>(i)</w:t>
      </w:r>
      <w:r>
        <w:rPr>
          <w:snapToGrid w:val="0"/>
        </w:rPr>
        <w:tab/>
        <w:t>the words “Keep out of reach of children”;</w:t>
      </w:r>
    </w:p>
    <w:p>
      <w:pPr>
        <w:pStyle w:val="Indenti"/>
        <w:spacing w:before="7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spacing w:before="70"/>
        <w:rPr>
          <w:snapToGrid w:val="0"/>
        </w:rPr>
      </w:pPr>
      <w:r>
        <w:rPr>
          <w:snapToGrid w:val="0"/>
        </w:rPr>
        <w:tab/>
        <w:t>(iii)</w:t>
      </w:r>
      <w:r>
        <w:rPr>
          <w:snapToGrid w:val="0"/>
        </w:rPr>
        <w:tab/>
        <w:t>the owner’s surname and the species of animal;</w:t>
      </w:r>
    </w:p>
    <w:p>
      <w:pPr>
        <w:pStyle w:val="Indenti"/>
        <w:spacing w:before="70"/>
        <w:rPr>
          <w:snapToGrid w:val="0"/>
        </w:rPr>
      </w:pPr>
      <w:r>
        <w:rPr>
          <w:snapToGrid w:val="0"/>
        </w:rPr>
        <w:tab/>
        <w:t>(iv)</w:t>
      </w:r>
      <w:r>
        <w:rPr>
          <w:snapToGrid w:val="0"/>
        </w:rPr>
        <w:tab/>
        <w:t>instructions for the use of that medicine or preparation;</w:t>
      </w:r>
    </w:p>
    <w:p>
      <w:pPr>
        <w:pStyle w:val="Indenti"/>
        <w:spacing w:before="70"/>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spacing w:before="70"/>
        <w:rPr>
          <w:snapToGrid w:val="0"/>
        </w:rPr>
      </w:pPr>
      <w:r>
        <w:rPr>
          <w:snapToGrid w:val="0"/>
        </w:rPr>
        <w:tab/>
        <w:t>(I)</w:t>
      </w:r>
      <w:r>
        <w:rPr>
          <w:snapToGrid w:val="0"/>
        </w:rPr>
        <w:tab/>
        <w:t>the entry in the Prescription Book referred to in regulation 36(3)(c), in the case of a pharmaceutical chemist; or</w:t>
      </w:r>
    </w:p>
    <w:p>
      <w:pPr>
        <w:pStyle w:val="IndentI0"/>
        <w:spacing w:before="70"/>
        <w:rPr>
          <w:snapToGrid w:val="0"/>
        </w:rPr>
      </w:pPr>
      <w:r>
        <w:rPr>
          <w:snapToGrid w:val="0"/>
        </w:rPr>
        <w:tab/>
        <w:t>(II)</w:t>
      </w:r>
      <w:r>
        <w:rPr>
          <w:snapToGrid w:val="0"/>
        </w:rPr>
        <w:tab/>
        <w:t>the patient’s records, in the case of a veterinary surgeon;</w:t>
      </w:r>
    </w:p>
    <w:p>
      <w:pPr>
        <w:pStyle w:val="Indenti"/>
        <w:spacing w:before="70"/>
        <w:rPr>
          <w:snapToGrid w:val="0"/>
        </w:rPr>
      </w:pPr>
      <w:r>
        <w:rPr>
          <w:snapToGrid w:val="0"/>
        </w:rPr>
        <w:tab/>
        <w:t>(vi)</w:t>
      </w:r>
      <w:r>
        <w:rPr>
          <w:snapToGrid w:val="0"/>
        </w:rPr>
        <w:tab/>
        <w:t>the name and address of the pharmacy, or veterinary practice, from which it is supplied;</w:t>
      </w:r>
    </w:p>
    <w:p>
      <w:pPr>
        <w:pStyle w:val="Indenti"/>
        <w:spacing w:before="7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70"/>
        <w:rPr>
          <w:snapToGrid w:val="0"/>
        </w:rPr>
      </w:pPr>
      <w:r>
        <w:rPr>
          <w:snapToGrid w:val="0"/>
        </w:rPr>
        <w:tab/>
        <w:t>(viii)</w:t>
      </w:r>
      <w:r>
        <w:rPr>
          <w:snapToGrid w:val="0"/>
        </w:rPr>
        <w:tab/>
        <w:t>the total quantity contained.</w:t>
      </w:r>
    </w:p>
    <w:p>
      <w:pPr>
        <w:pStyle w:val="Subsection"/>
        <w:spacing w:before="120"/>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keepLines w:val="0"/>
        <w:spacing w:before="80"/>
        <w:ind w:left="890" w:hanging="890"/>
      </w:pPr>
      <w:r>
        <w:tab/>
        <w:t>[Regulation 21 inserted in Gazette 7 Aug 1992 p. 3865</w:t>
      </w:r>
      <w:r>
        <w:noBreakHyphen/>
        <w:t>6; amended in Gazette 24 Jun 1994 p. 2865</w:t>
      </w:r>
      <w:r>
        <w:noBreakHyphen/>
        <w:t>6; 19 Mar 1996 p. 1220; amended by Act No. 9 of 2003 s. 43.]</w:t>
      </w:r>
    </w:p>
    <w:p>
      <w:pPr>
        <w:pStyle w:val="Heading5"/>
        <w:spacing w:before="180"/>
        <w:rPr>
          <w:snapToGrid w:val="0"/>
        </w:rPr>
      </w:pPr>
      <w:bookmarkStart w:id="41" w:name="_Toc389746670"/>
      <w:r>
        <w:rPr>
          <w:rStyle w:val="CharSectno"/>
        </w:rPr>
        <w:t>21A</w:t>
      </w:r>
      <w:r>
        <w:rPr>
          <w:snapToGrid w:val="0"/>
        </w:rPr>
        <w:t>.</w:t>
      </w:r>
      <w:r>
        <w:rPr>
          <w:snapToGrid w:val="0"/>
        </w:rPr>
        <w:tab/>
        <w:t>Appendix K container must have appropriate label</w:t>
      </w:r>
      <w:bookmarkEnd w:id="41"/>
      <w:r>
        <w:rPr>
          <w:snapToGrid w:val="0"/>
        </w:rPr>
        <w:t xml:space="preserve"> </w:t>
      </w:r>
    </w:p>
    <w:p>
      <w:pPr>
        <w:pStyle w:val="Subsection"/>
        <w:spacing w:after="120"/>
        <w:rPr>
          <w:snapToGrid w:val="0"/>
        </w:rPr>
      </w:pPr>
      <w:r>
        <w:rPr>
          <w:snapToGrid w:val="0"/>
        </w:rPr>
        <w:tab/>
        <w:t>(1)</w:t>
      </w:r>
      <w:r>
        <w:rPr>
          <w:snapToGrid w:val="0"/>
        </w:rPr>
        <w:tab/>
      </w:r>
      <w:r>
        <w:rPr>
          <w:snapToGrid w:val="0"/>
          <w:spacing w:val="-4"/>
        </w:rPr>
        <w:t>A person, whether a pharmaceutical chemist or otherwise, shall not sell, supply, distribute or dispense a poison for internal human use set out in Appendix K of the SUSDP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
              <w:rPr>
                <w:snapToGrid w:val="0"/>
              </w:rPr>
            </w:pPr>
            <w:r>
              <w:rPr>
                <w:snapToGrid w:val="0"/>
              </w:rPr>
              <w:t>“This medicine may cause drowsiness. If affected do not drive a motor vehicle or operate machinery. Avoid alcohol.”; or</w:t>
            </w:r>
          </w:p>
        </w:tc>
      </w:tr>
      <w:tr>
        <w:tc>
          <w:tcPr>
            <w:tcW w:w="4819" w:type="dxa"/>
          </w:tcPr>
          <w:p>
            <w:pPr>
              <w:pStyle w:val="Table"/>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 xml:space="preserve">[Regulation 21A inserted in Gazette 11 Jul 1986 p. 2339; amended in Gazette 19 Mar 1988 p. 838; 24 Jun 1994 p. 2866; 19 Mar 1996 p. 1220.] </w:t>
      </w:r>
    </w:p>
    <w:p>
      <w:pPr>
        <w:pStyle w:val="Ednotesection"/>
      </w:pPr>
      <w:r>
        <w:t>[</w:t>
      </w:r>
      <w:r>
        <w:rPr>
          <w:b/>
        </w:rPr>
        <w:t>22</w:t>
      </w:r>
      <w:r>
        <w:rPr>
          <w:b/>
        </w:rPr>
        <w:noBreakHyphen/>
        <w:t>24</w:t>
      </w:r>
      <w:r>
        <w:t>.</w:t>
      </w:r>
      <w:r>
        <w:tab/>
        <w:t xml:space="preserve">Deleted in Gazette 23 Nov 1990 p. 5792.] </w:t>
      </w:r>
    </w:p>
    <w:p>
      <w:pPr>
        <w:pStyle w:val="Heading5"/>
        <w:spacing w:before="180"/>
        <w:rPr>
          <w:snapToGrid w:val="0"/>
        </w:rPr>
      </w:pPr>
      <w:bookmarkStart w:id="42" w:name="_Toc389746671"/>
      <w:r>
        <w:rPr>
          <w:rStyle w:val="CharSectno"/>
        </w:rPr>
        <w:t>24A</w:t>
      </w:r>
      <w:r>
        <w:rPr>
          <w:snapToGrid w:val="0"/>
        </w:rPr>
        <w:t>.</w:t>
      </w:r>
      <w:r>
        <w:rPr>
          <w:snapToGrid w:val="0"/>
        </w:rPr>
        <w:tab/>
        <w:t>Carcinogenicity and teratogenicity warnings to be approved</w:t>
      </w:r>
      <w:bookmarkEnd w:id="42"/>
      <w:r>
        <w:rPr>
          <w:snapToGrid w:val="0"/>
        </w:rPr>
        <w:t xml:space="preserve"> </w:t>
      </w:r>
    </w:p>
    <w:p>
      <w:pPr>
        <w:pStyle w:val="Subsection"/>
        <w:spacing w:before="120"/>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r>
        <w:t>[Heading deleted in Gazette 12 Aug 2003 p. 3663.]</w:t>
      </w:r>
    </w:p>
    <w:p>
      <w:pPr>
        <w:pStyle w:val="Heading3"/>
      </w:pPr>
      <w:bookmarkStart w:id="43" w:name="_Toc389746672"/>
      <w:r>
        <w:rPr>
          <w:rStyle w:val="CharDivNo"/>
        </w:rPr>
        <w:t>Division 3</w:t>
      </w:r>
      <w:r>
        <w:t xml:space="preserve"> — </w:t>
      </w:r>
      <w:r>
        <w:rPr>
          <w:rStyle w:val="CharDivText"/>
        </w:rPr>
        <w:t>General</w:t>
      </w:r>
      <w:bookmarkEnd w:id="43"/>
    </w:p>
    <w:p>
      <w:pPr>
        <w:pStyle w:val="Footnoteheading"/>
      </w:pPr>
      <w:r>
        <w:tab/>
        <w:t>[Heading inserted in Gazette 12 Aug 2003 p. 3664.]</w:t>
      </w:r>
    </w:p>
    <w:p>
      <w:pPr>
        <w:pStyle w:val="Heading5"/>
        <w:keepLines w:val="0"/>
        <w:rPr>
          <w:snapToGrid w:val="0"/>
        </w:rPr>
      </w:pPr>
      <w:bookmarkStart w:id="44" w:name="_Toc389746673"/>
      <w:r>
        <w:rPr>
          <w:rStyle w:val="CharSectno"/>
        </w:rPr>
        <w:t>25</w:t>
      </w:r>
      <w:r>
        <w:rPr>
          <w:snapToGrid w:val="0"/>
        </w:rPr>
        <w:t>.</w:t>
      </w:r>
      <w:r>
        <w:rPr>
          <w:snapToGrid w:val="0"/>
        </w:rPr>
        <w:tab/>
      </w:r>
      <w:r>
        <w:t>CEO</w:t>
      </w:r>
      <w:r>
        <w:rPr>
          <w:snapToGrid w:val="0"/>
        </w:rPr>
        <w:t xml:space="preserve"> may approve container or label</w:t>
      </w:r>
      <w:bookmarkEnd w:id="4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45" w:name="_Toc389746674"/>
      <w:r>
        <w:rPr>
          <w:rStyle w:val="CharSectno"/>
        </w:rPr>
        <w:t>26</w:t>
      </w:r>
      <w:r>
        <w:rPr>
          <w:snapToGrid w:val="0"/>
        </w:rPr>
        <w:t>.</w:t>
      </w:r>
      <w:r>
        <w:rPr>
          <w:snapToGrid w:val="0"/>
        </w:rPr>
        <w:tab/>
      </w:r>
      <w:r>
        <w:t>CEO</w:t>
      </w:r>
      <w:r>
        <w:rPr>
          <w:snapToGrid w:val="0"/>
          <w:spacing w:val="-4"/>
        </w:rPr>
        <w:t xml:space="preserve"> may suspend use of container or label</w:t>
      </w:r>
      <w:bookmarkEnd w:id="45"/>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Deleted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 Deleted in Gazette 28 May 1993 p. 2595.] </w:t>
      </w:r>
    </w:p>
    <w:p>
      <w:pPr>
        <w:pStyle w:val="Heading2"/>
      </w:pPr>
      <w:bookmarkStart w:id="46" w:name="_Toc389746675"/>
      <w:r>
        <w:rPr>
          <w:rStyle w:val="CharPartNo"/>
        </w:rPr>
        <w:t>Part 4</w:t>
      </w:r>
      <w:r>
        <w:rPr>
          <w:rStyle w:val="CharDivNo"/>
        </w:rPr>
        <w:t> </w:t>
      </w:r>
      <w:r>
        <w:t>—</w:t>
      </w:r>
      <w:r>
        <w:rPr>
          <w:rStyle w:val="CharDivText"/>
        </w:rPr>
        <w:t> </w:t>
      </w:r>
      <w:r>
        <w:rPr>
          <w:rStyle w:val="CharPartText"/>
        </w:rPr>
        <w:t>Storage, disposal and loss or theft of poisons</w:t>
      </w:r>
      <w:bookmarkEnd w:id="46"/>
    </w:p>
    <w:p>
      <w:pPr>
        <w:pStyle w:val="Footnoteheading"/>
      </w:pPr>
      <w:r>
        <w:tab/>
        <w:t>[Heading inserted in Gazette 12 Aug 2003 p. 3664.]</w:t>
      </w:r>
    </w:p>
    <w:p>
      <w:pPr>
        <w:pStyle w:val="Heading5"/>
        <w:rPr>
          <w:snapToGrid w:val="0"/>
        </w:rPr>
      </w:pPr>
      <w:bookmarkStart w:id="47" w:name="_Toc389746676"/>
      <w:r>
        <w:rPr>
          <w:rStyle w:val="CharSectno"/>
        </w:rPr>
        <w:t>30</w:t>
      </w:r>
      <w:r>
        <w:rPr>
          <w:snapToGrid w:val="0"/>
        </w:rPr>
        <w:t>.</w:t>
      </w:r>
      <w:r>
        <w:rPr>
          <w:snapToGrid w:val="0"/>
        </w:rPr>
        <w:tab/>
        <w:t>Storage of substances other than those specified in regulation 56</w:t>
      </w:r>
      <w:bookmarkEnd w:id="47"/>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ind w:left="890" w:hanging="890"/>
      </w:pPr>
      <w:r>
        <w:tab/>
        <w:t>[Regulation 30 amended in Gazette 1 Aug 1986 p. 2739; 28 May 1993 p. 2595; 19 Mar 1996 p. 1220.]</w:t>
      </w:r>
    </w:p>
    <w:p>
      <w:pPr>
        <w:pStyle w:val="Ednotedivision"/>
      </w:pPr>
      <w:r>
        <w:t>[Heading deleted in Gazette 12 Aug 2003 p. 3663.]</w:t>
      </w:r>
    </w:p>
    <w:p>
      <w:pPr>
        <w:pStyle w:val="Heading5"/>
        <w:rPr>
          <w:snapToGrid w:val="0"/>
        </w:rPr>
      </w:pPr>
      <w:bookmarkStart w:id="48" w:name="_Toc389746677"/>
      <w:r>
        <w:rPr>
          <w:rStyle w:val="CharSectno"/>
        </w:rPr>
        <w:t>31</w:t>
      </w:r>
      <w:r>
        <w:rPr>
          <w:snapToGrid w:val="0"/>
        </w:rPr>
        <w:t>.</w:t>
      </w:r>
      <w:r>
        <w:rPr>
          <w:snapToGrid w:val="0"/>
        </w:rPr>
        <w:tab/>
        <w:t>Disposal of poisons</w:t>
      </w:r>
      <w:bookmarkEnd w:id="48"/>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Ednotedivision"/>
      </w:pPr>
      <w:r>
        <w:t>[Heading deleted in Gazette 12 Aug 2003 p. 3663.]</w:t>
      </w:r>
    </w:p>
    <w:p>
      <w:pPr>
        <w:pStyle w:val="Heading5"/>
        <w:rPr>
          <w:snapToGrid w:val="0"/>
        </w:rPr>
      </w:pPr>
      <w:bookmarkStart w:id="49" w:name="_Toc389746678"/>
      <w:r>
        <w:rPr>
          <w:rStyle w:val="CharSectno"/>
        </w:rPr>
        <w:t>32</w:t>
      </w:r>
      <w:r>
        <w:rPr>
          <w:snapToGrid w:val="0"/>
        </w:rPr>
        <w:t>.</w:t>
      </w:r>
      <w:r>
        <w:rPr>
          <w:snapToGrid w:val="0"/>
        </w:rPr>
        <w:tab/>
        <w:t>Notification of loss or theft of poison</w:t>
      </w:r>
      <w:bookmarkEnd w:id="49"/>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r>
        <w:t>[Heading deleted in Gazette 12 Aug 2003 p. 3663.]</w:t>
      </w:r>
    </w:p>
    <w:p>
      <w:pPr>
        <w:pStyle w:val="Heading2"/>
      </w:pPr>
      <w:bookmarkStart w:id="50" w:name="_Toc389746679"/>
      <w:r>
        <w:rPr>
          <w:rStyle w:val="CharPartNo"/>
        </w:rPr>
        <w:t>Part 4A</w:t>
      </w:r>
      <w:r>
        <w:rPr>
          <w:b w:val="0"/>
        </w:rPr>
        <w:t> </w:t>
      </w:r>
      <w:r>
        <w:t>—</w:t>
      </w:r>
      <w:r>
        <w:rPr>
          <w:b w:val="0"/>
        </w:rPr>
        <w:t> </w:t>
      </w:r>
      <w:r>
        <w:rPr>
          <w:rStyle w:val="CharPartText"/>
        </w:rPr>
        <w:t>Electronic prescribing systems</w:t>
      </w:r>
      <w:bookmarkEnd w:id="50"/>
    </w:p>
    <w:p>
      <w:pPr>
        <w:pStyle w:val="Footnoteheading"/>
        <w:spacing w:before="100"/>
      </w:pPr>
      <w:r>
        <w:tab/>
        <w:t>[Heading inserted in Gazette 7 Nov 2008 p. 4806.]</w:t>
      </w:r>
    </w:p>
    <w:p>
      <w:pPr>
        <w:pStyle w:val="Heading5"/>
      </w:pPr>
      <w:bookmarkStart w:id="51" w:name="_Toc389746680"/>
      <w:r>
        <w:rPr>
          <w:rStyle w:val="CharSectno"/>
        </w:rPr>
        <w:t>32A</w:t>
      </w:r>
      <w:r>
        <w:t>.</w:t>
      </w:r>
      <w:r>
        <w:tab/>
        <w:t>Terms used</w:t>
      </w:r>
      <w:bookmarkEnd w:id="51"/>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52" w:name="_Toc389746681"/>
      <w:r>
        <w:rPr>
          <w:rStyle w:val="CharSectno"/>
        </w:rPr>
        <w:t>32B</w:t>
      </w:r>
      <w:r>
        <w:t>.</w:t>
      </w:r>
      <w:r>
        <w:tab/>
        <w:t>Approval of electronic prescribing systems</w:t>
      </w:r>
      <w:bookmarkEnd w:id="52"/>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pharmaceutical chemist authorised to dispense the poison, or an assistant under the direct personal supervision of the pharmaceutical chemist,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pharmaceutical chemists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w:t>
      </w:r>
    </w:p>
    <w:p>
      <w:pPr>
        <w:pStyle w:val="Heading5"/>
      </w:pPr>
      <w:bookmarkStart w:id="53" w:name="_Toc389746682"/>
      <w:r>
        <w:rPr>
          <w:rStyle w:val="CharSectno"/>
        </w:rPr>
        <w:t>32C</w:t>
      </w:r>
      <w:r>
        <w:t>.</w:t>
      </w:r>
      <w:r>
        <w:tab/>
        <w:t>System administrators</w:t>
      </w:r>
      <w:bookmarkEnd w:id="53"/>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54" w:name="_Toc389746683"/>
      <w:r>
        <w:rPr>
          <w:rStyle w:val="CharSectno"/>
        </w:rPr>
        <w:t>32D</w:t>
      </w:r>
      <w:r>
        <w:t>.</w:t>
      </w:r>
      <w:r>
        <w:tab/>
        <w:t>Offence provisions</w:t>
      </w:r>
      <w:bookmarkEnd w:id="54"/>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spacing w:before="60"/>
      </w:pPr>
      <w:r>
        <w:tab/>
        <w:t>(b)</w:t>
      </w:r>
      <w:r>
        <w:tab/>
        <w:t>otherwise allow another person to have access to the system unless to do so is in accordance with the procedures that control access to the system.</w:t>
      </w:r>
    </w:p>
    <w:p>
      <w:pPr>
        <w:pStyle w:val="Penstart"/>
        <w:spacing w:before="70"/>
      </w:pPr>
      <w:r>
        <w:tab/>
        <w:t>Penalty: a fine of $5 000.</w:t>
      </w:r>
    </w:p>
    <w:p>
      <w:pPr>
        <w:pStyle w:val="Subsection"/>
        <w:spacing w:before="120"/>
      </w:pPr>
      <w:r>
        <w:tab/>
        <w:t>(3)</w:t>
      </w:r>
      <w:r>
        <w:tab/>
        <w:t>A person must not make inappropriate use of an approved electronic prescribing system.</w:t>
      </w:r>
    </w:p>
    <w:p>
      <w:pPr>
        <w:pStyle w:val="Penstart"/>
        <w:spacing w:before="70"/>
      </w:pPr>
      <w:r>
        <w:tab/>
        <w:t>Penalty: a fine of $5 000.</w:t>
      </w:r>
    </w:p>
    <w:p>
      <w:pPr>
        <w:pStyle w:val="Subsection"/>
        <w:spacing w:before="120"/>
      </w:pPr>
      <w:r>
        <w:tab/>
        <w:t>(4)</w:t>
      </w:r>
      <w:r>
        <w:tab/>
        <w:t xml:space="preserve">An administrator of an approved electronic prescribing system must, to the extent practicable, ensure that — </w:t>
      </w:r>
    </w:p>
    <w:p>
      <w:pPr>
        <w:pStyle w:val="Indenta"/>
        <w:spacing w:before="60"/>
      </w:pPr>
      <w:r>
        <w:tab/>
        <w:t>(a)</w:t>
      </w:r>
      <w:r>
        <w:tab/>
        <w:t>a person who is permitted to have access to the system in accordance with the procedures that control access to the system is not given more than one access code; and</w:t>
      </w:r>
    </w:p>
    <w:p>
      <w:pPr>
        <w:pStyle w:val="Indenta"/>
        <w:spacing w:before="60"/>
      </w:pPr>
      <w:r>
        <w:tab/>
        <w:t>(b)</w:t>
      </w:r>
      <w:r>
        <w:tab/>
        <w:t>each person who is responsible to the administrator for the operation and control of the system does not make inappropriate use of the system.</w:t>
      </w:r>
    </w:p>
    <w:p>
      <w:pPr>
        <w:pStyle w:val="Penstart"/>
        <w:spacing w:before="70"/>
      </w:pPr>
      <w:r>
        <w:tab/>
        <w:t>Penalty: a fine of $5 000.</w:t>
      </w:r>
    </w:p>
    <w:p>
      <w:pPr>
        <w:pStyle w:val="Footnotesection"/>
        <w:spacing w:before="80"/>
        <w:ind w:left="890" w:hanging="890"/>
      </w:pPr>
      <w:r>
        <w:tab/>
        <w:t>[Regulation 32D inserted in Gazette 7 Nov 2008 p. 4808; amended in Gazette 28 Jul 2009 p. 2979.]</w:t>
      </w:r>
    </w:p>
    <w:p>
      <w:pPr>
        <w:pStyle w:val="Heading5"/>
        <w:spacing w:before="180"/>
      </w:pPr>
      <w:bookmarkStart w:id="55" w:name="_Toc389746684"/>
      <w:r>
        <w:rPr>
          <w:rStyle w:val="CharSectno"/>
        </w:rPr>
        <w:t>32E</w:t>
      </w:r>
      <w:r>
        <w:t>.</w:t>
      </w:r>
      <w:r>
        <w:tab/>
        <w:t>Miscellaneous rules</w:t>
      </w:r>
      <w:bookmarkEnd w:id="55"/>
    </w:p>
    <w:p>
      <w:pPr>
        <w:pStyle w:val="Subsection"/>
        <w:spacing w:before="120"/>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spacing w:before="120"/>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spacing w:before="80"/>
        <w:ind w:left="890" w:hanging="890"/>
      </w:pPr>
      <w:r>
        <w:tab/>
        <w:t>[Regulation 32E inserted in Gazette 7 Nov 2008 p. 4808</w:t>
      </w:r>
      <w:r>
        <w:noBreakHyphen/>
        <w:t>9; amended in Gazette 28 Jul 2009 p. 2979.]</w:t>
      </w:r>
    </w:p>
    <w:p>
      <w:pPr>
        <w:pStyle w:val="Heading2"/>
      </w:pPr>
      <w:bookmarkStart w:id="56" w:name="_Toc389746685"/>
      <w:r>
        <w:rPr>
          <w:rStyle w:val="CharPartNo"/>
        </w:rPr>
        <w:t>Part 5</w:t>
      </w:r>
      <w:r>
        <w:t xml:space="preserve"> — </w:t>
      </w:r>
      <w:r>
        <w:rPr>
          <w:rStyle w:val="CharPartText"/>
        </w:rPr>
        <w:t>Sale, supply and use of poisons</w:t>
      </w:r>
      <w:bookmarkEnd w:id="56"/>
    </w:p>
    <w:p>
      <w:pPr>
        <w:pStyle w:val="Footnoteheading"/>
      </w:pPr>
      <w:r>
        <w:tab/>
        <w:t>[Heading inserted in Gazette 12 Aug 2003 p. 3664.]</w:t>
      </w:r>
    </w:p>
    <w:p>
      <w:pPr>
        <w:pStyle w:val="Heading3"/>
      </w:pPr>
      <w:bookmarkStart w:id="57" w:name="_Toc389746686"/>
      <w:r>
        <w:rPr>
          <w:rStyle w:val="CharDivNo"/>
        </w:rPr>
        <w:t>Division 1 </w:t>
      </w:r>
      <w:r>
        <w:t xml:space="preserve">— </w:t>
      </w:r>
      <w:r>
        <w:rPr>
          <w:rStyle w:val="CharDivText"/>
        </w:rPr>
        <w:t>Restrictions</w:t>
      </w:r>
      <w:bookmarkEnd w:id="57"/>
    </w:p>
    <w:p>
      <w:pPr>
        <w:pStyle w:val="Footnoteheading"/>
      </w:pPr>
      <w:r>
        <w:tab/>
        <w:t>[Heading inserted in Gazette 12 Aug 2003 p. 3664.]</w:t>
      </w:r>
    </w:p>
    <w:p>
      <w:pPr>
        <w:pStyle w:val="Heading5"/>
        <w:rPr>
          <w:snapToGrid w:val="0"/>
        </w:rPr>
      </w:pPr>
      <w:bookmarkStart w:id="58" w:name="_Toc389746687"/>
      <w:r>
        <w:rPr>
          <w:rStyle w:val="CharSectno"/>
        </w:rPr>
        <w:t>33</w:t>
      </w:r>
      <w:r>
        <w:rPr>
          <w:snapToGrid w:val="0"/>
        </w:rPr>
        <w:t>.</w:t>
      </w:r>
      <w:r>
        <w:rPr>
          <w:snapToGrid w:val="0"/>
        </w:rPr>
        <w:tab/>
        <w:t>Poison not to be sold to persons under 16 years</w:t>
      </w:r>
      <w:bookmarkEnd w:id="58"/>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rPr>
          <w:snapToGrid w:val="0"/>
        </w:rPr>
      </w:pPr>
      <w:bookmarkStart w:id="59" w:name="_Toc389746688"/>
      <w:r>
        <w:rPr>
          <w:rStyle w:val="CharSectno"/>
        </w:rPr>
        <w:t>33A</w:t>
      </w:r>
      <w:r>
        <w:rPr>
          <w:snapToGrid w:val="0"/>
        </w:rPr>
        <w:t>.</w:t>
      </w:r>
      <w:r>
        <w:rPr>
          <w:snapToGrid w:val="0"/>
        </w:rPr>
        <w:tab/>
        <w:t>Restrictions applying to veterinary preparations</w:t>
      </w:r>
      <w:bookmarkEnd w:id="5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rPr>
          <w:snapToGrid w:val="0"/>
        </w:rPr>
      </w:pPr>
      <w:bookmarkStart w:id="60" w:name="_Toc389746689"/>
      <w:r>
        <w:rPr>
          <w:rStyle w:val="CharSectno"/>
        </w:rPr>
        <w:t>33B</w:t>
      </w:r>
      <w:r>
        <w:rPr>
          <w:snapToGrid w:val="0"/>
        </w:rPr>
        <w:t>.</w:t>
      </w:r>
      <w:r>
        <w:rPr>
          <w:snapToGrid w:val="0"/>
        </w:rPr>
        <w:tab/>
        <w:t>Adoption of SUSDP for certain paints</w:t>
      </w:r>
      <w:bookmarkEnd w:id="60"/>
      <w:r>
        <w:rPr>
          <w:snapToGrid w:val="0"/>
        </w:rPr>
        <w:t xml:space="preserve"> </w:t>
      </w:r>
    </w:p>
    <w:p>
      <w:pPr>
        <w:pStyle w:val="Subsection"/>
        <w:rPr>
          <w:snapToGrid w:val="0"/>
        </w:rPr>
      </w:pPr>
      <w:r>
        <w:rPr>
          <w:snapToGrid w:val="0"/>
        </w:rPr>
        <w:tab/>
        <w:t>(1)</w:t>
      </w:r>
      <w:r>
        <w:rPr>
          <w:snapToGrid w:val="0"/>
        </w:rPr>
        <w:tab/>
        <w:t>If a paint contains a substance listed in the First, Second or Third Schedule to Appendix I of SUSDP, a person shall not manufacture, sell or use that paint except in accordance with that Appendix.</w:t>
      </w:r>
    </w:p>
    <w:p>
      <w:pPr>
        <w:pStyle w:val="Subsection"/>
        <w:rPr>
          <w:snapToGrid w:val="0"/>
        </w:rPr>
      </w:pPr>
      <w:r>
        <w:rPr>
          <w:snapToGrid w:val="0"/>
        </w:rPr>
        <w:tab/>
        <w:t>(2)</w:t>
      </w:r>
      <w:r>
        <w:rPr>
          <w:snapToGrid w:val="0"/>
        </w:rPr>
        <w:tab/>
        <w:t>For the purposes of this regulation the interpretation provisions of Part 1 of the SUSDP shall be used to interpret Appendix I of the SUSDP.</w:t>
      </w:r>
    </w:p>
    <w:p>
      <w:pPr>
        <w:pStyle w:val="Footnotesection"/>
      </w:pPr>
      <w:r>
        <w:tab/>
        <w:t>[Regulation 33B inserted in Gazette 12 Apr 1991 p. 1608; amended in Gazette 24 Jun 1994 p. 2866</w:t>
      </w:r>
      <w:r>
        <w:noBreakHyphen/>
        <w:t>7; 16 Sep 1994 p. 4748; 19 Sep 1995 p. 4383; 14 Sep 2001 p. 5074.]</w:t>
      </w:r>
    </w:p>
    <w:p>
      <w:pPr>
        <w:pStyle w:val="Ednotedivision"/>
      </w:pPr>
      <w:r>
        <w:t>[Heading deleted in Gazette 23 May 1986 p. 1716.]</w:t>
      </w:r>
    </w:p>
    <w:p>
      <w:pPr>
        <w:pStyle w:val="Ednotesection"/>
      </w:pPr>
      <w:r>
        <w:t>[</w:t>
      </w:r>
      <w:r>
        <w:rPr>
          <w:b/>
        </w:rPr>
        <w:t>34.</w:t>
      </w:r>
      <w:r>
        <w:tab/>
        <w:t xml:space="preserve">Deleted in Gazette 23 May 1986 p. 1716.] </w:t>
      </w:r>
    </w:p>
    <w:p>
      <w:pPr>
        <w:pStyle w:val="Ednotedivision"/>
      </w:pPr>
      <w:r>
        <w:t>[Heading deleted in Gazette 23 May 1986 p. 1716.]</w:t>
      </w:r>
    </w:p>
    <w:p>
      <w:pPr>
        <w:pStyle w:val="Ednotesection"/>
      </w:pPr>
      <w:r>
        <w:t>[</w:t>
      </w:r>
      <w:r>
        <w:rPr>
          <w:b/>
        </w:rPr>
        <w:t>34A-34C.</w:t>
      </w:r>
      <w:r>
        <w:tab/>
        <w:t xml:space="preserve">Deleted in Gazette 23 May 1986 p. 1716.] </w:t>
      </w:r>
    </w:p>
    <w:p>
      <w:pPr>
        <w:pStyle w:val="Ednotesection"/>
      </w:pPr>
      <w:r>
        <w:t>[</w:t>
      </w:r>
      <w:r>
        <w:rPr>
          <w:b/>
        </w:rPr>
        <w:t>34D.</w:t>
      </w:r>
      <w:r>
        <w:rPr>
          <w:b/>
        </w:rPr>
        <w:tab/>
      </w:r>
      <w:r>
        <w:t xml:space="preserve">Deleted in Gazette 19 Mar 1996 p. 1220.] </w:t>
      </w:r>
    </w:p>
    <w:p>
      <w:pPr>
        <w:pStyle w:val="Ednotedivision"/>
      </w:pPr>
      <w:r>
        <w:t>[Heading deleted in Gazette 12 Aug 2003 p. 3663.]</w:t>
      </w:r>
    </w:p>
    <w:p>
      <w:pPr>
        <w:pStyle w:val="Heading5"/>
        <w:rPr>
          <w:snapToGrid w:val="0"/>
        </w:rPr>
      </w:pPr>
      <w:bookmarkStart w:id="61" w:name="_Toc389746690"/>
      <w:r>
        <w:rPr>
          <w:rStyle w:val="CharSectno"/>
        </w:rPr>
        <w:t>35</w:t>
      </w:r>
      <w:r>
        <w:rPr>
          <w:snapToGrid w:val="0"/>
        </w:rPr>
        <w:t>.</w:t>
      </w:r>
      <w:r>
        <w:rPr>
          <w:snapToGrid w:val="0"/>
        </w:rPr>
        <w:tab/>
        <w:t>Restrictions on retail sale of substances included in Schedule 2</w:t>
      </w:r>
      <w:bookmarkEnd w:id="61"/>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r>
        <w:t>[Heading deleted in Gazette 8 Feb 1985 p. 521.]</w:t>
      </w:r>
    </w:p>
    <w:p>
      <w:pPr>
        <w:pStyle w:val="Heading5"/>
        <w:rPr>
          <w:snapToGrid w:val="0"/>
        </w:rPr>
      </w:pPr>
      <w:bookmarkStart w:id="62" w:name="_Toc389746691"/>
      <w:r>
        <w:rPr>
          <w:rStyle w:val="CharSectno"/>
        </w:rPr>
        <w:t>35A</w:t>
      </w:r>
      <w:r>
        <w:rPr>
          <w:snapToGrid w:val="0"/>
        </w:rPr>
        <w:t>.</w:t>
      </w:r>
      <w:r>
        <w:rPr>
          <w:snapToGrid w:val="0"/>
        </w:rPr>
        <w:tab/>
        <w:t>Restrictions on retail sale of substances included in Schedule 3</w:t>
      </w:r>
      <w:bookmarkEnd w:id="62"/>
      <w:r>
        <w:rPr>
          <w:snapToGrid w:val="0"/>
        </w:rPr>
        <w:t xml:space="preserve"> </w:t>
      </w:r>
    </w:p>
    <w:p>
      <w:pPr>
        <w:pStyle w:val="Subsection"/>
      </w:pPr>
      <w:r>
        <w:tab/>
        <w:t>(1)</w:t>
      </w:r>
      <w:r>
        <w:tab/>
        <w:t>The retail sale of a substance included in Schedule 3 shall only be by way of direct, personal sale by a pharmaceutical chemist or graduate trainee in pharmacy under the personal supervision of a pharmaceutical chemist.</w:t>
      </w:r>
    </w:p>
    <w:p>
      <w:pPr>
        <w:pStyle w:val="Subsection"/>
      </w:pPr>
      <w:r>
        <w:tab/>
        <w:t>(1a)</w:t>
      </w:r>
      <w:r>
        <w:tab/>
        <w:t>Before a substance included in Schedule 3 is delivered as part of a retail sale, the pharmaceutical chemist or graduate trainee shall take all reasonable steps to ensure that there is a therapeutic need for the substance.</w:t>
      </w:r>
    </w:p>
    <w:p>
      <w:pPr>
        <w:pStyle w:val="Subsection"/>
        <w:rPr>
          <w:snapToGrid w:val="0"/>
        </w:rPr>
      </w:pPr>
      <w:r>
        <w:rPr>
          <w:snapToGrid w:val="0"/>
        </w:rPr>
        <w:tab/>
        <w:t>(1b)</w:t>
      </w:r>
      <w:r>
        <w:rPr>
          <w:snapToGrid w:val="0"/>
        </w:rPr>
        <w:tab/>
        <w:t>A pharmaceutical chemist shall not store in any part of the retail area of premises any of the substances referred to in Appendix J.</w:t>
      </w:r>
    </w:p>
    <w:p>
      <w:pPr>
        <w:pStyle w:val="Subsection"/>
        <w:rPr>
          <w:snapToGrid w:val="0"/>
        </w:rPr>
      </w:pPr>
      <w:r>
        <w:rPr>
          <w:snapToGrid w:val="0"/>
        </w:rPr>
        <w:tab/>
        <w:t>(1c)</w:t>
      </w:r>
      <w:r>
        <w:rPr>
          <w:snapToGrid w:val="0"/>
        </w:rPr>
        <w:tab/>
        <w:t>A substance referred to in Appendix J shall only be sold or supplied by direct, personal sale by a pharmaceutical chemist or by a graduate trainee in pharmacy under the personal supervision of a pharmaceutical chemist</w:t>
      </w:r>
      <w:r>
        <w:t xml:space="preserve"> and, in the case of pseudoephedrine, before it is delivered to the purchaser, the purchaser shall give photographic evidence of his or her identity to the pharmaceutical chemist or graduate trainee, unless the purchaser’s identity is known to the pharmaceutical chemist or graduate trainee</w:t>
      </w:r>
      <w:r>
        <w:rPr>
          <w:snapToGrid w:val="0"/>
        </w:rPr>
        <w:t>.</w:t>
      </w:r>
    </w:p>
    <w:p>
      <w:pPr>
        <w:pStyle w:val="Subsection"/>
      </w:pPr>
      <w:r>
        <w:tab/>
        <w:t>(2)</w:t>
      </w:r>
      <w:r>
        <w:tab/>
        <w:t xml:space="preserve">Before a substance referred to in Appendix J is delivered to a purchaser as part of a retail sale, the pharmaceutical chemist or graduate trainee making the sale shall — </w:t>
      </w:r>
    </w:p>
    <w:p>
      <w:pPr>
        <w:pStyle w:val="Indenta"/>
      </w:pPr>
      <w:r>
        <w:tab/>
        <w:t>(a)</w:t>
      </w:r>
      <w:r>
        <w:tab/>
        <w:t xml:space="preserve">record in the prescription book referred to in regulation 36(3)(c)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rPr>
          <w:snapToGrid w:val="0"/>
        </w:rPr>
      </w:pPr>
      <w:r>
        <w:rPr>
          <w:snapToGrid w:val="0"/>
        </w:rPr>
        <w:tab/>
        <w:t>(3)</w:t>
      </w:r>
      <w:r>
        <w:rPr>
          <w:snapToGrid w:val="0"/>
        </w:rPr>
        <w:tab/>
        <w:t>The prescription book referred to in this regulation shall be available for inspection upon request by an authorised officer.</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w:t>
      </w:r>
    </w:p>
    <w:p>
      <w:pPr>
        <w:pStyle w:val="Ednotesection"/>
      </w:pPr>
      <w:r>
        <w:t>[</w:t>
      </w:r>
      <w:r>
        <w:rPr>
          <w:b/>
        </w:rPr>
        <w:t>35AA.</w:t>
      </w:r>
      <w:r>
        <w:rPr>
          <w:b/>
        </w:rPr>
        <w:tab/>
      </w:r>
      <w:r>
        <w:t xml:space="preserve">Deleted in Gazette 11 Apr 1997 p. 1829.] </w:t>
      </w:r>
    </w:p>
    <w:p>
      <w:pPr>
        <w:pStyle w:val="Heading5"/>
        <w:rPr>
          <w:snapToGrid w:val="0"/>
        </w:rPr>
      </w:pPr>
      <w:bookmarkStart w:id="63" w:name="_Toc389746692"/>
      <w:r>
        <w:rPr>
          <w:rStyle w:val="CharSectno"/>
        </w:rPr>
        <w:t>35B</w:t>
      </w:r>
      <w:r>
        <w:rPr>
          <w:snapToGrid w:val="0"/>
        </w:rPr>
        <w:t>.</w:t>
      </w:r>
      <w:r>
        <w:rPr>
          <w:snapToGrid w:val="0"/>
        </w:rPr>
        <w:tab/>
        <w:t>Storage of substances included in Schedule 3</w:t>
      </w:r>
      <w:bookmarkEnd w:id="63"/>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64" w:name="_Toc389746693"/>
      <w:r>
        <w:rPr>
          <w:rStyle w:val="CharSectno"/>
        </w:rPr>
        <w:t>35C</w:t>
      </w:r>
      <w:r>
        <w:rPr>
          <w:snapToGrid w:val="0"/>
        </w:rPr>
        <w:t>.</w:t>
      </w:r>
      <w:r>
        <w:rPr>
          <w:snapToGrid w:val="0"/>
        </w:rPr>
        <w:tab/>
        <w:t>Advertising of substances included in Schedule 3</w:t>
      </w:r>
      <w:bookmarkEnd w:id="64"/>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A substance both included in Schedule 3 and listed in Appendix H of SUSDP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w:t>
      </w:r>
    </w:p>
    <w:p>
      <w:pPr>
        <w:pStyle w:val="Heading5"/>
      </w:pPr>
      <w:bookmarkStart w:id="65" w:name="_Toc389746694"/>
      <w:r>
        <w:rPr>
          <w:rStyle w:val="CharSectno"/>
        </w:rPr>
        <w:t>35D</w:t>
      </w:r>
      <w:r>
        <w:t>.</w:t>
      </w:r>
      <w:r>
        <w:tab/>
        <w:t>Advertising of substances included in Schedule 4</w:t>
      </w:r>
      <w:bookmarkEnd w:id="65"/>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r>
        <w:t>[Heading deleted in Gazette 12 Aug 2003 p. 3663.]</w:t>
      </w:r>
    </w:p>
    <w:p>
      <w:pPr>
        <w:pStyle w:val="Heading3"/>
      </w:pPr>
      <w:bookmarkStart w:id="66" w:name="_Toc389746695"/>
      <w:r>
        <w:rPr>
          <w:rStyle w:val="CharDivNo"/>
        </w:rPr>
        <w:t>Division 2</w:t>
      </w:r>
      <w:r>
        <w:t xml:space="preserve"> — </w:t>
      </w:r>
      <w:r>
        <w:rPr>
          <w:rStyle w:val="CharDivText"/>
        </w:rPr>
        <w:t>Schedule 4 poisons</w:t>
      </w:r>
      <w:bookmarkEnd w:id="66"/>
    </w:p>
    <w:p>
      <w:pPr>
        <w:pStyle w:val="Footnoteheading"/>
      </w:pPr>
      <w:r>
        <w:tab/>
        <w:t>[Heading inserted in Gazette 12 Aug 2003 p. 3664; amended in Gazette 4 Jan 2005 p. 3.]</w:t>
      </w:r>
    </w:p>
    <w:p>
      <w:pPr>
        <w:pStyle w:val="Heading5"/>
        <w:rPr>
          <w:snapToGrid w:val="0"/>
        </w:rPr>
      </w:pPr>
      <w:bookmarkStart w:id="67" w:name="_Toc389746696"/>
      <w:r>
        <w:rPr>
          <w:rStyle w:val="CharSectno"/>
        </w:rPr>
        <w:t>36</w:t>
      </w:r>
      <w:r>
        <w:rPr>
          <w:snapToGrid w:val="0"/>
        </w:rPr>
        <w:t>.</w:t>
      </w:r>
      <w:r>
        <w:rPr>
          <w:snapToGrid w:val="0"/>
        </w:rPr>
        <w:tab/>
        <w:t>Supply of poisons included in Schedule 4</w:t>
      </w:r>
      <w:bookmarkEnd w:id="67"/>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dentist or veterinary surgeon prescribing the poison according to the requirements of these regulations;</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pharmaceutical chemist, or veterinary surgeon or an assistant under the direct personal supervision of a medical practitioner,</w:t>
      </w:r>
      <w:r>
        <w:t xml:space="preserve"> nurse practitioner,</w:t>
      </w:r>
      <w:r>
        <w:rPr>
          <w:snapToGrid w:val="0"/>
        </w:rPr>
        <w:t xml:space="preserve"> pharmaceutical chemist,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w:t>
      </w:r>
    </w:p>
    <w:p>
      <w:pPr>
        <w:pStyle w:val="IndentI0"/>
        <w:rPr>
          <w:snapToGrid w:val="0"/>
        </w:rPr>
      </w:pPr>
      <w:r>
        <w:rPr>
          <w:snapToGrid w:val="0"/>
        </w:rPr>
        <w:tab/>
        <w:t>(III)</w:t>
      </w:r>
      <w:r>
        <w:rPr>
          <w:snapToGrid w:val="0"/>
        </w:rPr>
        <w:tab/>
        <w:t>microfilm, microfiche, or any other photographic systems in logical sequence and retrievable form;</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w:t>
      </w:r>
    </w:p>
    <w:p>
      <w:pPr>
        <w:pStyle w:val="Indenta"/>
        <w:rPr>
          <w:snapToGrid w:val="0"/>
        </w:rPr>
      </w:pPr>
      <w:r>
        <w:rPr>
          <w:snapToGrid w:val="0"/>
        </w:rPr>
        <w:tab/>
        <w:t>(f)</w:t>
      </w:r>
      <w:r>
        <w:rPr>
          <w:snapToGrid w:val="0"/>
        </w:rPr>
        <w:tab/>
        <w:t xml:space="preserve">a pharmaceutical chemist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spacing w:before="100"/>
        <w:ind w:left="890" w:hanging="890"/>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 xml:space="preserve">10; amended by Act No. 9 of 2003 s. 44.] </w:t>
      </w:r>
    </w:p>
    <w:p>
      <w:pPr>
        <w:pStyle w:val="Heading5"/>
        <w:spacing w:before="260"/>
      </w:pPr>
      <w:bookmarkStart w:id="68" w:name="_Toc389746697"/>
      <w:r>
        <w:rPr>
          <w:rStyle w:val="CharSectno"/>
        </w:rPr>
        <w:t>36AA</w:t>
      </w:r>
      <w:r>
        <w:t>.</w:t>
      </w:r>
      <w:r>
        <w:tab/>
        <w:t>Provision of approved starter packs by registered nurses</w:t>
      </w:r>
      <w:bookmarkEnd w:id="68"/>
    </w:p>
    <w:p>
      <w:pPr>
        <w:pStyle w:val="Subsection"/>
        <w:spacing w:before="200"/>
      </w:pPr>
      <w:r>
        <w:tab/>
        <w:t>(1)</w:t>
      </w:r>
      <w:r>
        <w:tab/>
        <w:t>In this regulation —</w:t>
      </w:r>
    </w:p>
    <w:p>
      <w:pPr>
        <w:pStyle w:val="Defstart"/>
        <w:spacing w:before="70"/>
      </w:pPr>
      <w:r>
        <w:tab/>
      </w:r>
      <w:r>
        <w:rPr>
          <w:rStyle w:val="CharDefText"/>
        </w:rPr>
        <w:t>approved health service</w:t>
      </w:r>
      <w:r>
        <w:t xml:space="preserve"> means a health service (as defined in section 3(1) of the </w:t>
      </w:r>
      <w:r>
        <w:rPr>
          <w:i/>
        </w:rPr>
        <w:t>Health Services (Conciliation and Review) Act 1995</w:t>
      </w:r>
      <w:r>
        <w:t>, other than a health service provided by way of medical or epidemiological research) that —</w:t>
      </w:r>
    </w:p>
    <w:p>
      <w:pPr>
        <w:pStyle w:val="Defpara"/>
        <w:spacing w:before="70"/>
      </w:pPr>
      <w:r>
        <w:tab/>
        <w:t>(a)</w:t>
      </w:r>
      <w:r>
        <w:tab/>
        <w:t xml:space="preserve">operates outside the metropolitan region (as defined in section 6 of the </w:t>
      </w:r>
      <w:r>
        <w:rPr>
          <w:i/>
        </w:rPr>
        <w:t>Metropolitan Region Town Planning Scheme Act 1959</w:t>
      </w:r>
      <w:r>
        <w:t xml:space="preserve"> </w:t>
      </w:r>
      <w:r>
        <w:rPr>
          <w:vertAlign w:val="superscript"/>
        </w:rPr>
        <w:t>5</w:t>
      </w:r>
      <w:r>
        <w:t xml:space="preserve">); and </w:t>
      </w:r>
    </w:p>
    <w:p>
      <w:pPr>
        <w:pStyle w:val="Defpara"/>
        <w:spacing w:before="70"/>
      </w:pPr>
      <w:r>
        <w:tab/>
        <w:t>(b)</w:t>
      </w:r>
      <w:r>
        <w:tab/>
        <w:t xml:space="preserve">has been approved by the CEO for the purposes of this regulation; </w:t>
      </w:r>
    </w:p>
    <w:p>
      <w:pPr>
        <w:pStyle w:val="Defstart"/>
        <w:spacing w:before="70"/>
      </w:pPr>
      <w:r>
        <w:tab/>
      </w:r>
      <w:r>
        <w:rPr>
          <w:rStyle w:val="CharDefText"/>
        </w:rPr>
        <w:t>approved name</w:t>
      </w:r>
      <w:r>
        <w:t xml:space="preserve"> has the same meaning as in regulation 35C; </w:t>
      </w:r>
    </w:p>
    <w:p>
      <w:pPr>
        <w:pStyle w:val="Defstart"/>
        <w:spacing w:before="70"/>
      </w:pPr>
      <w:r>
        <w:tab/>
      </w:r>
      <w:r>
        <w:rPr>
          <w:rStyle w:val="CharDefText"/>
        </w:rPr>
        <w:t>approved starter pack</w:t>
      </w:r>
      <w:r>
        <w:t xml:space="preserve"> means a starter pack approved by the CEO for the purposes of this regulation; </w:t>
      </w:r>
    </w:p>
    <w:p>
      <w:pPr>
        <w:pStyle w:val="Defstart"/>
        <w:spacing w:before="70"/>
      </w:pPr>
      <w:r>
        <w:tab/>
      </w:r>
      <w:r>
        <w:rPr>
          <w:rStyle w:val="CharDefText"/>
        </w:rPr>
        <w:t>brand name</w:t>
      </w:r>
      <w:r>
        <w:t xml:space="preserve"> has the same meaning as in regulation 35C; </w:t>
      </w:r>
    </w:p>
    <w:p>
      <w:pPr>
        <w:pStyle w:val="Defstart"/>
        <w:keepNext/>
        <w:spacing w:before="70"/>
      </w:pPr>
      <w:r>
        <w:tab/>
      </w:r>
      <w:r>
        <w:rPr>
          <w:rStyle w:val="CharDefText"/>
        </w:rPr>
        <w:t>starter pack</w:t>
      </w:r>
      <w:r>
        <w:t xml:space="preserve"> means a quantity of a poison included in Schedule 4, prepared by a pharmaceutical chemist and consisting of —</w:t>
      </w:r>
    </w:p>
    <w:p>
      <w:pPr>
        <w:pStyle w:val="Defpara"/>
        <w:spacing w:before="70"/>
      </w:pPr>
      <w:r>
        <w:tab/>
        <w:t>(a)</w:t>
      </w:r>
      <w:r>
        <w:tab/>
        <w:t xml:space="preserve">if the poison is supplied in prepacked individual packs, one individual standard pack; </w:t>
      </w:r>
    </w:p>
    <w:p>
      <w:pPr>
        <w:pStyle w:val="Defpara"/>
        <w:spacing w:before="70"/>
      </w:pPr>
      <w:r>
        <w:tab/>
        <w:t>(b)</w:t>
      </w:r>
      <w:r>
        <w:tab/>
        <w:t>if the poison is a liquid, the smallest pack of the poison available from the manufacturer; or</w:t>
      </w:r>
    </w:p>
    <w:p>
      <w:pPr>
        <w:pStyle w:val="Defpara"/>
        <w:spacing w:before="70"/>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 xml:space="preserve">the patient has an acute medical condition; </w:t>
      </w:r>
    </w:p>
    <w:p>
      <w:pPr>
        <w:pStyle w:val="Indenta"/>
      </w:pPr>
      <w:r>
        <w:tab/>
        <w:t>(b)</w:t>
      </w:r>
      <w:r>
        <w:tab/>
        <w:t xml:space="preserve">there is no other medical practitioner at the health service who could reasonably attend to the patient in person; and </w:t>
      </w:r>
    </w:p>
    <w:p>
      <w:pPr>
        <w:pStyle w:val="Indenta"/>
      </w:pPr>
      <w:r>
        <w:tab/>
        <w:t>(c)</w:t>
      </w:r>
      <w:r>
        <w:tab/>
        <w:t xml:space="preserve">the distance from the health service to the nearest pharmacy registered under the </w:t>
      </w:r>
      <w:r>
        <w:rPr>
          <w:i/>
        </w:rPr>
        <w:t>Pharmacy Act 1964</w:t>
      </w:r>
      <w:r>
        <w:t xml:space="preserve"> that is open is more than 25 km.</w:t>
      </w:r>
    </w:p>
    <w:p>
      <w:pPr>
        <w:pStyle w:val="Subsection"/>
        <w:keepLines/>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Within 72 hours of giving a starter pack instruction a medical practitioner must give to the registered nurse, or another registered nurse at the health service, signed, written confirmation of the instruction including —</w:t>
      </w:r>
    </w:p>
    <w:p>
      <w:pPr>
        <w:pStyle w:val="Indenta"/>
      </w:pPr>
      <w:r>
        <w:tab/>
        <w:t>(a)</w:t>
      </w:r>
      <w:r>
        <w:tab/>
        <w:t>the name of the medical practitioner;</w:t>
      </w:r>
    </w:p>
    <w:p>
      <w:pPr>
        <w:pStyle w:val="Indenta"/>
      </w:pPr>
      <w:r>
        <w:tab/>
        <w:t>(b)</w:t>
      </w:r>
      <w:r>
        <w:tab/>
        <w:t xml:space="preserve">the name of the registered nurse to whom the starter pack instruction was given; </w:t>
      </w:r>
    </w:p>
    <w:p>
      <w:pPr>
        <w:pStyle w:val="Indenta"/>
      </w:pPr>
      <w:r>
        <w:tab/>
        <w:t>(c)</w:t>
      </w:r>
      <w:r>
        <w:tab/>
        <w:t xml:space="preserve">the name of the patient; </w:t>
      </w:r>
    </w:p>
    <w:p>
      <w:pPr>
        <w:pStyle w:val="Indenta"/>
        <w:spacing w:before="70"/>
      </w:pPr>
      <w:r>
        <w:tab/>
        <w:t>(d)</w:t>
      </w:r>
      <w:r>
        <w:tab/>
        <w:t>the date and time when the instruction was given;</w:t>
      </w:r>
    </w:p>
    <w:p>
      <w:pPr>
        <w:pStyle w:val="Indenta"/>
        <w:spacing w:before="70"/>
      </w:pPr>
      <w:r>
        <w:tab/>
        <w:t>(e)</w:t>
      </w:r>
      <w:r>
        <w:tab/>
        <w:t xml:space="preserve">details of the approved starter pack; </w:t>
      </w:r>
    </w:p>
    <w:p>
      <w:pPr>
        <w:pStyle w:val="Indenta"/>
        <w:spacing w:before="70"/>
      </w:pPr>
      <w:r>
        <w:tab/>
        <w:t>(f)</w:t>
      </w:r>
      <w:r>
        <w:tab/>
        <w:t>any relevant directions for use that were to be given to the patient; and</w:t>
      </w:r>
    </w:p>
    <w:p>
      <w:pPr>
        <w:pStyle w:val="Indenta"/>
        <w:spacing w:before="70"/>
      </w:pPr>
      <w:r>
        <w:tab/>
        <w:t>(g)</w:t>
      </w:r>
      <w:r>
        <w:tab/>
        <w:t>any other information that the medical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w:t>
      </w:r>
    </w:p>
    <w:p>
      <w:pPr>
        <w:pStyle w:val="Indenta"/>
        <w:spacing w:before="70"/>
      </w:pPr>
      <w:r>
        <w:tab/>
        <w:t>(b)</w:t>
      </w:r>
      <w:r>
        <w:tab/>
        <w:t>the name of the patient;</w:t>
      </w:r>
    </w:p>
    <w:p>
      <w:pPr>
        <w:pStyle w:val="Indenta"/>
        <w:spacing w:before="70"/>
      </w:pPr>
      <w:r>
        <w:tab/>
        <w:t>(c)</w:t>
      </w:r>
      <w:r>
        <w:tab/>
        <w:t>the name and address of the health service;</w:t>
      </w:r>
    </w:p>
    <w:p>
      <w:pPr>
        <w:pStyle w:val="Indenta"/>
        <w:spacing w:before="70"/>
      </w:pPr>
      <w:r>
        <w:tab/>
        <w:t>(d)</w:t>
      </w:r>
      <w:r>
        <w:tab/>
        <w:t>in relation to each poison in the approved starter pack —</w:t>
      </w:r>
    </w:p>
    <w:p>
      <w:pPr>
        <w:pStyle w:val="Indenti"/>
        <w:spacing w:before="70"/>
      </w:pPr>
      <w:r>
        <w:tab/>
        <w:t>(i)</w:t>
      </w:r>
      <w:r>
        <w:tab/>
        <w:t xml:space="preserve">the approved name and strength or amount of the poison; or </w:t>
      </w:r>
    </w:p>
    <w:p>
      <w:pPr>
        <w:pStyle w:val="Indenti"/>
        <w:spacing w:before="70"/>
      </w:pPr>
      <w:r>
        <w:tab/>
        <w:t>(ii)</w:t>
      </w:r>
      <w:r>
        <w:tab/>
        <w:t>if the brand name uniquely identifies the strength of the poison, that brand name;</w:t>
      </w:r>
    </w:p>
    <w:p>
      <w:pPr>
        <w:pStyle w:val="Indenta"/>
        <w:spacing w:before="70"/>
      </w:pPr>
      <w:r>
        <w:tab/>
        <w:t>(e)</w:t>
      </w:r>
      <w:r>
        <w:tab/>
        <w:t>the total quantity of medication contained in the approved starter pack;</w:t>
      </w:r>
    </w:p>
    <w:p>
      <w:pPr>
        <w:pStyle w:val="Indenta"/>
        <w:spacing w:before="70"/>
      </w:pPr>
      <w:r>
        <w:tab/>
        <w:t>(f)</w:t>
      </w:r>
      <w:r>
        <w:tab/>
        <w:t>the date on which the approved starter pack was given to the patient;</w:t>
      </w:r>
    </w:p>
    <w:p>
      <w:pPr>
        <w:pStyle w:val="Indenta"/>
        <w:spacing w:before="70"/>
      </w:pPr>
      <w:r>
        <w:tab/>
        <w:t>(g)</w:t>
      </w:r>
      <w:r>
        <w:tab/>
        <w:t>any directions for use given by the medical practitioner;</w:t>
      </w:r>
    </w:p>
    <w:p>
      <w:pPr>
        <w:pStyle w:val="Indenta"/>
        <w:spacing w:before="70"/>
      </w:pPr>
      <w:r>
        <w:tab/>
        <w:t>(h)</w:t>
      </w:r>
      <w:r>
        <w:tab/>
        <w:t>the number referred to in subregulation (10)(f) identifying the relevant entry in the health service’s Starter Pack Supply Book; and</w:t>
      </w:r>
    </w:p>
    <w:p>
      <w:pPr>
        <w:pStyle w:val="Indenta"/>
        <w:spacing w:before="70"/>
      </w:pPr>
      <w:r>
        <w:tab/>
        <w:t>(i)</w:t>
      </w:r>
      <w:r>
        <w:tab/>
        <w:t>any relevant cautionary or advisory statements set out in Appendix K to the SUSDP.</w:t>
      </w:r>
    </w:p>
    <w:p>
      <w:pPr>
        <w:pStyle w:val="Subsection"/>
        <w:spacing w:before="120"/>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spacing w:before="120"/>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(c)</w:t>
      </w:r>
      <w:r>
        <w:tab/>
        <w:t>the date and time at which the approved starter pack is to be given to the patient;</w:t>
      </w:r>
    </w:p>
    <w:p>
      <w:pPr>
        <w:pStyle w:val="Indenta"/>
      </w:pPr>
      <w:r>
        <w:tab/>
        <w:t>(d)</w:t>
      </w:r>
      <w:r>
        <w:tab/>
        <w:t>the name of the medical practitioner;</w:t>
      </w:r>
    </w:p>
    <w:p>
      <w:pPr>
        <w:pStyle w:val="Indenta"/>
      </w:pPr>
      <w:r>
        <w:tab/>
        <w:t>(e)</w:t>
      </w:r>
      <w:r>
        <w:tab/>
        <w:t>any directions for use given by the medical practitioner;</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w:t>
      </w:r>
    </w:p>
    <w:p>
      <w:pPr>
        <w:pStyle w:val="Heading5"/>
      </w:pPr>
      <w:bookmarkStart w:id="69" w:name="_Toc389746698"/>
      <w:r>
        <w:rPr>
          <w:rStyle w:val="CharSectno"/>
        </w:rPr>
        <w:t>36AAB</w:t>
      </w:r>
      <w:r>
        <w:t>.</w:t>
      </w:r>
      <w:r>
        <w:tab/>
        <w:t>Provision of psychiatric emergency packs by certain registered nurses</w:t>
      </w:r>
      <w:bookmarkEnd w:id="69"/>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spacing w:before="70"/>
      </w:pPr>
      <w:r>
        <w:tab/>
        <w:t>(a)</w:t>
      </w:r>
      <w:r>
        <w:tab/>
        <w:t>is provided in the metropolitan region; and</w:t>
      </w:r>
    </w:p>
    <w:p>
      <w:pPr>
        <w:pStyle w:val="Defpara"/>
        <w:spacing w:before="70"/>
      </w:pPr>
      <w:r>
        <w:tab/>
        <w:t>(b)</w:t>
      </w:r>
      <w:r>
        <w:tab/>
        <w:t>responds to psychiatric emergencies in the community; and</w:t>
      </w:r>
    </w:p>
    <w:p>
      <w:pPr>
        <w:pStyle w:val="Defpara"/>
        <w:spacing w:before="70"/>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pharmaceutical chemist, containing a quantity of a poison included in Schedule 4 that — </w:t>
      </w:r>
    </w:p>
    <w:p>
      <w:pPr>
        <w:pStyle w:val="Defpara"/>
        <w:spacing w:before="70"/>
      </w:pPr>
      <w:r>
        <w:tab/>
        <w:t>(a)</w:t>
      </w:r>
      <w:r>
        <w:tab/>
        <w:t>if the poison is supplied in prepacked individual packs — is one individual standard pack; or</w:t>
      </w:r>
    </w:p>
    <w:p>
      <w:pPr>
        <w:pStyle w:val="Defpara"/>
        <w:spacing w:before="70"/>
      </w:pPr>
      <w:r>
        <w:tab/>
        <w:t>(b)</w:t>
      </w:r>
      <w:r>
        <w:tab/>
        <w:t>if the poison is a liquid — is the smallest pack of the poison available from the manufacturer; or</w:t>
      </w:r>
    </w:p>
    <w:p>
      <w:pPr>
        <w:pStyle w:val="Defpara"/>
        <w:spacing w:before="70"/>
      </w:pPr>
      <w:r>
        <w:tab/>
        <w:t>(c)</w:t>
      </w:r>
      <w:r>
        <w:tab/>
        <w:t>otherwise — does not exceed 3 days worth of medication of the poison;</w:t>
      </w:r>
    </w:p>
    <w:p>
      <w:pPr>
        <w:pStyle w:val="Defstar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70"/>
      </w:pPr>
      <w:r>
        <w:rPr>
          <w:bCs/>
        </w:rPr>
        <w:tab/>
        <w:t>(a)</w:t>
      </w:r>
      <w:r>
        <w:rPr>
          <w:bCs/>
        </w:rPr>
        <w:tab/>
        <w:t>is provided outside the metropolitan region; and</w:t>
      </w:r>
    </w:p>
    <w:p>
      <w:pPr>
        <w:pStyle w:val="Defpara"/>
        <w:spacing w:before="70"/>
      </w:pPr>
      <w:r>
        <w:tab/>
        <w:t>(b)</w:t>
      </w:r>
      <w:r>
        <w:tab/>
        <w:t>responds to psychiatric emergencies in the community; and</w:t>
      </w:r>
    </w:p>
    <w:p>
      <w:pPr>
        <w:pStyle w:val="Defpara"/>
        <w:spacing w:before="7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 SUSDP.</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4965-8.]</w:t>
      </w:r>
    </w:p>
    <w:p>
      <w:pPr>
        <w:pStyle w:val="Heading5"/>
      </w:pPr>
      <w:bookmarkStart w:id="70" w:name="_Toc389746699"/>
      <w:r>
        <w:rPr>
          <w:rStyle w:val="CharSectno"/>
        </w:rPr>
        <w:t>36A</w:t>
      </w:r>
      <w:r>
        <w:t>.</w:t>
      </w:r>
      <w:r>
        <w:tab/>
        <w:t>Storage of substances included in Schedule 4</w:t>
      </w:r>
      <w:bookmarkEnd w:id="70"/>
    </w:p>
    <w:p>
      <w:pPr>
        <w:pStyle w:val="Subsection"/>
      </w:pPr>
      <w:r>
        <w:tab/>
        <w:t>(1)</w:t>
      </w:r>
      <w:r>
        <w:tab/>
        <w:t>A pharmaceutical chemist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or veterinary surgeon to whom a substance included in Schedule 4 is supplied shall store it in a container, cupboard or room —</w:t>
      </w:r>
    </w:p>
    <w:p>
      <w:pPr>
        <w:pStyle w:val="Indenta"/>
      </w:pPr>
      <w:r>
        <w:tab/>
        <w:t>(a)</w:t>
      </w:r>
      <w:r>
        <w:tab/>
        <w:t xml:space="preserve">at the medical practitioner’s, dentist’s or veterinary surgeon’s usual place of practice; </w:t>
      </w:r>
    </w:p>
    <w:p>
      <w:pPr>
        <w:pStyle w:val="Indenta"/>
      </w:pPr>
      <w:r>
        <w:tab/>
        <w:t>(b)</w:t>
      </w:r>
      <w:r>
        <w:tab/>
        <w:t>that is kept locked; and</w:t>
      </w:r>
    </w:p>
    <w:p>
      <w:pPr>
        <w:pStyle w:val="Indenta"/>
      </w:pPr>
      <w:r>
        <w:tab/>
        <w:t>(c)</w:t>
      </w:r>
      <w:r>
        <w:tab/>
        <w:t>access to which is available only to the medical practitioner, dentist or veterinary surgeon and persons under his or her personal supervision.</w:t>
      </w:r>
    </w:p>
    <w:p>
      <w:pPr>
        <w:pStyle w:val="Subsection"/>
      </w:pPr>
      <w:r>
        <w:tab/>
        <w:t>(3)</w:t>
      </w:r>
      <w:r>
        <w:tab/>
        <w:t>A medical practitioner, dentist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 or veterinary surgeon — the substances that are ordinarily carried by dentists or veterinary surgeons who are attending patients at places other than at their usual place of practice.</w:t>
      </w:r>
    </w:p>
    <w:p>
      <w:pPr>
        <w:pStyle w:val="Footnotesection"/>
      </w:pPr>
      <w:r>
        <w:tab/>
        <w:t>[Regulation 36A inserted in Gazette 19 Feb 1999 p. 555</w:t>
      </w:r>
      <w:r>
        <w:noBreakHyphen/>
        <w:t>6.]</w:t>
      </w:r>
    </w:p>
    <w:p>
      <w:pPr>
        <w:pStyle w:val="Heading5"/>
        <w:spacing w:before="260"/>
      </w:pPr>
      <w:bookmarkStart w:id="71" w:name="_Toc389746700"/>
      <w:r>
        <w:rPr>
          <w:rStyle w:val="CharSectno"/>
        </w:rPr>
        <w:t>36B</w:t>
      </w:r>
      <w:r>
        <w:t>.</w:t>
      </w:r>
      <w:r>
        <w:tab/>
        <w:t>Record of supply or administration of substances included in Schedule 4</w:t>
      </w:r>
      <w:bookmarkEnd w:id="71"/>
    </w:p>
    <w:p>
      <w:pPr>
        <w:pStyle w:val="Subsection"/>
        <w:spacing w:before="200"/>
      </w:pPr>
      <w:r>
        <w:tab/>
        <w:t>(1)</w:t>
      </w:r>
      <w:r>
        <w:tab/>
        <w:t>A medical practitioner, dentist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w:t>
      </w:r>
    </w:p>
    <w:p>
      <w:pPr>
        <w:pStyle w:val="Indenta"/>
      </w:pPr>
      <w:r>
        <w:tab/>
        <w:t>(b)</w:t>
      </w:r>
      <w:r>
        <w:tab/>
      </w:r>
      <w:r>
        <w:rPr>
          <w:spacing w:val="-4"/>
        </w:rPr>
        <w:t>the name and address of the person to whom the substance was supplied or administered, or of the owner of the animal to which the substance was administered; and</w:t>
      </w:r>
    </w:p>
    <w:p>
      <w:pPr>
        <w:pStyle w:val="Indenta"/>
        <w:keepNext/>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r>
      <w:r>
        <w:rPr>
          <w:spacing w:val="-4"/>
        </w:rPr>
        <w:t>made available for inspection on request by an authorised officer (other than an environmental health officer).</w:t>
      </w:r>
    </w:p>
    <w:p>
      <w:pPr>
        <w:pStyle w:val="Footnotesection"/>
      </w:pPr>
      <w:r>
        <w:tab/>
        <w:t>[Regulation 36B inserted in Gazette 19 Feb 1999 p. 556.]</w:t>
      </w:r>
    </w:p>
    <w:p>
      <w:pPr>
        <w:pStyle w:val="Heading5"/>
      </w:pPr>
      <w:bookmarkStart w:id="72" w:name="_Toc389746701"/>
      <w:r>
        <w:rPr>
          <w:rStyle w:val="CharSectno"/>
        </w:rPr>
        <w:t>37A</w:t>
      </w:r>
      <w:r>
        <w:t>.</w:t>
      </w:r>
      <w:r>
        <w:tab/>
        <w:t>H1N1 Pandemic Influenza Vaccine — exemption from specified provisions of the Act</w:t>
      </w:r>
      <w:bookmarkEnd w:id="72"/>
    </w:p>
    <w:p>
      <w:pPr>
        <w:pStyle w:val="Subsection"/>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pPr>
      <w:bookmarkStart w:id="73" w:name="_Toc389746702"/>
      <w:r>
        <w:rPr>
          <w:rStyle w:val="CharSectno"/>
        </w:rPr>
        <w:t>37B</w:t>
      </w:r>
      <w:r>
        <w:t>.</w:t>
      </w:r>
      <w:r>
        <w:tab/>
        <w:t>Vaccines — exemption from specified provisions of the Act</w:t>
      </w:r>
      <w:bookmarkEnd w:id="73"/>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1146-7.]</w:t>
      </w:r>
    </w:p>
    <w:p>
      <w:pPr>
        <w:pStyle w:val="Ednotedivision"/>
      </w:pPr>
      <w:r>
        <w:t>[Heading deleted in Gazette 12 Aug 2003 p. 3663.]</w:t>
      </w:r>
    </w:p>
    <w:p>
      <w:pPr>
        <w:pStyle w:val="Heading5"/>
        <w:rPr>
          <w:snapToGrid w:val="0"/>
        </w:rPr>
      </w:pPr>
      <w:bookmarkStart w:id="74" w:name="_Toc389746703"/>
      <w:r>
        <w:rPr>
          <w:rStyle w:val="CharSectno"/>
        </w:rPr>
        <w:t>37</w:t>
      </w:r>
      <w:r>
        <w:rPr>
          <w:snapToGrid w:val="0"/>
        </w:rPr>
        <w:t>.</w:t>
      </w:r>
      <w:r>
        <w:rPr>
          <w:snapToGrid w:val="0"/>
        </w:rPr>
        <w:tab/>
        <w:t>Conditions for prescription of a poison included in Schedule 4</w:t>
      </w:r>
      <w:bookmarkEnd w:id="74"/>
      <w:r>
        <w:rPr>
          <w:snapToGrid w:val="0"/>
        </w:rPr>
        <w:t xml:space="preserve"> </w:t>
      </w:r>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it shall be issued in a manner provided for in subregulation (1A) or (1B); and</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and</w:t>
      </w:r>
    </w:p>
    <w:p>
      <w:pPr>
        <w:pStyle w:val="Indenta"/>
        <w:spacing w:before="60"/>
        <w:rPr>
          <w:snapToGrid w:val="0"/>
        </w:rPr>
      </w:pPr>
      <w:r>
        <w:rPr>
          <w:snapToGrid w:val="0"/>
        </w:rPr>
        <w:tab/>
        <w:t>(f)</w:t>
      </w:r>
      <w:r>
        <w:rPr>
          <w:snapToGrid w:val="0"/>
        </w:rPr>
        <w:tab/>
        <w:t>a prescription shall not be written in cipher.</w:t>
      </w:r>
    </w:p>
    <w:p>
      <w:pPr>
        <w:pStyle w:val="Subsection"/>
        <w:spacing w:before="120"/>
      </w:pPr>
      <w:r>
        <w:tab/>
        <w:t>(1A)</w:t>
      </w:r>
      <w:r>
        <w:tab/>
        <w:t>A prescription that is issued electronically shall be issued via an approved electronic prescribing system</w:t>
      </w:r>
      <w:r>
        <w:rPr>
          <w:snapToGrid w:val="0"/>
        </w:rPr>
        <w:t>.</w:t>
      </w:r>
    </w:p>
    <w:p>
      <w:pPr>
        <w:pStyle w:val="Subsection"/>
        <w:spacing w:before="120"/>
      </w:pPr>
      <w:r>
        <w:tab/>
        <w:t>(1B)</w:t>
      </w:r>
      <w:r>
        <w:tab/>
        <w:t xml:space="preserve">A prescription that is not issued electronically shall be either — </w:t>
      </w:r>
    </w:p>
    <w:p>
      <w:pPr>
        <w:pStyle w:val="Indenta"/>
        <w:spacing w:before="60"/>
        <w:rPr>
          <w:snapToGrid w:val="0"/>
        </w:rPr>
      </w:pPr>
      <w:r>
        <w:rPr>
          <w:snapToGrid w:val="0"/>
        </w:rPr>
        <w:tab/>
        <w:t>(a)</w:t>
      </w:r>
      <w:r>
        <w:rPr>
          <w:snapToGrid w:val="0"/>
        </w:rPr>
        <w:tab/>
        <w:t>written in ink in the prescriber’s own handwriting; or</w:t>
      </w:r>
    </w:p>
    <w:p>
      <w:pPr>
        <w:pStyle w:val="Indenta"/>
        <w:spacing w:before="60"/>
      </w:pPr>
      <w:r>
        <w:tab/>
        <w:t>(b)</w:t>
      </w:r>
      <w:r>
        <w:tab/>
        <w:t xml:space="preserve">processed on a computer program that — </w:t>
      </w:r>
    </w:p>
    <w:p>
      <w:pPr>
        <w:pStyle w:val="Indenti"/>
        <w:spacing w:before="60"/>
        <w:rPr>
          <w:snapToGrid w:val="0"/>
        </w:rPr>
      </w:pPr>
      <w:r>
        <w:rPr>
          <w:snapToGrid w:val="0"/>
        </w:rPr>
        <w:tab/>
        <w:t>(i)</w:t>
      </w:r>
      <w:r>
        <w:rPr>
          <w:snapToGrid w:val="0"/>
        </w:rPr>
        <w:tab/>
        <w:t>complies with the criteria specified in Appendix L; or</w:t>
      </w:r>
    </w:p>
    <w:p>
      <w:pPr>
        <w:pStyle w:val="Indenti"/>
        <w:spacing w:before="60"/>
        <w:rPr>
          <w:snapToGrid w:val="0"/>
        </w:rPr>
      </w:pPr>
      <w:r>
        <w:rPr>
          <w:snapToGrid w:val="0"/>
        </w:rPr>
        <w:tab/>
        <w:t>(ii)</w:t>
      </w:r>
      <w:r>
        <w:rPr>
          <w:snapToGrid w:val="0"/>
        </w:rPr>
        <w:tab/>
        <w:t>is recommended by the Poisons Advisory Committee and approved in writing by the CEO.</w:t>
      </w:r>
    </w:p>
    <w:p>
      <w:pPr>
        <w:pStyle w:val="Subsection"/>
        <w:spacing w:before="120"/>
      </w:pPr>
      <w:r>
        <w:tab/>
      </w:r>
      <w:r>
        <w:tab/>
        <w:t>The prescription shall be signed by the prescriber in his or her own handwriting.</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dentist 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8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amended by Act No. 9 of 2003 s. 45.]</w:t>
      </w:r>
    </w:p>
    <w:p>
      <w:pPr>
        <w:pStyle w:val="Heading5"/>
      </w:pPr>
      <w:bookmarkStart w:id="75" w:name="_Toc389746704"/>
      <w:r>
        <w:rPr>
          <w:rStyle w:val="CharSectno"/>
        </w:rPr>
        <w:t>38A</w:t>
      </w:r>
      <w:r>
        <w:t>.</w:t>
      </w:r>
      <w:r>
        <w:tab/>
        <w:t>Prescriptions for poisons included in Schedule 4 for patient discharged from public hospital</w:t>
      </w:r>
      <w:bookmarkEnd w:id="75"/>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or nurse practitioner has completed, in ink in his or her own hand writing, all the details in respect of the Schedule 4 poison required by the NIMC; and</w:t>
      </w:r>
    </w:p>
    <w:p>
      <w:pPr>
        <w:pStyle w:val="Indenta"/>
      </w:pPr>
      <w:r>
        <w:tab/>
        <w:t>(c)</w:t>
      </w:r>
      <w:r>
        <w:tab/>
        <w:t>a medical practitioner or nurse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w:t>
      </w:r>
    </w:p>
    <w:p>
      <w:pPr>
        <w:pStyle w:val="Ednotedivision"/>
        <w:spacing w:before="100"/>
      </w:pPr>
      <w:r>
        <w:t>[Heading deleted in Gazette 12 Aug 2003 p. 3663.]</w:t>
      </w:r>
    </w:p>
    <w:p>
      <w:pPr>
        <w:pStyle w:val="Heading5"/>
        <w:spacing w:before="180"/>
        <w:rPr>
          <w:snapToGrid w:val="0"/>
        </w:rPr>
      </w:pPr>
      <w:bookmarkStart w:id="76" w:name="_Toc389746705"/>
      <w:r>
        <w:rPr>
          <w:rStyle w:val="CharSectno"/>
        </w:rPr>
        <w:t>38</w:t>
      </w:r>
      <w:r>
        <w:rPr>
          <w:snapToGrid w:val="0"/>
        </w:rPr>
        <w:t>.</w:t>
      </w:r>
      <w:r>
        <w:rPr>
          <w:snapToGrid w:val="0"/>
        </w:rPr>
        <w:tab/>
      </w:r>
      <w:r>
        <w:rPr>
          <w:snapToGrid w:val="0"/>
          <w:spacing w:val="-4"/>
        </w:rPr>
        <w:t>Dispensing poisons included in Schedule 4 in emergency cases</w:t>
      </w:r>
      <w:bookmarkEnd w:id="76"/>
      <w:r>
        <w:rPr>
          <w:snapToGrid w:val="0"/>
        </w:rPr>
        <w:t xml:space="preserve"> </w:t>
      </w:r>
    </w:p>
    <w:p>
      <w:pPr>
        <w:pStyle w:val="Subsection"/>
        <w:spacing w:before="120"/>
        <w:rPr>
          <w:snapToGrid w:val="0"/>
        </w:rPr>
      </w:pPr>
      <w:r>
        <w:rPr>
          <w:snapToGrid w:val="0"/>
        </w:rPr>
        <w:tab/>
      </w:r>
      <w:r>
        <w:rPr>
          <w:snapToGrid w:val="0"/>
        </w:rPr>
        <w:tab/>
        <w:t>Where a medical practitioner,</w:t>
      </w:r>
      <w:r>
        <w:t xml:space="preserve"> nurse practitioner,</w:t>
      </w:r>
      <w:r>
        <w:rPr>
          <w:snapToGrid w:val="0"/>
        </w:rPr>
        <w:t xml:space="preserve"> dentist or veterinary surgeon in a case of emergency orally or by telephone or telegram directs the dispensing of a poison included in Schedule 4, he shall forthwith write a prescription complying with the conditions prescribed in regulation 37, mark such prescription to show that it has been given as a confirmation of instructions given by him orally or by telephone or telegram, and despatch such prescription within 24 hours to the person to whom the instructions were given.</w:t>
      </w:r>
    </w:p>
    <w:p>
      <w:pPr>
        <w:pStyle w:val="Footnotesection"/>
        <w:tabs>
          <w:tab w:val="left" w:pos="2400"/>
        </w:tabs>
        <w:spacing w:before="80"/>
        <w:ind w:left="890" w:hanging="890"/>
      </w:pPr>
      <w:r>
        <w:tab/>
        <w:t>[Regulation 38 amended in Gazette 19 Mar 1996 p. 1222; amended by Act No. 9 of 2003 s. 46.]</w:t>
      </w:r>
    </w:p>
    <w:p>
      <w:pPr>
        <w:pStyle w:val="Ednotedivision"/>
        <w:spacing w:before="160"/>
      </w:pPr>
      <w:r>
        <w:rPr>
          <w:snapToGrid/>
        </w:rPr>
        <w:t>[Heading deleted in Gazette 12 Aug 2003 p. 3663.]</w:t>
      </w:r>
    </w:p>
    <w:p>
      <w:pPr>
        <w:pStyle w:val="Ednotesection"/>
        <w:spacing w:before="180"/>
      </w:pPr>
      <w:r>
        <w:t>[</w:t>
      </w:r>
      <w:r>
        <w:rPr>
          <w:b/>
        </w:rPr>
        <w:t>38A.</w:t>
      </w:r>
      <w:r>
        <w:rPr>
          <w:b/>
        </w:rPr>
        <w:tab/>
      </w:r>
      <w:r>
        <w:t xml:space="preserve">Deleted in Gazette 17 Mar 1998 p. 1417.] </w:t>
      </w:r>
    </w:p>
    <w:p>
      <w:pPr>
        <w:pStyle w:val="Heading5"/>
        <w:spacing w:before="180"/>
        <w:rPr>
          <w:snapToGrid w:val="0"/>
        </w:rPr>
      </w:pPr>
      <w:bookmarkStart w:id="77" w:name="_Toc389746706"/>
      <w:r>
        <w:rPr>
          <w:rStyle w:val="CharSectno"/>
        </w:rPr>
        <w:t>38AA</w:t>
      </w:r>
      <w:r>
        <w:rPr>
          <w:snapToGrid w:val="0"/>
        </w:rPr>
        <w:t>.</w:t>
      </w:r>
      <w:r>
        <w:rPr>
          <w:snapToGrid w:val="0"/>
        </w:rPr>
        <w:tab/>
        <w:t>Administration of poisons included in Schedule 4 in hospital</w:t>
      </w:r>
      <w:bookmarkEnd w:id="77"/>
      <w:r>
        <w:rPr>
          <w:snapToGrid w:val="0"/>
        </w:rPr>
        <w:t xml:space="preserve"> </w:t>
      </w:r>
    </w:p>
    <w:p>
      <w:pPr>
        <w:pStyle w:val="Subsection"/>
        <w:spacing w:before="120"/>
        <w:rPr>
          <w:snapToGrid w:val="0"/>
        </w:rPr>
      </w:pPr>
      <w:r>
        <w:rPr>
          <w:snapToGrid w:val="0"/>
        </w:rPr>
        <w:tab/>
        <w:t>(1)</w:t>
      </w:r>
      <w:r>
        <w:rPr>
          <w:snapToGrid w:val="0"/>
        </w:rPr>
        <w:tab/>
        <w:t>Subject to subregulation (2) a person, other than a medical practitioner</w:t>
      </w:r>
      <w:r>
        <w:t>, nurse practitioner</w:t>
      </w:r>
      <w:r>
        <w:rPr>
          <w:snapToGrid w:val="0"/>
        </w:rPr>
        <w:t xml:space="preserve"> or a dentist, shall not administer a poison included in Schedule 4 to a patient in a hospital unless the administration of the poison is authorised in writing on the medication chart of the patient by a medical practitioner</w:t>
      </w:r>
      <w:r>
        <w:t>, nurse practitioner</w:t>
      </w:r>
      <w:r>
        <w:rPr>
          <w:snapToGrid w:val="0"/>
        </w:rPr>
        <w:t xml:space="preserve"> or a dentist.</w:t>
      </w:r>
    </w:p>
    <w:p>
      <w:pPr>
        <w:pStyle w:val="Subsection"/>
        <w:spacing w:before="120"/>
        <w:rPr>
          <w:snapToGrid w:val="0"/>
        </w:rPr>
      </w:pPr>
      <w:r>
        <w:rPr>
          <w:snapToGrid w:val="0"/>
        </w:rPr>
        <w:tab/>
        <w:t>(2)</w:t>
      </w:r>
      <w:r>
        <w:rPr>
          <w:snapToGrid w:val="0"/>
        </w:rPr>
        <w:tab/>
        <w:t>A medical practitioner</w:t>
      </w:r>
      <w:r>
        <w:t>, nurse practitioner</w:t>
      </w:r>
      <w:r>
        <w:rPr>
          <w:snapToGrid w:val="0"/>
        </w:rPr>
        <w:t xml:space="preserve"> or dentist 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amended by Act No. 9 of 2003 s. 47.]</w:t>
      </w:r>
    </w:p>
    <w:p>
      <w:pPr>
        <w:pStyle w:val="Ednotedivision"/>
        <w:spacing w:before="160"/>
      </w:pPr>
      <w:r>
        <w:rPr>
          <w:snapToGrid/>
        </w:rPr>
        <w:t>[Heading deleted in Gazette 12 Aug 2003 p. 3663.]</w:t>
      </w:r>
    </w:p>
    <w:p>
      <w:pPr>
        <w:pStyle w:val="Ednotesection"/>
        <w:spacing w:before="180"/>
        <w:ind w:left="890" w:hanging="890"/>
      </w:pPr>
      <w:r>
        <w:t>[</w:t>
      </w:r>
      <w:r>
        <w:rPr>
          <w:b/>
        </w:rPr>
        <w:t>38B.</w:t>
      </w:r>
      <w:r>
        <w:rPr>
          <w:b/>
        </w:rPr>
        <w:tab/>
      </w:r>
      <w:r>
        <w:t xml:space="preserve">Deleted in Gazette 24 Jun 1994 p. 2867.] </w:t>
      </w:r>
    </w:p>
    <w:p>
      <w:pPr>
        <w:pStyle w:val="Ednotedivision"/>
        <w:spacing w:before="160"/>
      </w:pPr>
      <w:r>
        <w:t>[Heading deleted in Gazette 12 Aug 2003 p. 3663.]</w:t>
      </w:r>
    </w:p>
    <w:p>
      <w:pPr>
        <w:pStyle w:val="Heading5"/>
        <w:spacing w:before="180"/>
        <w:rPr>
          <w:snapToGrid w:val="0"/>
        </w:rPr>
      </w:pPr>
      <w:bookmarkStart w:id="78" w:name="_Toc389746707"/>
      <w:r>
        <w:rPr>
          <w:rStyle w:val="CharSectno"/>
        </w:rPr>
        <w:t>38C</w:t>
      </w:r>
      <w:r>
        <w:rPr>
          <w:snapToGrid w:val="0"/>
        </w:rPr>
        <w:t>.</w:t>
      </w:r>
      <w:r>
        <w:rPr>
          <w:snapToGrid w:val="0"/>
        </w:rPr>
        <w:tab/>
        <w:t>Clomiphene and cyclofenil</w:t>
      </w:r>
      <w:bookmarkEnd w:id="78"/>
      <w:r>
        <w:rPr>
          <w:snapToGrid w:val="0"/>
        </w:rPr>
        <w:t xml:space="preserve"> </w:t>
      </w:r>
    </w:p>
    <w:p>
      <w:pPr>
        <w:pStyle w:val="Subsection"/>
        <w:spacing w:before="120"/>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spacing w:before="60"/>
        <w:rPr>
          <w:snapToGrid w:val="0"/>
        </w:rPr>
      </w:pPr>
      <w:r>
        <w:rPr>
          <w:snapToGrid w:val="0"/>
        </w:rPr>
        <w:tab/>
        <w:t>(a)</w:t>
      </w:r>
      <w:r>
        <w:rPr>
          <w:snapToGrid w:val="0"/>
        </w:rPr>
        <w:tab/>
        <w:t>by a gynaecologist or obstetrician;</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spacing w:before="180"/>
      </w:pPr>
      <w:r>
        <w:t>[Heading deleted in Gazette 12 Aug 2003 p. 3663.]</w:t>
      </w:r>
    </w:p>
    <w:p>
      <w:pPr>
        <w:pStyle w:val="Heading5"/>
        <w:rPr>
          <w:snapToGrid w:val="0"/>
        </w:rPr>
      </w:pPr>
      <w:bookmarkStart w:id="79" w:name="_Toc389746708"/>
      <w:r>
        <w:rPr>
          <w:rStyle w:val="CharSectno"/>
        </w:rPr>
        <w:t>38D</w:t>
      </w:r>
      <w:r>
        <w:rPr>
          <w:snapToGrid w:val="0"/>
        </w:rPr>
        <w:t>.</w:t>
      </w:r>
      <w:r>
        <w:rPr>
          <w:snapToGrid w:val="0"/>
        </w:rPr>
        <w:tab/>
        <w:t>Etretinate or acitretin</w:t>
      </w:r>
      <w:bookmarkEnd w:id="79"/>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180"/>
      </w:pPr>
      <w:r>
        <w:t>[Heading deleted in Gazette 12 Aug 2003 p. 3663.]</w:t>
      </w:r>
    </w:p>
    <w:p>
      <w:pPr>
        <w:pStyle w:val="Heading5"/>
        <w:spacing w:before="260"/>
        <w:rPr>
          <w:snapToGrid w:val="0"/>
        </w:rPr>
      </w:pPr>
      <w:bookmarkStart w:id="80" w:name="_Toc389746709"/>
      <w:r>
        <w:rPr>
          <w:rStyle w:val="CharSectno"/>
        </w:rPr>
        <w:t>38E</w:t>
      </w:r>
      <w:r>
        <w:rPr>
          <w:snapToGrid w:val="0"/>
        </w:rPr>
        <w:t>.</w:t>
      </w:r>
      <w:r>
        <w:rPr>
          <w:snapToGrid w:val="0"/>
        </w:rPr>
        <w:tab/>
        <w:t>Prostaglandins</w:t>
      </w:r>
      <w:bookmarkEnd w:id="80"/>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spacing w:before="100"/>
        <w:rPr>
          <w:snapToGrid w:val="0"/>
        </w:rPr>
      </w:pPr>
      <w:r>
        <w:rPr>
          <w:snapToGrid w:val="0"/>
        </w:rPr>
        <w:tab/>
        <w:t>(a)</w:t>
      </w:r>
      <w:r>
        <w:rPr>
          <w:snapToGrid w:val="0"/>
        </w:rPr>
        <w:tab/>
        <w:t>by a veterinary surgeon for use in the treatment of animals; or</w:t>
      </w:r>
    </w:p>
    <w:p>
      <w:pPr>
        <w:pStyle w:val="Indenta"/>
        <w:spacing w:before="100"/>
        <w:rPr>
          <w:snapToGrid w:val="0"/>
        </w:rPr>
      </w:pPr>
      <w:r>
        <w:rPr>
          <w:snapToGrid w:val="0"/>
        </w:rPr>
        <w:tab/>
        <w:t>(b)</w:t>
      </w:r>
      <w:r>
        <w:rPr>
          <w:snapToGrid w:val="0"/>
        </w:rPr>
        <w:tab/>
        <w:t>in the case of dinoprost or dinoprostone or a substance containing dinoprost or dinoprostone — </w:t>
      </w:r>
    </w:p>
    <w:p>
      <w:pPr>
        <w:pStyle w:val="Indenti"/>
        <w:spacing w:before="100"/>
        <w:rPr>
          <w:snapToGrid w:val="0"/>
        </w:rPr>
      </w:pPr>
      <w:r>
        <w:rPr>
          <w:snapToGrid w:val="0"/>
        </w:rPr>
        <w:tab/>
        <w:t>(i)</w:t>
      </w:r>
      <w:r>
        <w:rPr>
          <w:snapToGrid w:val="0"/>
        </w:rPr>
        <w:tab/>
        <w:t>by a physician, gynaecologist or obstetrician; or</w:t>
      </w:r>
    </w:p>
    <w:p>
      <w:pPr>
        <w:pStyle w:val="Indenti"/>
        <w:keepNext/>
        <w:keepLines/>
        <w:spacing w:before="100"/>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 xml:space="preserve">[Regulation 38E inserted in Gazette 2 Jun 1989 p. 1604; amended in Gazette 16 Apr 1992 p. 1635; 25 Jun 1993 p. 3085; 26 May 1994 p. 2201; 11 Apr 1997 p. 1830; 15 Dec 2006 p. 5630-1.] </w:t>
      </w:r>
    </w:p>
    <w:p>
      <w:pPr>
        <w:pStyle w:val="Ednotedivision"/>
        <w:spacing w:before="260"/>
      </w:pPr>
      <w:r>
        <w:t>[Heading deleted in Gazette 12 Aug 2003 p. 3663.]</w:t>
      </w:r>
    </w:p>
    <w:p>
      <w:pPr>
        <w:pStyle w:val="Heading5"/>
        <w:spacing w:before="260"/>
      </w:pPr>
      <w:bookmarkStart w:id="81" w:name="_Toc389746710"/>
      <w:r>
        <w:rPr>
          <w:rStyle w:val="CharSectno"/>
        </w:rPr>
        <w:t>38F</w:t>
      </w:r>
      <w:r>
        <w:t>.</w:t>
      </w:r>
      <w:r>
        <w:tab/>
        <w:t>Isotr</w:t>
      </w:r>
      <w:r>
        <w:rPr>
          <w:b w:val="0"/>
          <w:snapToGrid w:val="0"/>
        </w:rPr>
        <w:t>e</w:t>
      </w:r>
      <w:r>
        <w:t>tinoin</w:t>
      </w:r>
      <w:bookmarkEnd w:id="81"/>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r>
        <w:t>[</w:t>
      </w:r>
      <w:r>
        <w:rPr>
          <w:snapToGrid/>
        </w:rPr>
        <w:t>Heading deleted in Gazette 12 Aug 2003 p. 3663.]</w:t>
      </w:r>
    </w:p>
    <w:p>
      <w:pPr>
        <w:pStyle w:val="Heading5"/>
        <w:spacing w:before="260"/>
        <w:rPr>
          <w:snapToGrid w:val="0"/>
        </w:rPr>
      </w:pPr>
      <w:bookmarkStart w:id="82" w:name="_Toc389746711"/>
      <w:r>
        <w:rPr>
          <w:rStyle w:val="CharSectno"/>
        </w:rPr>
        <w:t>38G</w:t>
      </w:r>
      <w:r>
        <w:rPr>
          <w:snapToGrid w:val="0"/>
        </w:rPr>
        <w:t>.</w:t>
      </w:r>
      <w:r>
        <w:rPr>
          <w:snapToGrid w:val="0"/>
        </w:rPr>
        <w:tab/>
        <w:t>Thalidomide for human use</w:t>
      </w:r>
      <w:bookmarkEnd w:id="82"/>
      <w:r>
        <w:rPr>
          <w:snapToGrid w:val="0"/>
        </w:rPr>
        <w:t xml:space="preserve"> </w:t>
      </w:r>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outlineLvl w:val="0"/>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r>
        <w:t>[Heading deleted in Gazette 12 Aug 2003 p. 3663.]</w:t>
      </w:r>
    </w:p>
    <w:p>
      <w:pPr>
        <w:pStyle w:val="Heading5"/>
        <w:spacing w:before="180"/>
        <w:rPr>
          <w:snapToGrid w:val="0"/>
        </w:rPr>
      </w:pPr>
      <w:bookmarkStart w:id="83" w:name="_Toc389746712"/>
      <w:r>
        <w:rPr>
          <w:rStyle w:val="CharSectno"/>
        </w:rPr>
        <w:t>38H</w:t>
      </w:r>
      <w:r>
        <w:rPr>
          <w:snapToGrid w:val="0"/>
        </w:rPr>
        <w:t>.</w:t>
      </w:r>
      <w:r>
        <w:rPr>
          <w:snapToGrid w:val="0"/>
        </w:rPr>
        <w:tab/>
        <w:t>Chloramphenicol</w:t>
      </w:r>
      <w:bookmarkEnd w:id="83"/>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spacing w:before="180"/>
        <w:rPr>
          <w:snapToGrid w:val="0"/>
        </w:rPr>
      </w:pPr>
      <w:bookmarkStart w:id="84" w:name="_Toc389746713"/>
      <w:r>
        <w:rPr>
          <w:rStyle w:val="CharSectno"/>
        </w:rPr>
        <w:t>38I</w:t>
      </w:r>
      <w:r>
        <w:rPr>
          <w:snapToGrid w:val="0"/>
        </w:rPr>
        <w:t>.</w:t>
      </w:r>
      <w:r>
        <w:rPr>
          <w:snapToGrid w:val="0"/>
        </w:rPr>
        <w:tab/>
        <w:t>Follicular stimulating hormone and luteinising hormone</w:t>
      </w:r>
      <w:bookmarkEnd w:id="84"/>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spacing w:before="180"/>
        <w:rPr>
          <w:snapToGrid w:val="0"/>
        </w:rPr>
      </w:pPr>
      <w:bookmarkStart w:id="85" w:name="_Toc389746714"/>
      <w:r>
        <w:rPr>
          <w:rStyle w:val="CharSectno"/>
        </w:rPr>
        <w:t>38K</w:t>
      </w:r>
      <w:r>
        <w:rPr>
          <w:snapToGrid w:val="0"/>
        </w:rPr>
        <w:t>.</w:t>
      </w:r>
      <w:r>
        <w:rPr>
          <w:snapToGrid w:val="0"/>
        </w:rPr>
        <w:tab/>
        <w:t>Carnidazole</w:t>
      </w:r>
      <w:bookmarkEnd w:id="85"/>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86" w:name="_Toc389746715"/>
      <w:r>
        <w:rPr>
          <w:rStyle w:val="CharSectno"/>
        </w:rPr>
        <w:t>38L</w:t>
      </w:r>
      <w:r>
        <w:rPr>
          <w:snapToGrid w:val="0"/>
        </w:rPr>
        <w:t>.</w:t>
      </w:r>
      <w:r>
        <w:rPr>
          <w:snapToGrid w:val="0"/>
        </w:rPr>
        <w:tab/>
        <w:t>Oxolinic acid</w:t>
      </w:r>
      <w:bookmarkEnd w:id="86"/>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spacing w:before="80"/>
        <w:ind w:left="890" w:hanging="890"/>
      </w:pPr>
      <w:r>
        <w:tab/>
        <w:t>[Regulation 38L inserted in Gazette 13 Dec 1991 p. 6191; amended in Gazette 11 Apr 1997 p. 1831.]</w:t>
      </w:r>
    </w:p>
    <w:p>
      <w:pPr>
        <w:pStyle w:val="Heading5"/>
        <w:spacing w:before="180"/>
        <w:rPr>
          <w:snapToGrid w:val="0"/>
        </w:rPr>
      </w:pPr>
      <w:bookmarkStart w:id="87" w:name="_Toc389746716"/>
      <w:r>
        <w:rPr>
          <w:rStyle w:val="CharSectno"/>
        </w:rPr>
        <w:t>38M</w:t>
      </w:r>
      <w:r>
        <w:rPr>
          <w:snapToGrid w:val="0"/>
        </w:rPr>
        <w:t>.</w:t>
      </w:r>
      <w:r>
        <w:rPr>
          <w:snapToGrid w:val="0"/>
        </w:rPr>
        <w:tab/>
        <w:t>Clozapine</w:t>
      </w:r>
      <w:bookmarkEnd w:id="87"/>
      <w:r>
        <w:rPr>
          <w:snapToGrid w:val="0"/>
        </w:rPr>
        <w:t xml:space="preserve"> </w:t>
      </w:r>
    </w:p>
    <w:p>
      <w:pPr>
        <w:pStyle w:val="Subsection"/>
        <w:spacing w:before="120"/>
        <w:rPr>
          <w:snapToGrid w:val="0"/>
        </w:rPr>
      </w:pPr>
      <w:r>
        <w:rPr>
          <w:snapToGrid w:val="0"/>
        </w:rPr>
        <w:tab/>
      </w:r>
      <w:r>
        <w:rPr>
          <w:snapToGrid w:val="0"/>
        </w:rPr>
        <w:tab/>
        <w:t>Clozapine or a substance containing clozapine shall not be prescribed except — </w:t>
      </w:r>
    </w:p>
    <w:p>
      <w:pPr>
        <w:pStyle w:val="Indenta"/>
        <w:spacing w:before="60"/>
        <w:rPr>
          <w:snapToGrid w:val="0"/>
        </w:rPr>
      </w:pPr>
      <w:r>
        <w:rPr>
          <w:snapToGrid w:val="0"/>
        </w:rPr>
        <w:tab/>
        <w:t>(a)</w:t>
      </w:r>
      <w:r>
        <w:rPr>
          <w:snapToGrid w:val="0"/>
        </w:rPr>
        <w:tab/>
        <w:t>by a psychiatrist; or</w:t>
      </w:r>
    </w:p>
    <w:p>
      <w:pPr>
        <w:pStyle w:val="Indenta"/>
        <w:spacing w:before="60"/>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spacing w:before="80"/>
        <w:ind w:left="890" w:hanging="890"/>
      </w:pPr>
      <w:r>
        <w:tab/>
        <w:t xml:space="preserve">[Regulation 38M inserted in Gazette 24 Jun 1994 p. 2868; amended in Gazette 19 Mar 1996 p. 1223; 11 Apr 1997 p. 1831; 27 Nov 1998 p. 6344; 15 Dec 2006 p. 5630-1.] </w:t>
      </w:r>
    </w:p>
    <w:p>
      <w:pPr>
        <w:pStyle w:val="Heading5"/>
        <w:spacing w:before="180"/>
        <w:rPr>
          <w:snapToGrid w:val="0"/>
        </w:rPr>
      </w:pPr>
      <w:bookmarkStart w:id="88" w:name="_Toc389746717"/>
      <w:r>
        <w:rPr>
          <w:rStyle w:val="CharSectno"/>
        </w:rPr>
        <w:t>38N</w:t>
      </w:r>
      <w:r>
        <w:rPr>
          <w:snapToGrid w:val="0"/>
        </w:rPr>
        <w:t>.</w:t>
      </w:r>
      <w:r>
        <w:rPr>
          <w:snapToGrid w:val="0"/>
        </w:rPr>
        <w:tab/>
        <w:t>Nitrofuran derivatives</w:t>
      </w:r>
      <w:bookmarkEnd w:id="88"/>
      <w:r>
        <w:rPr>
          <w:snapToGrid w:val="0"/>
        </w:rPr>
        <w:t xml:space="preserve"> </w:t>
      </w:r>
    </w:p>
    <w:p>
      <w:pPr>
        <w:pStyle w:val="Subsection"/>
        <w:spacing w:before="120"/>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spacing w:before="60"/>
        <w:rPr>
          <w:snapToGrid w:val="0"/>
        </w:rPr>
      </w:pPr>
      <w:r>
        <w:rPr>
          <w:snapToGrid w:val="0"/>
        </w:rPr>
        <w:tab/>
        <w:t>(a)</w:t>
      </w:r>
      <w:r>
        <w:rPr>
          <w:snapToGrid w:val="0"/>
        </w:rPr>
        <w:tab/>
        <w:t>by a medical practitioner for human use; or</w:t>
      </w:r>
    </w:p>
    <w:p>
      <w:pPr>
        <w:pStyle w:val="Indenta"/>
        <w:spacing w:before="60"/>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spacing w:before="80"/>
        <w:ind w:left="890" w:hanging="890"/>
        <w:rPr>
          <w:spacing w:val="-5"/>
        </w:rPr>
      </w:pPr>
      <w:r>
        <w:tab/>
      </w:r>
      <w:r>
        <w:rPr>
          <w:spacing w:val="-5"/>
        </w:rPr>
        <w:t>[Regulation 38N inserted in Gazette 24 Jun 1994 p. 2868; amended in Gazette 19 Mar 1996 p. 1223; 11 Apr 1997 p. 1831</w:t>
      </w:r>
      <w:r>
        <w:rPr>
          <w:spacing w:val="-5"/>
        </w:rPr>
        <w:noBreakHyphen/>
        <w:t>2.]</w:t>
      </w:r>
    </w:p>
    <w:p>
      <w:pPr>
        <w:pStyle w:val="Heading5"/>
        <w:spacing w:before="260"/>
      </w:pPr>
      <w:bookmarkStart w:id="89" w:name="_Toc389746718"/>
      <w:r>
        <w:rPr>
          <w:rStyle w:val="CharSectno"/>
        </w:rPr>
        <w:t>38O</w:t>
      </w:r>
      <w:r>
        <w:t>.</w:t>
      </w:r>
      <w:r>
        <w:tab/>
        <w:t>Bosentan for human use</w:t>
      </w:r>
      <w:bookmarkEnd w:id="89"/>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outlineLvl w:val="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5630-1.]</w:t>
      </w:r>
    </w:p>
    <w:p>
      <w:pPr>
        <w:pStyle w:val="Heading5"/>
      </w:pPr>
      <w:bookmarkStart w:id="90" w:name="_Toc389746719"/>
      <w:r>
        <w:rPr>
          <w:rStyle w:val="CharSectno"/>
        </w:rPr>
        <w:t>38P</w:t>
      </w:r>
      <w:r>
        <w:t>.</w:t>
      </w:r>
      <w:r>
        <w:tab/>
        <w:t>Teriparatide for human use</w:t>
      </w:r>
      <w:bookmarkEnd w:id="90"/>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5630-1.]</w:t>
      </w:r>
    </w:p>
    <w:p>
      <w:pPr>
        <w:pStyle w:val="Ednotedivision"/>
      </w:pPr>
      <w:r>
        <w:t>[Heading deleted in Gazette 12 Aug 2003 p. 3663.]</w:t>
      </w:r>
    </w:p>
    <w:p>
      <w:pPr>
        <w:pStyle w:val="Heading5"/>
        <w:rPr>
          <w:snapToGrid w:val="0"/>
        </w:rPr>
      </w:pPr>
      <w:bookmarkStart w:id="91" w:name="_Toc389746720"/>
      <w:r>
        <w:rPr>
          <w:rStyle w:val="CharSectno"/>
        </w:rPr>
        <w:t>39</w:t>
      </w:r>
      <w:r>
        <w:rPr>
          <w:snapToGrid w:val="0"/>
        </w:rPr>
        <w:t>.</w:t>
      </w:r>
      <w:r>
        <w:rPr>
          <w:snapToGrid w:val="0"/>
        </w:rPr>
        <w:tab/>
        <w:t>Veterinary use of poisons included in Schedule 4</w:t>
      </w:r>
      <w:bookmarkEnd w:id="91"/>
      <w:r>
        <w:rPr>
          <w:snapToGrid w:val="0"/>
        </w:rPr>
        <w:t xml:space="preserve"> </w:t>
      </w:r>
    </w:p>
    <w:p>
      <w:pPr>
        <w:pStyle w:val="Subsection"/>
        <w:spacing w:before="140"/>
        <w:rPr>
          <w:snapToGrid w:val="0"/>
        </w:rPr>
      </w:pPr>
      <w:r>
        <w:rPr>
          <w:snapToGrid w:val="0"/>
        </w:rPr>
        <w:tab/>
        <w:t>(1)</w:t>
      </w:r>
      <w:r>
        <w:rPr>
          <w:snapToGrid w:val="0"/>
        </w:rPr>
        <w:tab/>
        <w:t>Notwithstanding the provisions of regulation 36 a pharmaceutical chemist is authorised to supply for veterinary use a poison included in Schedule 4 listed in Appendix H without a prescription where — </w:t>
      </w:r>
    </w:p>
    <w:p>
      <w:pPr>
        <w:pStyle w:val="Indenta"/>
        <w:spacing w:before="60"/>
        <w:rPr>
          <w:snapToGrid w:val="0"/>
        </w:rPr>
      </w:pPr>
      <w:r>
        <w:rPr>
          <w:snapToGrid w:val="0"/>
        </w:rPr>
        <w:tab/>
        <w:t>(a)</w:t>
      </w:r>
      <w:r>
        <w:rPr>
          <w:snapToGrid w:val="0"/>
        </w:rPr>
        <w:tab/>
        <w:t>the purchaser satisfies such pharmaceutical chemist that it is not reasonably practicable for him to obtain such a prescription;</w:t>
      </w:r>
    </w:p>
    <w:p>
      <w:pPr>
        <w:pStyle w:val="Indenta"/>
        <w:spacing w:before="60"/>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w:t>
      </w:r>
    </w:p>
    <w:p>
      <w:pPr>
        <w:pStyle w:val="Indenta"/>
        <w:spacing w:before="60"/>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spacing w:before="60"/>
        <w:rPr>
          <w:snapToGrid w:val="0"/>
        </w:rPr>
      </w:pPr>
      <w:r>
        <w:rPr>
          <w:snapToGrid w:val="0"/>
        </w:rPr>
        <w:tab/>
        <w:t>(d)</w:t>
      </w:r>
      <w:r>
        <w:rPr>
          <w:snapToGrid w:val="0"/>
        </w:rPr>
        <w:tab/>
        <w:t>the pharmaceutical chemist provides adequate written instructions for the use of the poison.</w:t>
      </w:r>
    </w:p>
    <w:p>
      <w:pPr>
        <w:pStyle w:val="Ednotesubsection"/>
        <w:spacing w:before="120"/>
      </w:pPr>
      <w:r>
        <w:tab/>
        <w:t>[(2)</w:t>
      </w:r>
      <w:r>
        <w:tab/>
        <w:t>deleted]</w:t>
      </w:r>
    </w:p>
    <w:p>
      <w:pPr>
        <w:pStyle w:val="Footnotesection"/>
        <w:keepLines w:val="0"/>
      </w:pPr>
      <w:r>
        <w:tab/>
        <w:t>[Regulation 39 inserted in Gazette 26 Aug 1977 p. 2966; amended in Gazette 2 Oct 1987 p. 3776; 19 Mar 1996 p. 1223</w:t>
      </w:r>
      <w:r>
        <w:noBreakHyphen/>
        <w:t>4.]</w:t>
      </w:r>
    </w:p>
    <w:p>
      <w:pPr>
        <w:pStyle w:val="Heading5"/>
        <w:rPr>
          <w:snapToGrid w:val="0"/>
        </w:rPr>
      </w:pPr>
      <w:bookmarkStart w:id="92" w:name="_Toc389746721"/>
      <w:r>
        <w:rPr>
          <w:rStyle w:val="CharSectno"/>
        </w:rPr>
        <w:t>39A</w:t>
      </w:r>
      <w:r>
        <w:rPr>
          <w:snapToGrid w:val="0"/>
        </w:rPr>
        <w:t>.</w:t>
      </w:r>
      <w:r>
        <w:rPr>
          <w:snapToGrid w:val="0"/>
        </w:rPr>
        <w:tab/>
        <w:t>Stockfeed manufacturers may sell poisons included in Schedule 4</w:t>
      </w:r>
      <w:bookmarkEnd w:id="92"/>
      <w:r>
        <w:rPr>
          <w:snapToGrid w:val="0"/>
        </w:rPr>
        <w:t xml:space="preserve"> </w:t>
      </w:r>
    </w:p>
    <w:p>
      <w:pPr>
        <w:pStyle w:val="Subsection"/>
        <w:spacing w:before="140"/>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spacing w:before="120"/>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spacing w:before="120"/>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spacing w:before="80"/>
        <w:ind w:left="890" w:hanging="890"/>
      </w:pPr>
      <w:r>
        <w:tab/>
        <w:t>[Regulation 39A inserted in Gazette 5 Oct 1979 p. 3085; amended in Gazette 29 Jun 1984 p. 1784; 25 Jun 1993 p. 3085; 26 May 1994 p. 2201; 19 Mar 1996 p. 1224; 15 Dec 2006 p. 5630-1.]</w:t>
      </w:r>
    </w:p>
    <w:p>
      <w:pPr>
        <w:pStyle w:val="Heading5"/>
      </w:pPr>
      <w:bookmarkStart w:id="93" w:name="_Toc389746722"/>
      <w:r>
        <w:rPr>
          <w:rStyle w:val="CharSectno"/>
        </w:rPr>
        <w:t>39BA</w:t>
      </w:r>
      <w:r>
        <w:t>.</w:t>
      </w:r>
      <w:r>
        <w:tab/>
        <w:t>Use of poisons included in Schedule 4 on certificated commercial vessels</w:t>
      </w:r>
      <w:bookmarkEnd w:id="93"/>
    </w:p>
    <w:p>
      <w:pPr>
        <w:pStyle w:val="Subsection"/>
        <w:spacing w:before="120"/>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spacing w:before="120"/>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20"/>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94" w:name="_Toc389746723"/>
      <w:r>
        <w:rPr>
          <w:rStyle w:val="CharSectno"/>
        </w:rPr>
        <w:t>39BB</w:t>
      </w:r>
      <w:r>
        <w:t>.</w:t>
      </w:r>
      <w:r>
        <w:tab/>
        <w:t>Use of poisons included in Schedule 4 on racing yachts</w:t>
      </w:r>
      <w:bookmarkEnd w:id="94"/>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95" w:name="_Toc389746724"/>
      <w:r>
        <w:rPr>
          <w:rStyle w:val="CharSectno"/>
        </w:rPr>
        <w:t>39B</w:t>
      </w:r>
      <w:r>
        <w:rPr>
          <w:snapToGrid w:val="0"/>
        </w:rPr>
        <w:t>.</w:t>
      </w:r>
      <w:r>
        <w:rPr>
          <w:snapToGrid w:val="0"/>
        </w:rPr>
        <w:tab/>
        <w:t>Use of poisons included in Schedule 4 on ships and aircraft</w:t>
      </w:r>
      <w:bookmarkEnd w:id="95"/>
      <w:r>
        <w:rPr>
          <w:snapToGrid w:val="0"/>
        </w:rPr>
        <w:t xml:space="preserve"> </w:t>
      </w:r>
    </w:p>
    <w:p>
      <w:pPr>
        <w:pStyle w:val="Subsection"/>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if the ship is registered in Australia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the ship is not registered in Australia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96" w:name="_Toc389746725"/>
      <w:r>
        <w:rPr>
          <w:rStyle w:val="CharSectno"/>
        </w:rPr>
        <w:t>39C</w:t>
      </w:r>
      <w:r>
        <w:t>.</w:t>
      </w:r>
      <w:r>
        <w:tab/>
        <w:t>Use of poisons included in Schedule 4 on ships carrying livestock</w:t>
      </w:r>
      <w:bookmarkEnd w:id="96"/>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97" w:name="_Toc389746726"/>
      <w:r>
        <w:rPr>
          <w:rStyle w:val="CharSectno"/>
        </w:rPr>
        <w:t>40</w:t>
      </w:r>
      <w:r>
        <w:rPr>
          <w:snapToGrid w:val="0"/>
        </w:rPr>
        <w:t>.</w:t>
      </w:r>
      <w:r>
        <w:rPr>
          <w:snapToGrid w:val="0"/>
        </w:rPr>
        <w:tab/>
        <w:t>Special authority to purchase poisons included in Schedule 4</w:t>
      </w:r>
      <w:bookmarkEnd w:id="97"/>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 pharmaceutical chemist;</w:t>
      </w:r>
    </w:p>
    <w:p>
      <w:pPr>
        <w:pStyle w:val="Indenta"/>
        <w:rPr>
          <w:snapToGrid w:val="0"/>
        </w:rPr>
      </w:pPr>
      <w:r>
        <w:rPr>
          <w:snapToGrid w:val="0"/>
        </w:rPr>
        <w:tab/>
        <w:t>(c)</w:t>
      </w:r>
      <w:r>
        <w:rPr>
          <w:snapToGrid w:val="0"/>
        </w:rPr>
        <w:tab/>
        <w:t>a dentist;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outlineLvl w:val="0"/>
        <w:rPr>
          <w:b/>
        </w:rPr>
      </w:pPr>
      <w:r>
        <w:rPr>
          <w:b/>
        </w:rP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60"/>
              <w:rPr>
                <w:snapToGrid w:val="0"/>
              </w:rPr>
            </w:pPr>
            <w:r>
              <w:rPr>
                <w:snapToGrid w:val="0"/>
              </w:rPr>
              <w:t>regulation 38C</w:t>
            </w:r>
          </w:p>
        </w:tc>
        <w:tc>
          <w:tcPr>
            <w:tcW w:w="1985" w:type="dxa"/>
          </w:tcPr>
          <w:p>
            <w:pPr>
              <w:pStyle w:val="TableNAm"/>
              <w:spacing w:before="60"/>
              <w:rPr>
                <w:snapToGrid w:val="0"/>
              </w:rPr>
            </w:pPr>
            <w:r>
              <w:rPr>
                <w:snapToGrid w:val="0"/>
              </w:rPr>
              <w:t>regulation 38G</w:t>
            </w:r>
          </w:p>
        </w:tc>
      </w:tr>
      <w:tr>
        <w:trPr>
          <w:jc w:val="center"/>
        </w:trPr>
        <w:tc>
          <w:tcPr>
            <w:tcW w:w="2234" w:type="dxa"/>
          </w:tcPr>
          <w:p>
            <w:pPr>
              <w:pStyle w:val="TableNAm"/>
              <w:spacing w:before="60"/>
              <w:rPr>
                <w:snapToGrid w:val="0"/>
              </w:rPr>
            </w:pPr>
            <w:r>
              <w:rPr>
                <w:snapToGrid w:val="0"/>
              </w:rPr>
              <w:t>regulation 38D</w:t>
            </w:r>
          </w:p>
        </w:tc>
        <w:tc>
          <w:tcPr>
            <w:tcW w:w="1985" w:type="dxa"/>
          </w:tcPr>
          <w:p>
            <w:pPr>
              <w:pStyle w:val="TableNAm"/>
              <w:spacing w:before="60"/>
              <w:rPr>
                <w:snapToGrid w:val="0"/>
              </w:rPr>
            </w:pPr>
            <w:r>
              <w:rPr>
                <w:snapToGrid w:val="0"/>
              </w:rPr>
              <w:t>regulation 38I</w:t>
            </w:r>
          </w:p>
        </w:tc>
      </w:tr>
      <w:tr>
        <w:trPr>
          <w:jc w:val="center"/>
        </w:trPr>
        <w:tc>
          <w:tcPr>
            <w:tcW w:w="2234" w:type="dxa"/>
          </w:tcPr>
          <w:p>
            <w:pPr>
              <w:pStyle w:val="TableNAm"/>
              <w:spacing w:before="60"/>
              <w:rPr>
                <w:snapToGrid w:val="0"/>
              </w:rPr>
            </w:pPr>
            <w:r>
              <w:rPr>
                <w:snapToGrid w:val="0"/>
              </w:rPr>
              <w:t>regulation 38E</w:t>
            </w:r>
          </w:p>
        </w:tc>
        <w:tc>
          <w:tcPr>
            <w:tcW w:w="1985" w:type="dxa"/>
          </w:tcPr>
          <w:p>
            <w:pPr>
              <w:pStyle w:val="TableNAm"/>
              <w:spacing w:before="60"/>
              <w:rPr>
                <w:snapToGrid w:val="0"/>
              </w:rPr>
            </w:pPr>
            <w:r>
              <w:rPr>
                <w:snapToGrid w:val="0"/>
              </w:rPr>
              <w:t>regulation 38M</w:t>
            </w:r>
          </w:p>
        </w:tc>
      </w:tr>
      <w:tr>
        <w:trPr>
          <w:jc w:val="center"/>
        </w:trPr>
        <w:tc>
          <w:tcPr>
            <w:tcW w:w="2234" w:type="dxa"/>
          </w:tcPr>
          <w:p>
            <w:pPr>
              <w:pStyle w:val="TableNAm"/>
              <w:spacing w:before="60"/>
              <w:rPr>
                <w:snapToGrid w:val="0"/>
              </w:rPr>
            </w:pPr>
            <w:r>
              <w:rPr>
                <w:snapToGrid w:val="0"/>
              </w:rPr>
              <w:t>regulation 38F</w:t>
            </w:r>
          </w:p>
        </w:tc>
        <w:tc>
          <w:tcPr>
            <w:tcW w:w="1985" w:type="dxa"/>
          </w:tcPr>
          <w:p>
            <w:pPr>
              <w:pStyle w:val="TableNAm"/>
              <w:spacing w:before="60"/>
              <w:rPr>
                <w:snapToGrid w:val="0"/>
              </w:rPr>
            </w:pPr>
            <w:r>
              <w:rPr>
                <w:snapToGrid w:val="0"/>
              </w:rPr>
              <w:t>regulation 38O</w:t>
            </w:r>
          </w:p>
        </w:tc>
      </w:tr>
      <w:tr>
        <w:trPr>
          <w:jc w:val="center"/>
        </w:trPr>
        <w:tc>
          <w:tcPr>
            <w:tcW w:w="2234" w:type="dxa"/>
          </w:tcPr>
          <w:p>
            <w:pPr>
              <w:pStyle w:val="TableNAm"/>
              <w:spacing w:before="60"/>
              <w:rPr>
                <w:snapToGrid w:val="0"/>
              </w:rPr>
            </w:pPr>
          </w:p>
        </w:tc>
        <w:tc>
          <w:tcPr>
            <w:tcW w:w="1985" w:type="dxa"/>
          </w:tcPr>
          <w:p>
            <w:pPr>
              <w:pStyle w:val="TableNAm"/>
              <w:spacing w:before="60"/>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5630-1; amended by Act No. 9 of 2003 s. 48.]</w:t>
      </w:r>
    </w:p>
    <w:p>
      <w:pPr>
        <w:pStyle w:val="Ednotedivision"/>
      </w:pPr>
      <w:r>
        <w:t>[Heading deleted in Gazette 12 Aug 2003 p. 3663.]</w:t>
      </w:r>
    </w:p>
    <w:p>
      <w:pPr>
        <w:pStyle w:val="Heading5"/>
        <w:rPr>
          <w:snapToGrid w:val="0"/>
        </w:rPr>
      </w:pPr>
      <w:bookmarkStart w:id="98" w:name="_Toc389746727"/>
      <w:r>
        <w:rPr>
          <w:rStyle w:val="CharSectno"/>
        </w:rPr>
        <w:t>40A</w:t>
      </w:r>
      <w:r>
        <w:rPr>
          <w:snapToGrid w:val="0"/>
        </w:rPr>
        <w:t>.</w:t>
      </w:r>
      <w:r>
        <w:rPr>
          <w:snapToGrid w:val="0"/>
        </w:rPr>
        <w:tab/>
        <w:t>Delivery of a poison included in Schedule 4 on order</w:t>
      </w:r>
      <w:bookmarkEnd w:id="98"/>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99" w:name="_Toc389746728"/>
      <w:r>
        <w:rPr>
          <w:rStyle w:val="CharDivNo"/>
        </w:rPr>
        <w:t>Division 3 </w:t>
      </w:r>
      <w:r>
        <w:t xml:space="preserve">— </w:t>
      </w:r>
      <w:r>
        <w:rPr>
          <w:rStyle w:val="CharDivText"/>
        </w:rPr>
        <w:t>General</w:t>
      </w:r>
      <w:bookmarkEnd w:id="99"/>
    </w:p>
    <w:p>
      <w:pPr>
        <w:pStyle w:val="Footnoteheading"/>
        <w:rPr>
          <w:rStyle w:val="CharSectno"/>
        </w:rPr>
      </w:pPr>
      <w:r>
        <w:tab/>
        <w:t>[Heading inserted in Gazette 12 Aug 2003 p. 3664.]</w:t>
      </w:r>
    </w:p>
    <w:p>
      <w:pPr>
        <w:pStyle w:val="Heading5"/>
        <w:spacing w:before="260"/>
        <w:rPr>
          <w:snapToGrid w:val="0"/>
        </w:rPr>
      </w:pPr>
      <w:bookmarkStart w:id="100" w:name="_Toc389746729"/>
      <w:r>
        <w:rPr>
          <w:rStyle w:val="CharSectno"/>
        </w:rPr>
        <w:t>41</w:t>
      </w:r>
      <w:r>
        <w:rPr>
          <w:snapToGrid w:val="0"/>
        </w:rPr>
        <w:t>.</w:t>
      </w:r>
      <w:r>
        <w:rPr>
          <w:snapToGrid w:val="0"/>
        </w:rPr>
        <w:tab/>
        <w:t>Revocation notice in relation to poisons included in Schedule 6</w:t>
      </w:r>
      <w:bookmarkEnd w:id="100"/>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 xml:space="preserve">6; amended in Gazette 15 Dec 2006 p. 5630-1.] </w:t>
      </w:r>
    </w:p>
    <w:p>
      <w:pPr>
        <w:pStyle w:val="Ednotedivision"/>
        <w:spacing w:before="260"/>
      </w:pPr>
      <w:r>
        <w:t>[Heading deleted in Gazette 12 Aug 2003 p. 3663.]</w:t>
      </w:r>
    </w:p>
    <w:p>
      <w:pPr>
        <w:pStyle w:val="Heading5"/>
        <w:rPr>
          <w:snapToGrid w:val="0"/>
        </w:rPr>
      </w:pPr>
      <w:bookmarkStart w:id="101" w:name="_Toc389746730"/>
      <w:r>
        <w:rPr>
          <w:rStyle w:val="CharSectno"/>
        </w:rPr>
        <w:t>41A</w:t>
      </w:r>
      <w:r>
        <w:rPr>
          <w:snapToGrid w:val="0"/>
        </w:rPr>
        <w:t>.</w:t>
      </w:r>
      <w:r>
        <w:rPr>
          <w:snapToGrid w:val="0"/>
        </w:rPr>
        <w:tab/>
        <w:t>Sale of poisons included in Schedule 7</w:t>
      </w:r>
      <w:bookmarkEnd w:id="101"/>
      <w:r>
        <w:rPr>
          <w:snapToGrid w:val="0"/>
        </w:rPr>
        <w:t xml:space="preserve"> </w:t>
      </w:r>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w:t>
      </w:r>
    </w:p>
    <w:p>
      <w:pPr>
        <w:pStyle w:val="Indenta"/>
        <w:rPr>
          <w:snapToGrid w:val="0"/>
        </w:rPr>
      </w:pPr>
      <w:r>
        <w:rPr>
          <w:snapToGrid w:val="0"/>
        </w:rPr>
        <w:tab/>
        <w:t>(b)</w:t>
      </w:r>
      <w:r>
        <w:rPr>
          <w:snapToGrid w:val="0"/>
        </w:rPr>
        <w:tab/>
        <w:t>the name and address of the purchaser;</w:t>
      </w:r>
    </w:p>
    <w:p>
      <w:pPr>
        <w:pStyle w:val="Indenta"/>
        <w:rPr>
          <w:snapToGrid w:val="0"/>
        </w:rPr>
      </w:pPr>
      <w:r>
        <w:rPr>
          <w:snapToGrid w:val="0"/>
        </w:rPr>
        <w:tab/>
        <w:t>(c)</w:t>
      </w:r>
      <w:r>
        <w:rPr>
          <w:snapToGrid w:val="0"/>
        </w:rPr>
        <w:tab/>
        <w:t>the nature and quantity of the poison sold;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102" w:name="_Toc389746731"/>
      <w:r>
        <w:rPr>
          <w:rStyle w:val="CharSectno"/>
        </w:rPr>
        <w:t>41AA</w:t>
      </w:r>
      <w:r>
        <w:rPr>
          <w:snapToGrid w:val="0"/>
        </w:rPr>
        <w:t>.</w:t>
      </w:r>
      <w:r>
        <w:rPr>
          <w:snapToGrid w:val="0"/>
        </w:rPr>
        <w:tab/>
        <w:t>Standard for intramammary antibiotic preparations</w:t>
      </w:r>
      <w:bookmarkEnd w:id="102"/>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103" w:name="_Toc389746732"/>
      <w:r>
        <w:rPr>
          <w:rStyle w:val="CharSectno"/>
        </w:rPr>
        <w:t>41AB</w:t>
      </w:r>
      <w:r>
        <w:rPr>
          <w:snapToGrid w:val="0"/>
        </w:rPr>
        <w:t>.</w:t>
      </w:r>
      <w:r>
        <w:rPr>
          <w:snapToGrid w:val="0"/>
        </w:rPr>
        <w:tab/>
        <w:t>Camphor and naphthalene</w:t>
      </w:r>
      <w:bookmarkEnd w:id="103"/>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104" w:name="_Toc389746733"/>
      <w:r>
        <w:rPr>
          <w:rStyle w:val="CharSectno"/>
        </w:rPr>
        <w:t>41B</w:t>
      </w:r>
      <w:r>
        <w:rPr>
          <w:snapToGrid w:val="0"/>
        </w:rPr>
        <w:t>.</w:t>
      </w:r>
      <w:r>
        <w:rPr>
          <w:snapToGrid w:val="0"/>
        </w:rPr>
        <w:tab/>
        <w:t>Record of poisons included in Schedule 3, 4 or 7</w:t>
      </w:r>
      <w:bookmarkEnd w:id="104"/>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w:t>
      </w:r>
    </w:p>
    <w:p>
      <w:pPr>
        <w:pStyle w:val="Indenta"/>
        <w:rPr>
          <w:snapToGrid w:val="0"/>
        </w:rPr>
      </w:pPr>
      <w:r>
        <w:rPr>
          <w:snapToGrid w:val="0"/>
        </w:rPr>
        <w:tab/>
        <w:t>(b)</w:t>
      </w:r>
      <w:r>
        <w:rPr>
          <w:snapToGrid w:val="0"/>
        </w:rPr>
        <w:tab/>
        <w:t>the quantity, form and strength of the poison supplied;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spacing w:before="180"/>
        <w:rPr>
          <w:snapToGrid w:val="0"/>
        </w:rPr>
      </w:pPr>
      <w:bookmarkStart w:id="105" w:name="_Toc389746734"/>
      <w:r>
        <w:rPr>
          <w:rStyle w:val="CharSectno"/>
        </w:rPr>
        <w:t>41C</w:t>
      </w:r>
      <w:r>
        <w:rPr>
          <w:snapToGrid w:val="0"/>
        </w:rPr>
        <w:t>.</w:t>
      </w:r>
      <w:r>
        <w:rPr>
          <w:snapToGrid w:val="0"/>
        </w:rPr>
        <w:tab/>
        <w:t>Access to poisons included in Schedule 7</w:t>
      </w:r>
      <w:bookmarkEnd w:id="105"/>
      <w:r>
        <w:rPr>
          <w:snapToGrid w:val="0"/>
        </w:rPr>
        <w:t xml:space="preserve"> </w:t>
      </w:r>
    </w:p>
    <w:p>
      <w:pPr>
        <w:pStyle w:val="Subsection"/>
        <w:spacing w:before="80"/>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spacing w:before="60"/>
        <w:rPr>
          <w:snapToGrid w:val="0"/>
        </w:rPr>
      </w:pPr>
      <w:r>
        <w:rPr>
          <w:snapToGrid w:val="0"/>
        </w:rPr>
        <w:tab/>
        <w:t>(a)</w:t>
      </w:r>
      <w:r>
        <w:rPr>
          <w:snapToGrid w:val="0"/>
        </w:rPr>
        <w:tab/>
        <w:t>the owner of the business carried on on the premises where it is stored;</w:t>
      </w:r>
    </w:p>
    <w:p>
      <w:pPr>
        <w:pStyle w:val="Indenta"/>
        <w:spacing w:before="60"/>
        <w:rPr>
          <w:snapToGrid w:val="0"/>
        </w:rPr>
      </w:pPr>
      <w:r>
        <w:rPr>
          <w:snapToGrid w:val="0"/>
        </w:rPr>
        <w:tab/>
        <w:t>(b)</w:t>
      </w:r>
      <w:r>
        <w:rPr>
          <w:snapToGrid w:val="0"/>
        </w:rPr>
        <w:tab/>
        <w:t>a person employed on the premises where it is stored; or</w:t>
      </w:r>
    </w:p>
    <w:p>
      <w:pPr>
        <w:pStyle w:val="Indenta"/>
        <w:spacing w:before="60"/>
        <w:rPr>
          <w:snapToGrid w:val="0"/>
        </w:rPr>
      </w:pPr>
      <w:r>
        <w:rPr>
          <w:snapToGrid w:val="0"/>
        </w:rPr>
        <w:tab/>
        <w:t>(c)</w:t>
      </w:r>
      <w:r>
        <w:rPr>
          <w:snapToGrid w:val="0"/>
        </w:rPr>
        <w:tab/>
        <w:t>a person authorised to purchase substances included in Schedule 7 by notice given under section 24 of the Act.</w:t>
      </w:r>
    </w:p>
    <w:p>
      <w:pPr>
        <w:pStyle w:val="Footnotesection"/>
        <w:spacing w:before="80"/>
        <w:ind w:left="890" w:hanging="890"/>
      </w:pPr>
      <w:r>
        <w:tab/>
        <w:t>[Regulation 41C inserted in Gazette 24 Jun 1994 p. 2868</w:t>
      </w:r>
      <w:r>
        <w:noBreakHyphen/>
        <w:t xml:space="preserve">9; amended in Gazette 19 Mar 1996 p. 1227.] </w:t>
      </w:r>
    </w:p>
    <w:p>
      <w:pPr>
        <w:pStyle w:val="Heading5"/>
      </w:pPr>
      <w:bookmarkStart w:id="106" w:name="_Toc389746735"/>
      <w:r>
        <w:rPr>
          <w:rStyle w:val="CharSectno"/>
        </w:rPr>
        <w:t>41D</w:t>
      </w:r>
      <w:r>
        <w:t>.</w:t>
      </w:r>
      <w:r>
        <w:tab/>
        <w:t>Emergency supply of adrenaline in schools and child care centres</w:t>
      </w:r>
      <w:bookmarkEnd w:id="106"/>
    </w:p>
    <w:p>
      <w:pPr>
        <w:pStyle w:val="Subsection"/>
      </w:pPr>
      <w:r>
        <w:tab/>
        <w:t>(1)</w:t>
      </w:r>
      <w:r>
        <w:tab/>
        <w:t xml:space="preserve">In this regulation — </w:t>
      </w:r>
    </w:p>
    <w:p>
      <w:pPr>
        <w:pStyle w:val="Defstart"/>
      </w:pPr>
      <w:r>
        <w:rPr>
          <w:b/>
        </w:rPr>
        <w:tab/>
      </w:r>
      <w:r>
        <w:rPr>
          <w:rStyle w:val="CharDefText"/>
        </w:rPr>
        <w:t>auto</w:t>
      </w:r>
      <w:r>
        <w:rPr>
          <w:rStyle w:val="CharDefText"/>
        </w:rPr>
        <w:noBreakHyphen/>
        <w:t>injector</w:t>
      </w:r>
      <w:r>
        <w:t xml:space="preserve"> means a device containing one or 2 pre</w:t>
      </w:r>
      <w:r>
        <w:noBreakHyphen/>
        <w:t>measured doses of a poison, with a mechanism for administering the dose or doses by injection;</w:t>
      </w:r>
    </w:p>
    <w:p>
      <w:pPr>
        <w:pStyle w:val="Defstart"/>
      </w:pPr>
      <w:r>
        <w:rPr>
          <w:b/>
        </w:rPr>
        <w:tab/>
      </w:r>
      <w:r>
        <w:rPr>
          <w:rStyle w:val="CharDefText"/>
        </w:rPr>
        <w:t>child care service</w:t>
      </w:r>
      <w:r>
        <w:t xml:space="preserve"> has the meaning given in the </w:t>
      </w:r>
      <w:r>
        <w:rPr>
          <w:i/>
        </w:rPr>
        <w:t>Child Care Services Act 2007</w:t>
      </w:r>
      <w:r>
        <w:t>;</w:t>
      </w:r>
    </w:p>
    <w:p>
      <w:pPr>
        <w:pStyle w:val="Defstart"/>
        <w:keepNext/>
      </w:pPr>
      <w:r>
        <w:rPr>
          <w:b/>
        </w:rPr>
        <w:tab/>
      </w:r>
      <w:r>
        <w:rPr>
          <w:rStyle w:val="CharDefText"/>
        </w:rPr>
        <w:t>school</w:t>
      </w:r>
      <w:r>
        <w:t xml:space="preserve"> means — </w:t>
      </w:r>
    </w:p>
    <w:p>
      <w:pPr>
        <w:pStyle w:val="Defpara"/>
      </w:pPr>
      <w:r>
        <w:tab/>
        <w:t>(a)</w:t>
      </w:r>
      <w:r>
        <w:tab/>
        <w:t xml:space="preserve">a school within the meaning of the </w:t>
      </w:r>
      <w:r>
        <w:rPr>
          <w:i/>
          <w:iCs/>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adrenaline which is supplied or sold — </w:t>
      </w:r>
    </w:p>
    <w:p>
      <w:pPr>
        <w:pStyle w:val="Indenta"/>
      </w:pPr>
      <w:r>
        <w:tab/>
        <w:t>(a)</w:t>
      </w:r>
      <w:r>
        <w:tab/>
        <w:t>in the course of activity conducted by a school or child care service; and</w:t>
      </w:r>
    </w:p>
    <w:p>
      <w:pPr>
        <w:pStyle w:val="Indenta"/>
      </w:pPr>
      <w:r>
        <w:tab/>
        <w:t>(b)</w:t>
      </w:r>
      <w:r>
        <w:tab/>
        <w:t>as emergency treatment for anaphylaxis; and</w:t>
      </w:r>
    </w:p>
    <w:p>
      <w:pPr>
        <w:pStyle w:val="Indenta"/>
      </w:pPr>
      <w:r>
        <w:tab/>
        <w:t>(c)</w:t>
      </w:r>
      <w:r>
        <w:tab/>
        <w:t>by administering an auto</w:t>
      </w:r>
      <w:r>
        <w:noBreakHyphen/>
        <w:t>injector.</w:t>
      </w:r>
    </w:p>
    <w:p>
      <w:pPr>
        <w:pStyle w:val="Subsection"/>
      </w:pPr>
      <w:r>
        <w:tab/>
        <w:t>(3)</w:t>
      </w:r>
      <w:r>
        <w:tab/>
        <w:t>Section 50 of the Act, and regulations 16, 19, 19AA and 19A do not apply in relation to adrenaline in an auto</w:t>
      </w:r>
      <w:r>
        <w:noBreakHyphen/>
        <w:t>injector kept for the purpose of being supplied or sold in the course of activity conducted by a school or child care service as emergency treatment for anaphylaxis.</w:t>
      </w:r>
    </w:p>
    <w:p>
      <w:pPr>
        <w:pStyle w:val="Footnotesection"/>
      </w:pPr>
      <w:r>
        <w:tab/>
        <w:t>[Regulation 41D inserted in Gazette 15 Sep 2009 p. 3572; amended in Gazette 5 Mar 2010 p. 846.]</w:t>
      </w:r>
    </w:p>
    <w:p>
      <w:pPr>
        <w:pStyle w:val="Ednotedivision"/>
      </w:pPr>
      <w:r>
        <w:t>[Heading deleted in Gazette 12 Aug 2003 p. 3663.]</w:t>
      </w:r>
    </w:p>
    <w:p>
      <w:pPr>
        <w:pStyle w:val="Heading2"/>
      </w:pPr>
      <w:bookmarkStart w:id="107" w:name="_Toc389746736"/>
      <w:r>
        <w:rPr>
          <w:rStyle w:val="CharPartNo"/>
        </w:rPr>
        <w:t>Part 6</w:t>
      </w:r>
      <w:r>
        <w:t xml:space="preserve"> — </w:t>
      </w:r>
      <w:r>
        <w:rPr>
          <w:rStyle w:val="CharPartText"/>
        </w:rPr>
        <w:t>Drugs of addiction</w:t>
      </w:r>
      <w:bookmarkEnd w:id="107"/>
    </w:p>
    <w:p>
      <w:pPr>
        <w:pStyle w:val="Footnoteheading"/>
      </w:pPr>
      <w:r>
        <w:tab/>
        <w:t>[Heading inserted in Gazette 12 Aug 2003 p. 3664.]</w:t>
      </w:r>
    </w:p>
    <w:p>
      <w:pPr>
        <w:pStyle w:val="Heading3"/>
      </w:pPr>
      <w:bookmarkStart w:id="108" w:name="_Toc389746737"/>
      <w:r>
        <w:rPr>
          <w:rStyle w:val="CharDivNo"/>
        </w:rPr>
        <w:t>Division 1</w:t>
      </w:r>
      <w:r>
        <w:t xml:space="preserve"> — </w:t>
      </w:r>
      <w:r>
        <w:rPr>
          <w:rStyle w:val="CharDivText"/>
        </w:rPr>
        <w:t>General</w:t>
      </w:r>
      <w:bookmarkEnd w:id="108"/>
    </w:p>
    <w:p>
      <w:pPr>
        <w:pStyle w:val="Footnoteheading"/>
        <w:rPr>
          <w:i w:val="0"/>
        </w:rPr>
      </w:pPr>
      <w:r>
        <w:tab/>
        <w:t>[Heading inserted in Gazette 12 Aug 2003 p. 3664.]</w:t>
      </w:r>
    </w:p>
    <w:p>
      <w:pPr>
        <w:pStyle w:val="Heading5"/>
      </w:pPr>
      <w:bookmarkStart w:id="109" w:name="_Toc389746738"/>
      <w:r>
        <w:rPr>
          <w:rStyle w:val="CharSectno"/>
        </w:rPr>
        <w:t>42A</w:t>
      </w:r>
      <w:r>
        <w:t>.</w:t>
      </w:r>
      <w:r>
        <w:tab/>
        <w:t>Interpretation</w:t>
      </w:r>
      <w:bookmarkEnd w:id="109"/>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spacing w:before="180"/>
        <w:rPr>
          <w:snapToGrid w:val="0"/>
        </w:rPr>
      </w:pPr>
      <w:bookmarkStart w:id="110" w:name="_Toc389746739"/>
      <w:r>
        <w:rPr>
          <w:rStyle w:val="CharSectno"/>
        </w:rPr>
        <w:t>42</w:t>
      </w:r>
      <w:r>
        <w:rPr>
          <w:snapToGrid w:val="0"/>
        </w:rPr>
        <w:t>.</w:t>
      </w:r>
      <w:r>
        <w:rPr>
          <w:snapToGrid w:val="0"/>
        </w:rPr>
        <w:tab/>
        <w:t>Authority for prescribed persons to procure and have poisons included in Schedule 8</w:t>
      </w:r>
      <w:bookmarkEnd w:id="110"/>
      <w:r>
        <w:rPr>
          <w:snapToGrid w:val="0"/>
        </w:rPr>
        <w:t xml:space="preserve"> </w:t>
      </w:r>
    </w:p>
    <w:p>
      <w:pPr>
        <w:pStyle w:val="Subsection"/>
        <w:spacing w:before="80"/>
        <w:rPr>
          <w:snapToGrid w:val="0"/>
        </w:rPr>
      </w:pPr>
      <w:r>
        <w:rPr>
          <w:snapToGrid w:val="0"/>
        </w:rPr>
        <w:tab/>
        <w:t>(1)</w:t>
      </w:r>
      <w:r>
        <w:rPr>
          <w:snapToGrid w:val="0"/>
        </w:rPr>
        <w:tab/>
        <w:t>Until in any particular case such authority is withdrawn — </w:t>
      </w:r>
    </w:p>
    <w:p>
      <w:pPr>
        <w:pStyle w:val="Indenta"/>
        <w:spacing w:before="60"/>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a pharmaceutical chemist employed in dispensing medicines at any public hospital or at a pharmacy for which a licence is held under regulation 5;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and</w:t>
      </w:r>
    </w:p>
    <w:p>
      <w:pPr>
        <w:pStyle w:val="Indenta"/>
        <w:spacing w:before="60"/>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spacing w:before="80"/>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milligrams</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milligrams</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milligrams</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milligrams</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milligrams</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milligrams</w:t>
            </w:r>
          </w:p>
        </w:tc>
      </w:tr>
      <w:tr>
        <w:trPr>
          <w:cantSplit/>
        </w:trPr>
        <w:tc>
          <w:tcPr>
            <w:tcW w:w="5894" w:type="dxa"/>
          </w:tcPr>
          <w:p>
            <w:pPr>
              <w:pStyle w:val="TableNAm"/>
              <w:spacing w:before="80"/>
              <w:ind w:left="567" w:hanging="567"/>
              <w:rPr>
                <w:snapToGrid w:val="0"/>
              </w:rPr>
            </w:pPr>
            <w:r>
              <w:rPr>
                <w:snapToGrid w:val="0"/>
              </w:rPr>
              <w:t>PENTAZOCINE, in a form prepared for injection, with a total pentazocine content of 360 milligrams.</w:t>
            </w:r>
          </w:p>
        </w:tc>
      </w:tr>
    </w:tbl>
    <w:p>
      <w:pPr>
        <w:pStyle w:val="Footnotesection"/>
        <w:ind w:left="890" w:hanging="890"/>
      </w:pPr>
      <w:r>
        <w:tab/>
        <w:t>[Regulation 42 amended in Gazette 9 Feb 1970 p. 370; 29 Jun 1984 p. 1784; 8 Feb 1985 p. 520; 25 Jun 1993 p. 3085; 26 May 1994 p. 2201; 19 Mar 1996 p. 1227; 27 Nov 1998 p. 6344; 15 Dec 2006 p. 5630; 7 Nov 2008 p. 4811</w:t>
      </w:r>
      <w:r>
        <w:noBreakHyphen/>
        <w:t>12; 27 Apr 2010 p. 1583-4.]</w:t>
      </w:r>
    </w:p>
    <w:p>
      <w:pPr>
        <w:pStyle w:val="Ednotedivision"/>
      </w:pPr>
      <w:r>
        <w:t>[Heading deleted in Gazette 12 Aug 2003 p. 3663.]</w:t>
      </w:r>
    </w:p>
    <w:p>
      <w:pPr>
        <w:pStyle w:val="Heading5"/>
        <w:rPr>
          <w:snapToGrid w:val="0"/>
        </w:rPr>
      </w:pPr>
      <w:bookmarkStart w:id="111" w:name="_Toc389746740"/>
      <w:r>
        <w:rPr>
          <w:rStyle w:val="CharSectno"/>
        </w:rPr>
        <w:t>43</w:t>
      </w:r>
      <w:r>
        <w:rPr>
          <w:snapToGrid w:val="0"/>
        </w:rPr>
        <w:t>.</w:t>
      </w:r>
      <w:r>
        <w:rPr>
          <w:snapToGrid w:val="0"/>
        </w:rPr>
        <w:tab/>
        <w:t>Authority for pharmacists to retail, compound and dispense poisons included in Schedule 8</w:t>
      </w:r>
      <w:bookmarkEnd w:id="111"/>
      <w:r>
        <w:rPr>
          <w:snapToGrid w:val="0"/>
        </w:rPr>
        <w:t xml:space="preserve"> </w:t>
      </w:r>
    </w:p>
    <w:p>
      <w:pPr>
        <w:pStyle w:val="Subsection"/>
        <w:rPr>
          <w:snapToGrid w:val="0"/>
        </w:rPr>
      </w:pPr>
      <w:r>
        <w:rPr>
          <w:snapToGrid w:val="0"/>
        </w:rPr>
        <w:tab/>
        <w:t>(1)</w:t>
      </w:r>
      <w:r>
        <w:rPr>
          <w:snapToGrid w:val="0"/>
        </w:rPr>
        <w:tab/>
        <w:t>Until in any particular case such authority is withdrawn, every pharmaceutical chemist holding a Pharmaceutical Chemist’s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w:t>
      </w:r>
    </w:p>
    <w:p>
      <w:pPr>
        <w:pStyle w:val="Ednotedivision"/>
      </w:pPr>
      <w:r>
        <w:t>[Heading deleted in Gazette 12 Aug 2003 p. 3663.]</w:t>
      </w:r>
    </w:p>
    <w:p>
      <w:pPr>
        <w:pStyle w:val="Heading5"/>
        <w:keepLines w:val="0"/>
        <w:rPr>
          <w:snapToGrid w:val="0"/>
        </w:rPr>
      </w:pPr>
      <w:bookmarkStart w:id="112" w:name="_Toc389746741"/>
      <w:r>
        <w:rPr>
          <w:rStyle w:val="CharSectno"/>
        </w:rPr>
        <w:t>43A</w:t>
      </w:r>
      <w:r>
        <w:rPr>
          <w:snapToGrid w:val="0"/>
        </w:rPr>
        <w:t>.</w:t>
      </w:r>
      <w:r>
        <w:rPr>
          <w:snapToGrid w:val="0"/>
        </w:rPr>
        <w:tab/>
        <w:t>Revocation notice in relation to poisons included in Schedule 8 and specified drugs</w:t>
      </w:r>
      <w:bookmarkEnd w:id="112"/>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113" w:name="_Toc389746742"/>
      <w:r>
        <w:rPr>
          <w:rStyle w:val="CharSectno"/>
        </w:rPr>
        <w:t>43B</w:t>
      </w:r>
      <w:r>
        <w:rPr>
          <w:snapToGrid w:val="0"/>
        </w:rPr>
        <w:t>.</w:t>
      </w:r>
      <w:r>
        <w:rPr>
          <w:snapToGrid w:val="0"/>
        </w:rPr>
        <w:tab/>
        <w:t>Prescribed purposes (section 41(1))</w:t>
      </w:r>
      <w:bookmarkEnd w:id="113"/>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114" w:name="_Toc389746743"/>
      <w:r>
        <w:rPr>
          <w:rStyle w:val="CharSectno"/>
        </w:rPr>
        <w:t>43C</w:t>
      </w:r>
      <w:r>
        <w:rPr>
          <w:snapToGrid w:val="0"/>
        </w:rPr>
        <w:t>.</w:t>
      </w:r>
      <w:r>
        <w:rPr>
          <w:snapToGrid w:val="0"/>
        </w:rPr>
        <w:tab/>
        <w:t>Advertising of substances included in Schedule 8</w:t>
      </w:r>
      <w:bookmarkEnd w:id="114"/>
      <w:r>
        <w:rPr>
          <w:snapToGrid w:val="0"/>
        </w:rPr>
        <w:t xml:space="preserve"> </w:t>
      </w:r>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r>
        <w:t>[Heading deleted in Gazette 12 Aug 2003 p. 3663.]</w:t>
      </w:r>
    </w:p>
    <w:p>
      <w:pPr>
        <w:pStyle w:val="Heading5"/>
      </w:pPr>
      <w:bookmarkStart w:id="115" w:name="_Toc389746744"/>
      <w:r>
        <w:rPr>
          <w:rStyle w:val="CharSectno"/>
        </w:rPr>
        <w:t>44</w:t>
      </w:r>
      <w:r>
        <w:t>.</w:t>
      </w:r>
      <w:r>
        <w:tab/>
        <w:t>Register of drugs of addiction</w:t>
      </w:r>
      <w:bookmarkEnd w:id="115"/>
      <w:r>
        <w:t xml:space="preserve"> </w:t>
      </w:r>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w:t>
      </w:r>
    </w:p>
    <w:p>
      <w:pPr>
        <w:pStyle w:val="Indenta"/>
      </w:pPr>
      <w:r>
        <w:tab/>
        <w:t>(b)</w:t>
      </w:r>
      <w:r>
        <w:tab/>
        <w:t>the date of the transaction;</w:t>
      </w:r>
    </w:p>
    <w:p>
      <w:pPr>
        <w:pStyle w:val="Indenta"/>
      </w:pPr>
      <w:r>
        <w:tab/>
        <w:t>(c)</w:t>
      </w:r>
      <w:r>
        <w:tab/>
        <w:t>the name and address of each other person or firm involved in the transaction;</w:t>
      </w:r>
    </w:p>
    <w:p>
      <w:pPr>
        <w:pStyle w:val="Indenta"/>
      </w:pPr>
      <w:r>
        <w:tab/>
        <w:t>(d)</w:t>
      </w:r>
      <w:r>
        <w:tab/>
        <w:t>the name of the person who issued the prescription or order;</w:t>
      </w:r>
    </w:p>
    <w:p>
      <w:pPr>
        <w:pStyle w:val="Indenta"/>
      </w:pPr>
      <w:r>
        <w:tab/>
        <w:t>(e)</w:t>
      </w:r>
      <w:r>
        <w:tab/>
        <w:t>the amount of the drug remaining on hand after the transaction;</w:t>
      </w:r>
    </w:p>
    <w:p>
      <w:pPr>
        <w:pStyle w:val="Indenta"/>
      </w:pPr>
      <w:r>
        <w:tab/>
        <w:t>(f)</w:t>
      </w:r>
      <w:r>
        <w:tab/>
        <w:t>if the authorised person is a pharmaceutical chemist, the identifying number of the prescription; and</w:t>
      </w:r>
    </w:p>
    <w:p>
      <w:pPr>
        <w:pStyle w:val="Indenta"/>
      </w:pPr>
      <w:r>
        <w:tab/>
        <w:t>(g)</w:t>
      </w:r>
      <w:r>
        <w:tab/>
        <w:t>if the authorised person is a manufacturer or distributor, an identifying number of the order or other authority on which the drug is supplied</w:t>
      </w:r>
    </w:p>
    <w:p>
      <w:pPr>
        <w:pStyle w:val="Subsection"/>
        <w:spacing w:before="120"/>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 7 Nov 2008 p. 4812.]</w:t>
      </w:r>
    </w:p>
    <w:p>
      <w:pPr>
        <w:pStyle w:val="Heading5"/>
        <w:spacing w:before="260"/>
        <w:rPr>
          <w:snapToGrid w:val="0"/>
        </w:rPr>
      </w:pPr>
      <w:bookmarkStart w:id="116" w:name="_Toc389746745"/>
      <w:r>
        <w:rPr>
          <w:rStyle w:val="CharSectno"/>
        </w:rPr>
        <w:t>44A</w:t>
      </w:r>
      <w:r>
        <w:rPr>
          <w:snapToGrid w:val="0"/>
        </w:rPr>
        <w:t>.</w:t>
      </w:r>
      <w:r>
        <w:rPr>
          <w:snapToGrid w:val="0"/>
        </w:rPr>
        <w:tab/>
        <w:t>Destruction of drugs of addiction and poisons included in Schedule 8</w:t>
      </w:r>
      <w:bookmarkEnd w:id="116"/>
      <w:r>
        <w:rPr>
          <w:snapToGrid w:val="0"/>
        </w:rPr>
        <w:t xml:space="preserve"> </w:t>
      </w:r>
    </w:p>
    <w:p>
      <w:pPr>
        <w:pStyle w:val="Subsection"/>
        <w:spacing w:before="200"/>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a medical practitioner, dentist or veterinary surgeon) shall not wilfully destroy that drug of addiction.</w:t>
      </w:r>
    </w:p>
    <w:p>
      <w:pPr>
        <w:pStyle w:val="Subsection"/>
        <w:spacing w:before="200"/>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spacing w:before="200"/>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t>pharmaceutical chemists authorised to possess and supply poisons included in Schedule 8;</w:t>
      </w:r>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w:t>
      </w:r>
    </w:p>
    <w:p>
      <w:pPr>
        <w:pStyle w:val="Indenta"/>
      </w:pPr>
      <w:r>
        <w:tab/>
        <w:t>(b)</w:t>
      </w:r>
      <w:r>
        <w:tab/>
        <w:t>the name, strength and quantity of the poison destroyed;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A pharmaceutical chemist required to provide a monthly return under regulation 52C shall, as part of the return, provide details of the entries recorded in the register, maintained in accordance with subregulation (4), for the relevant period.</w:t>
      </w:r>
    </w:p>
    <w:p>
      <w:pPr>
        <w:pStyle w:val="Subsection"/>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 pharmaceutical chemist, authorised to possess and supply poisons included in Schedule 8 or Schedule 9, who wishes to destroy poisons included in Schedule 8 or Schedule 9 may have another pharmaceutical chemist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 7 Nov 2008 p. 4812.]</w:t>
      </w:r>
    </w:p>
    <w:p>
      <w:pPr>
        <w:pStyle w:val="Heading5"/>
      </w:pPr>
      <w:bookmarkStart w:id="117" w:name="_Toc389746746"/>
      <w:r>
        <w:rPr>
          <w:rStyle w:val="CharSectno"/>
        </w:rPr>
        <w:t>44B</w:t>
      </w:r>
      <w:r>
        <w:t>.</w:t>
      </w:r>
      <w:r>
        <w:tab/>
        <w:t>Form of registers</w:t>
      </w:r>
      <w:bookmarkEnd w:id="117"/>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spacing w:before="80"/>
        <w:ind w:left="890" w:hanging="890"/>
      </w:pPr>
      <w:r>
        <w:tab/>
        <w:t>[Regulation 44B inserted in Gazette 29 Feb 2000 p. 994; amended in Gazette 14 Sep 2001 p. 5076; 15 Dec 2006 p. 5630.]</w:t>
      </w:r>
    </w:p>
    <w:p>
      <w:pPr>
        <w:pStyle w:val="Heading5"/>
      </w:pPr>
      <w:bookmarkStart w:id="118" w:name="_Toc389746747"/>
      <w:r>
        <w:rPr>
          <w:rStyle w:val="CharSectno"/>
        </w:rPr>
        <w:t>44C</w:t>
      </w:r>
      <w:r>
        <w:t>.</w:t>
      </w:r>
      <w:r>
        <w:tab/>
        <w:t>Control of access to electronic registers</w:t>
      </w:r>
      <w:bookmarkEnd w:id="118"/>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 xml:space="preserve">entries in the register cannot be made by any person who does not use an access code issued by the authorised person; </w:t>
      </w:r>
    </w:p>
    <w:p>
      <w:pPr>
        <w:pStyle w:val="Indenta"/>
      </w:pPr>
      <w:r>
        <w:tab/>
        <w:t>(b)</w:t>
      </w:r>
      <w:r>
        <w:tab/>
        <w:t>an access code cannot be used other than in combination with a password known only by the person to whom the access code was issued;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ind w:left="890" w:hanging="890"/>
      </w:pPr>
      <w:r>
        <w:tab/>
        <w:t>[Regulation 44C inserted in Gazette 29 Feb 2000 p. 994</w:t>
      </w:r>
      <w:r>
        <w:noBreakHyphen/>
        <w:t>5; amended in Gazette 28 Jul 2009 p. 2980.]</w:t>
      </w:r>
    </w:p>
    <w:p>
      <w:pPr>
        <w:pStyle w:val="Ednotedivision"/>
        <w:spacing w:before="260"/>
      </w:pPr>
      <w:r>
        <w:t>[Heading deleted in Gazette 12 Aug 2003 p. 3663.]</w:t>
      </w:r>
    </w:p>
    <w:p>
      <w:pPr>
        <w:pStyle w:val="Heading5"/>
        <w:spacing w:before="260"/>
        <w:rPr>
          <w:snapToGrid w:val="0"/>
        </w:rPr>
      </w:pPr>
      <w:bookmarkStart w:id="119" w:name="_Toc389746748"/>
      <w:r>
        <w:rPr>
          <w:rStyle w:val="CharSectno"/>
        </w:rPr>
        <w:t>45</w:t>
      </w:r>
      <w:r>
        <w:rPr>
          <w:snapToGrid w:val="0"/>
        </w:rPr>
        <w:t>.</w:t>
      </w:r>
      <w:r>
        <w:rPr>
          <w:snapToGrid w:val="0"/>
        </w:rPr>
        <w:tab/>
        <w:t>Inventory of drugs of addiction</w:t>
      </w:r>
      <w:bookmarkEnd w:id="119"/>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Ednotedivision"/>
        <w:spacing w:before="260"/>
      </w:pPr>
      <w:r>
        <w:t>[Heading deleted in Gazette 12 Aug 2003 p. 3663.]</w:t>
      </w:r>
    </w:p>
    <w:p>
      <w:pPr>
        <w:pStyle w:val="Heading5"/>
        <w:rPr>
          <w:snapToGrid w:val="0"/>
        </w:rPr>
      </w:pPr>
      <w:bookmarkStart w:id="120" w:name="_Toc389746749"/>
      <w:r>
        <w:rPr>
          <w:rStyle w:val="CharSectno"/>
        </w:rPr>
        <w:t>47</w:t>
      </w:r>
      <w:r>
        <w:rPr>
          <w:snapToGrid w:val="0"/>
        </w:rPr>
        <w:t>.</w:t>
      </w:r>
      <w:r>
        <w:rPr>
          <w:snapToGrid w:val="0"/>
        </w:rPr>
        <w:tab/>
        <w:t>Records to be retained for 7 years and available on demand</w:t>
      </w:r>
      <w:bookmarkEnd w:id="120"/>
      <w:r>
        <w:rPr>
          <w:snapToGrid w:val="0"/>
        </w:rPr>
        <w:t xml:space="preserve"> </w:t>
      </w:r>
    </w:p>
    <w:p>
      <w:pPr>
        <w:pStyle w:val="Subsection"/>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 15 Dec 2006 p. 5630.]</w:t>
      </w:r>
    </w:p>
    <w:p>
      <w:pPr>
        <w:pStyle w:val="Ednotedivision"/>
      </w:pPr>
      <w:r>
        <w:t>[Heading deleted in Gazette 12 Aug 2003 p. 3663.]</w:t>
      </w:r>
    </w:p>
    <w:p>
      <w:pPr>
        <w:pStyle w:val="Heading5"/>
        <w:rPr>
          <w:snapToGrid w:val="0"/>
        </w:rPr>
      </w:pPr>
      <w:bookmarkStart w:id="121" w:name="_Toc389746750"/>
      <w:r>
        <w:rPr>
          <w:rStyle w:val="CharSectno"/>
        </w:rPr>
        <w:t>48</w:t>
      </w:r>
      <w:r>
        <w:rPr>
          <w:snapToGrid w:val="0"/>
        </w:rPr>
        <w:t>.</w:t>
      </w:r>
      <w:r>
        <w:rPr>
          <w:snapToGrid w:val="0"/>
        </w:rPr>
        <w:tab/>
        <w:t>Returns from manufacturers and wholesalers</w:t>
      </w:r>
      <w:bookmarkEnd w:id="121"/>
      <w:r>
        <w:rPr>
          <w:snapToGrid w:val="0"/>
        </w:rPr>
        <w:t xml:space="preserve"> </w:t>
      </w:r>
    </w:p>
    <w:p>
      <w:pPr>
        <w:pStyle w:val="Subsection"/>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 21 Apr 2009 p. 1359.]</w:t>
      </w:r>
    </w:p>
    <w:p>
      <w:pPr>
        <w:pStyle w:val="Heading5"/>
      </w:pPr>
      <w:bookmarkStart w:id="122" w:name="_Toc389746751"/>
      <w:r>
        <w:rPr>
          <w:rStyle w:val="CharSectno"/>
        </w:rPr>
        <w:t>49A</w:t>
      </w:r>
      <w:r>
        <w:t>.</w:t>
      </w:r>
      <w:r>
        <w:tab/>
        <w:t>Use of poisons included in Schedule 8 on certificated commercial vessels</w:t>
      </w:r>
      <w:bookmarkEnd w:id="122"/>
      <w:r>
        <w:t xml:space="preserve"> </w:t>
      </w:r>
    </w:p>
    <w:p>
      <w:pPr>
        <w:pStyle w:val="Subsection"/>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123" w:name="_Toc389746752"/>
      <w:r>
        <w:rPr>
          <w:rStyle w:val="CharSectno"/>
        </w:rPr>
        <w:t>49B</w:t>
      </w:r>
      <w:r>
        <w:t>.</w:t>
      </w:r>
      <w:r>
        <w:tab/>
        <w:t>Use of poisons included in Schedule 8 on racing yachts</w:t>
      </w:r>
      <w:bookmarkEnd w:id="123"/>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rPr>
          <w:b/>
        </w:rPr>
      </w:pPr>
      <w:r>
        <w:tab/>
        <w:t>[Regulation 49B inserted in Gazette 12 Jun 2009 p. 2113</w:t>
      </w:r>
      <w:r>
        <w:noBreakHyphen/>
        <w:t>14.]</w:t>
      </w:r>
    </w:p>
    <w:p>
      <w:pPr>
        <w:pStyle w:val="Ednotedivision"/>
      </w:pPr>
      <w:r>
        <w:t>[Heading deleted in Gazette 12 Aug 2003 p. 3663.]</w:t>
      </w:r>
    </w:p>
    <w:p>
      <w:pPr>
        <w:pStyle w:val="Heading5"/>
        <w:rPr>
          <w:snapToGrid w:val="0"/>
        </w:rPr>
      </w:pPr>
      <w:bookmarkStart w:id="124" w:name="_Toc389746753"/>
      <w:r>
        <w:rPr>
          <w:rStyle w:val="CharSectno"/>
        </w:rPr>
        <w:t>49</w:t>
      </w:r>
      <w:r>
        <w:rPr>
          <w:snapToGrid w:val="0"/>
        </w:rPr>
        <w:t>.</w:t>
      </w:r>
      <w:r>
        <w:rPr>
          <w:snapToGrid w:val="0"/>
        </w:rPr>
        <w:tab/>
        <w:t>Use of poisons included in Schedule 8 on ships and aircraft</w:t>
      </w:r>
      <w:bookmarkEnd w:id="124"/>
      <w:r>
        <w:rPr>
          <w:snapToGrid w:val="0"/>
        </w:rPr>
        <w:t xml:space="preserve"> </w:t>
      </w:r>
    </w:p>
    <w:p>
      <w:pPr>
        <w:pStyle w:val="Subsection"/>
        <w:keepLines/>
        <w:spacing w:before="120"/>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if the ship is registered in Australia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if the ship is not registered in Australia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 12 Jun 2009 p. 2114.]</w:t>
      </w:r>
    </w:p>
    <w:p>
      <w:pPr>
        <w:pStyle w:val="Ednotedivision"/>
        <w:spacing w:before="260"/>
      </w:pPr>
      <w:r>
        <w:t>[Heading deleted in Gazette 12 Aug 2003 p. 3663.]</w:t>
      </w:r>
    </w:p>
    <w:p>
      <w:pPr>
        <w:pStyle w:val="Heading5"/>
        <w:keepLines w:val="0"/>
        <w:spacing w:before="260"/>
        <w:rPr>
          <w:snapToGrid w:val="0"/>
        </w:rPr>
      </w:pPr>
      <w:bookmarkStart w:id="125" w:name="_Toc389746754"/>
      <w:r>
        <w:rPr>
          <w:rStyle w:val="CharSectno"/>
        </w:rPr>
        <w:t>50</w:t>
      </w:r>
      <w:r>
        <w:rPr>
          <w:snapToGrid w:val="0"/>
        </w:rPr>
        <w:t>.</w:t>
      </w:r>
      <w:r>
        <w:rPr>
          <w:snapToGrid w:val="0"/>
        </w:rPr>
        <w:tab/>
        <w:t>Used poisons included in Schedule 8 at hospitals</w:t>
      </w:r>
      <w:bookmarkEnd w:id="125"/>
      <w:r>
        <w:rPr>
          <w:snapToGrid w:val="0"/>
        </w:rPr>
        <w:t xml:space="preserve"> </w:t>
      </w:r>
    </w:p>
    <w:p>
      <w:pPr>
        <w:pStyle w:val="Subsection"/>
        <w:rPr>
          <w:snapToGrid w:val="0"/>
        </w:rPr>
      </w:pPr>
      <w:r>
        <w:rPr>
          <w:snapToGrid w:val="0"/>
        </w:rPr>
        <w:tab/>
        <w:t>(a)</w:t>
      </w:r>
      <w:r>
        <w:rPr>
          <w:snapToGrid w:val="0"/>
        </w:rPr>
        <w:tab/>
        <w:t>Where a Pharmaceutical Chemist is employed — The pharmaceutical chemist in charge of the pharmacy department of a hospital shall be responsible for ordering, storing and issuing all poisons included in Schedule 8 in such hospital and for keeping records of poisons included in Schedule 8 as required by these regulations.</w:t>
      </w:r>
    </w:p>
    <w:p>
      <w:pPr>
        <w:pStyle w:val="Subsection"/>
        <w:rPr>
          <w:snapToGrid w:val="0"/>
        </w:rPr>
      </w:pPr>
      <w:r>
        <w:rPr>
          <w:snapToGrid w:val="0"/>
        </w:rPr>
        <w:tab/>
        <w:t>(b)</w:t>
      </w:r>
      <w:r>
        <w:rPr>
          <w:snapToGrid w:val="0"/>
        </w:rPr>
        <w:tab/>
        <w:t xml:space="preserve">Where a Pharmaceutical Chemist is not employed — The director of nursing of a hospital or other person authorised by the </w:t>
      </w:r>
      <w:r>
        <w:t>CEO</w:t>
      </w:r>
      <w:r>
        <w:rPr>
          <w:snapToGrid w:val="0"/>
        </w:rPr>
        <w:t xml:space="preserve"> shall be responsible for ordering, issuing and storing all poisons included in Schedule 8 in such hospital and for keeping records of poisons included in Schedule 8 as required by these regulations.</w:t>
      </w:r>
    </w:p>
    <w:p>
      <w:pPr>
        <w:pStyle w:val="Subsection"/>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ind w:left="890" w:hanging="890"/>
      </w:pPr>
      <w:r>
        <w:tab/>
        <w:t>[Regulation 50 amended in Gazette 29 Jun 1984 p. 1784; 28 May 1993 p. 2597; 25 Jun 1993 p. 3085; 26 May 1994 p. 2201; 19 Mar 1996 p. 1230; 15 Dec 2006 p. 5630.]</w:t>
      </w:r>
    </w:p>
    <w:p>
      <w:pPr>
        <w:pStyle w:val="Ednotedivision"/>
        <w:spacing w:before="180"/>
      </w:pPr>
      <w:r>
        <w:t>[Heading deleted in Gazette 12 Aug 2003 p. 3663.]</w:t>
      </w:r>
    </w:p>
    <w:p>
      <w:pPr>
        <w:pStyle w:val="Heading3"/>
      </w:pPr>
      <w:bookmarkStart w:id="126" w:name="_Toc389746755"/>
      <w:r>
        <w:rPr>
          <w:rStyle w:val="CharDivNo"/>
        </w:rPr>
        <w:t>Division 2</w:t>
      </w:r>
      <w:r>
        <w:t xml:space="preserve"> — </w:t>
      </w:r>
      <w:r>
        <w:rPr>
          <w:rStyle w:val="CharDivText"/>
        </w:rPr>
        <w:t>Supply and prescription</w:t>
      </w:r>
      <w:bookmarkEnd w:id="126"/>
    </w:p>
    <w:p>
      <w:pPr>
        <w:pStyle w:val="Footnoteheading"/>
        <w:keepNext/>
      </w:pPr>
      <w:r>
        <w:tab/>
        <w:t>[Heading inserted in Gazette 12 Aug 2003 p. 3664.]</w:t>
      </w:r>
    </w:p>
    <w:p>
      <w:pPr>
        <w:pStyle w:val="Heading4"/>
      </w:pPr>
      <w:bookmarkStart w:id="127" w:name="_Toc389746756"/>
      <w:r>
        <w:t>Subdivision 1 — Prescriptions generally</w:t>
      </w:r>
      <w:bookmarkEnd w:id="127"/>
    </w:p>
    <w:p>
      <w:pPr>
        <w:pStyle w:val="Footnoteheading"/>
        <w:keepNext/>
        <w:spacing w:before="220"/>
      </w:pPr>
      <w:r>
        <w:tab/>
        <w:t>[Heading inserted in Gazette 12 Aug 2003 p. 3664.]</w:t>
      </w:r>
    </w:p>
    <w:p>
      <w:pPr>
        <w:pStyle w:val="Heading5"/>
        <w:rPr>
          <w:snapToGrid w:val="0"/>
        </w:rPr>
      </w:pPr>
      <w:bookmarkStart w:id="128" w:name="_Toc389746757"/>
      <w:r>
        <w:rPr>
          <w:rStyle w:val="CharSectno"/>
        </w:rPr>
        <w:t>51</w:t>
      </w:r>
      <w:r>
        <w:rPr>
          <w:snapToGrid w:val="0"/>
        </w:rPr>
        <w:t>.</w:t>
      </w:r>
      <w:r>
        <w:rPr>
          <w:snapToGrid w:val="0"/>
        </w:rPr>
        <w:tab/>
        <w:t>Prescriptions</w:t>
      </w:r>
      <w:bookmarkEnd w:id="128"/>
      <w:r>
        <w:rPr>
          <w:snapToGrid w:val="0"/>
        </w:rPr>
        <w:t xml:space="preserve"> </w:t>
      </w:r>
    </w:p>
    <w:p>
      <w:pPr>
        <w:pStyle w:val="Subsection"/>
      </w:pPr>
      <w:r>
        <w:tab/>
        <w:t>(1)</w:t>
      </w:r>
      <w:r>
        <w:tab/>
        <w:t xml:space="preserve">A prescription for the supply of a drug of addiction shall comply with the following conditions — </w:t>
      </w:r>
    </w:p>
    <w:p>
      <w:pPr>
        <w:pStyle w:val="Indenta"/>
      </w:pPr>
      <w:r>
        <w:tab/>
        <w:t>(a)</w:t>
      </w:r>
      <w:r>
        <w:tab/>
        <w:t xml:space="preserve">it shall include — </w:t>
      </w:r>
    </w:p>
    <w:p>
      <w:pPr>
        <w:pStyle w:val="Indenti"/>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pPr>
      <w:r>
        <w:tab/>
        <w:t>(1B)</w:t>
      </w:r>
      <w:r>
        <w:tab/>
        <w:t xml:space="preserve">A prescription that is not issued electronically shall be either — </w:t>
      </w:r>
    </w:p>
    <w:p>
      <w:pPr>
        <w:pStyle w:val="Indenta"/>
      </w:pPr>
      <w:r>
        <w:tab/>
        <w:t>(a)</w:t>
      </w:r>
      <w:r>
        <w:tab/>
        <w:t>written in ink in the prescriber’s own handwriting; or</w:t>
      </w:r>
    </w:p>
    <w:p>
      <w:pPr>
        <w:pStyle w:val="Indenta"/>
      </w:pPr>
      <w:r>
        <w:tab/>
        <w:t>(b)</w:t>
      </w:r>
      <w:r>
        <w:tab/>
        <w:t>processed on an approved computer program and have the information referred to in subregulation (1)(a)(iii), (iv) and (vi) written in ink in the prescriber’s own handwriting.</w:t>
      </w:r>
    </w:p>
    <w:p>
      <w:pPr>
        <w:pStyle w:val="Subsection"/>
      </w:pPr>
      <w:r>
        <w:tab/>
      </w:r>
      <w:r>
        <w:tab/>
        <w:t>The prescription shall be signed by the prescriber in his or her own handwriting.</w:t>
      </w:r>
    </w:p>
    <w:p>
      <w:pPr>
        <w:pStyle w:val="Subsection"/>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pPr>
      <w:r>
        <w:tab/>
        <w:t>(a)</w:t>
      </w:r>
      <w:r>
        <w:tab/>
        <w:t>complies with the criteria specified in Appendix L; or</w:t>
      </w:r>
    </w:p>
    <w:p>
      <w:pPr>
        <w:pStyle w:val="Defpara"/>
      </w:pPr>
      <w:r>
        <w:tab/>
        <w:t>(b)</w:t>
      </w:r>
      <w:r>
        <w:tab/>
        <w:t>is recommended by the Poisons Advisory Committee and approved in writing by the CEO.</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100"/>
        <w:ind w:left="890" w:hanging="89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pPr>
      <w:bookmarkStart w:id="129" w:name="_Toc389746758"/>
      <w:r>
        <w:rPr>
          <w:rStyle w:val="CharSectno"/>
        </w:rPr>
        <w:t>51AAA</w:t>
      </w:r>
      <w:r>
        <w:t>.</w:t>
      </w:r>
      <w:r>
        <w:tab/>
        <w:t>Prescriptions for poisons included in Schedule 8 for patient discharged from public hospital</w:t>
      </w:r>
      <w:bookmarkEnd w:id="129"/>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has completed, in ink in his or her own hand writing, all the details in respect of the Schedule 8 poison required by the NIMC; and</w:t>
      </w:r>
    </w:p>
    <w:p>
      <w:pPr>
        <w:pStyle w:val="Indenta"/>
      </w:pPr>
      <w:r>
        <w:tab/>
        <w:t>(c)</w:t>
      </w:r>
      <w:r>
        <w:tab/>
        <w:t>a medical practitioner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w:t>
      </w:r>
    </w:p>
    <w:p>
      <w:pPr>
        <w:pStyle w:val="Heading4"/>
        <w:keepNext w:val="0"/>
        <w:spacing w:before="260"/>
      </w:pPr>
      <w:bookmarkStart w:id="130" w:name="_Toc389746759"/>
      <w:r>
        <w:t>Subdivision 2 — Supply and prescription to drug addicts</w:t>
      </w:r>
      <w:bookmarkEnd w:id="130"/>
    </w:p>
    <w:p>
      <w:pPr>
        <w:pStyle w:val="Footnoteheading"/>
        <w:keepNext/>
        <w:spacing w:before="100"/>
      </w:pPr>
      <w:r>
        <w:tab/>
        <w:t>[Heading inserted in Gazette 12 Aug 2003 p. 3664.]</w:t>
      </w:r>
    </w:p>
    <w:p>
      <w:pPr>
        <w:pStyle w:val="Heading5"/>
        <w:spacing w:before="200"/>
      </w:pPr>
      <w:bookmarkStart w:id="131" w:name="_Toc389746760"/>
      <w:r>
        <w:rPr>
          <w:rStyle w:val="CharSectno"/>
        </w:rPr>
        <w:t>51A</w:t>
      </w:r>
      <w:r>
        <w:t>.</w:t>
      </w:r>
      <w:r>
        <w:tab/>
        <w:t>Terms used</w:t>
      </w:r>
      <w:bookmarkEnd w:id="131"/>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pPr>
      <w:r>
        <w:tab/>
        <w:t>(c)</w:t>
      </w:r>
      <w:r>
        <w:tab/>
        <w:t>is under a psychic or physical dependence to take a drug of addiction or any substitute; or</w:t>
      </w:r>
    </w:p>
    <w:p>
      <w:pPr>
        <w:pStyle w:val="Defpara"/>
      </w:pPr>
      <w:r>
        <w:tab/>
        <w:t>(d)</w:t>
      </w:r>
      <w:r>
        <w:tab/>
        <w:t xml:space="preserve">is listed in the register of information kept under the </w:t>
      </w:r>
      <w:r>
        <w:rPr>
          <w:i/>
          <w:iCs/>
        </w:rPr>
        <w:t>Drugs of Addiction Notification Regulations 1980</w:t>
      </w:r>
      <w:r>
        <w:t>;</w:t>
      </w:r>
    </w:p>
    <w:p>
      <w:pPr>
        <w:pStyle w:val="Defstart"/>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rPr>
          <w:b/>
        </w:rPr>
        <w:tab/>
      </w:r>
      <w:r>
        <w:rPr>
          <w:rStyle w:val="CharDefText"/>
        </w:rPr>
        <w:t>pharmacy</w:t>
      </w:r>
      <w:r>
        <w:t xml:space="preserve"> means a pharmacy registered under the </w:t>
      </w:r>
      <w:r>
        <w:rPr>
          <w:i/>
          <w:iCs/>
        </w:rPr>
        <w:t>Pharmacy Act 1964</w:t>
      </w:r>
      <w:r>
        <w:t>;</w:t>
      </w:r>
    </w:p>
    <w:p>
      <w:pPr>
        <w:pStyle w:val="Defstart"/>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Australia from time to time;</w:t>
      </w:r>
    </w:p>
    <w:p>
      <w:pPr>
        <w:pStyle w:val="Defstart"/>
      </w:pPr>
      <w:r>
        <w:rPr>
          <w:b/>
        </w:rPr>
        <w:tab/>
      </w:r>
      <w:r>
        <w:rPr>
          <w:rStyle w:val="CharDefText"/>
        </w:rPr>
        <w:t>specialist prescriber</w:t>
      </w:r>
      <w:r>
        <w:t xml:space="preserve"> means an authorised prescriber who is designated by the CEO as a specialist prescriber under regulation 51C(2).</w:t>
      </w:r>
    </w:p>
    <w:p>
      <w:pPr>
        <w:pStyle w:val="Subsection"/>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w:t>
      </w:r>
    </w:p>
    <w:p>
      <w:pPr>
        <w:pStyle w:val="Heading5"/>
      </w:pPr>
      <w:bookmarkStart w:id="132" w:name="_Toc389746761"/>
      <w:r>
        <w:rPr>
          <w:rStyle w:val="CharSectno"/>
        </w:rPr>
        <w:t>51AA</w:t>
      </w:r>
      <w:r>
        <w:t>.</w:t>
      </w:r>
      <w:r>
        <w:tab/>
        <w:t>Disclosure by drug addict to medical practitioner</w:t>
      </w:r>
      <w:bookmarkEnd w:id="132"/>
    </w:p>
    <w:p>
      <w:pPr>
        <w:pStyle w:val="Subsection"/>
      </w:pPr>
      <w:r>
        <w:tab/>
      </w:r>
      <w:r>
        <w:tab/>
        <w:t>A drug addict must,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120"/>
      </w:pPr>
      <w:r>
        <w:tab/>
      </w:r>
      <w:r>
        <w:tab/>
        <w:t>disclose to the medical practitioner or dentist the fact that he or she is a drug addict.</w:t>
      </w:r>
    </w:p>
    <w:p>
      <w:pPr>
        <w:pStyle w:val="Footnotesection"/>
      </w:pPr>
      <w:r>
        <w:tab/>
        <w:t xml:space="preserve">[Regulation 51AA inserted in Gazette 12 Oct 1984 p. 3267; amended in Gazette 11 Apr 1997 p. 1832; 21 Apr 2009 p. 1360.] </w:t>
      </w:r>
    </w:p>
    <w:p>
      <w:pPr>
        <w:pStyle w:val="Heading5"/>
      </w:pPr>
      <w:bookmarkStart w:id="133" w:name="_Toc389746762"/>
      <w:r>
        <w:rPr>
          <w:rStyle w:val="CharSectno"/>
        </w:rPr>
        <w:t>51B</w:t>
      </w:r>
      <w:r>
        <w:t>.</w:t>
      </w:r>
      <w:r>
        <w:tab/>
        <w:t>Prescription and supply in accordance with this Subdivision — general provision</w:t>
      </w:r>
      <w:bookmarkEnd w:id="133"/>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134" w:name="_Toc389746763"/>
      <w:r>
        <w:rPr>
          <w:rStyle w:val="CharSectno"/>
        </w:rPr>
        <w:t>51BA</w:t>
      </w:r>
      <w:r>
        <w:t>.</w:t>
      </w:r>
      <w:r>
        <w:tab/>
        <w:t>P</w:t>
      </w:r>
      <w:r>
        <w:rPr>
          <w:snapToGrid w:val="0"/>
        </w:rPr>
        <w:t>rescribing drugs of addiction for drug addicts other than for the treatment of drug addiction</w:t>
      </w:r>
      <w:bookmarkEnd w:id="134"/>
    </w:p>
    <w:p>
      <w:pPr>
        <w:pStyle w:val="Subsection"/>
        <w:rPr>
          <w:snapToGrid w:val="0"/>
        </w:rPr>
      </w:pPr>
      <w:r>
        <w:tab/>
        <w:t>(1)</w:t>
      </w:r>
      <w:r>
        <w:tab/>
        <w:t xml:space="preserve">A medical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or dentist may </w:t>
      </w:r>
      <w:r>
        <w:rPr>
          <w:snapToGrid w:val="0"/>
        </w:rPr>
        <w:t>prescribe or supply a drug of addiction for the treatment of a person who is a drug addict</w:t>
      </w:r>
      <w:r>
        <w:t xml:space="preserve"> if the medical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w:t>
      </w:r>
    </w:p>
    <w:p>
      <w:pPr>
        <w:pStyle w:val="Heading5"/>
        <w:rPr>
          <w:snapToGrid w:val="0"/>
        </w:rPr>
      </w:pPr>
      <w:bookmarkStart w:id="135" w:name="_Toc389746764"/>
      <w:r>
        <w:rPr>
          <w:rStyle w:val="CharSectno"/>
        </w:rPr>
        <w:t>51C</w:t>
      </w:r>
      <w:r>
        <w:rPr>
          <w:snapToGrid w:val="0"/>
        </w:rPr>
        <w:t>.</w:t>
      </w:r>
      <w:r>
        <w:rPr>
          <w:snapToGrid w:val="0"/>
        </w:rPr>
        <w:tab/>
        <w:t>Designation of authorised prescribers and specialist prescribers</w:t>
      </w:r>
      <w:bookmarkEnd w:id="135"/>
    </w:p>
    <w:p>
      <w:pPr>
        <w:pStyle w:val="Subsection"/>
      </w:pPr>
      <w:r>
        <w:tab/>
        <w:t>(1)</w:t>
      </w:r>
      <w:r>
        <w:tab/>
        <w:t>The CEO may designate a medical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w:t>
      </w:r>
    </w:p>
    <w:p>
      <w:pPr>
        <w:pStyle w:val="Heading5"/>
        <w:rPr>
          <w:snapToGrid w:val="0"/>
        </w:rPr>
      </w:pPr>
      <w:bookmarkStart w:id="136" w:name="_Toc389746765"/>
      <w:r>
        <w:rPr>
          <w:rStyle w:val="CharSectno"/>
        </w:rPr>
        <w:t>51CA</w:t>
      </w:r>
      <w:r>
        <w:t>.</w:t>
      </w:r>
      <w:r>
        <w:tab/>
        <w:t>Appointment</w:t>
      </w:r>
      <w:r>
        <w:rPr>
          <w:snapToGrid w:val="0"/>
        </w:rPr>
        <w:t xml:space="preserve"> of medical practitioner as authorised prescriber for a drug addict</w:t>
      </w:r>
      <w:bookmarkEnd w:id="136"/>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137" w:name="_Toc389746766"/>
      <w:r>
        <w:rPr>
          <w:rStyle w:val="CharSectno"/>
        </w:rPr>
        <w:t>51CB</w:t>
      </w:r>
      <w:r>
        <w:t>.</w:t>
      </w:r>
      <w:r>
        <w:tab/>
        <w:t>Appointment of co</w:t>
      </w:r>
      <w:r>
        <w:noBreakHyphen/>
        <w:t xml:space="preserve">prescriber </w:t>
      </w:r>
      <w:r>
        <w:rPr>
          <w:snapToGrid w:val="0"/>
        </w:rPr>
        <w:t>for a drug addict</w:t>
      </w:r>
      <w:bookmarkEnd w:id="137"/>
    </w:p>
    <w:p>
      <w:pPr>
        <w:pStyle w:val="Subsection"/>
      </w:pPr>
      <w:r>
        <w:tab/>
        <w:t>(1)</w:t>
      </w:r>
      <w:r>
        <w:tab/>
        <w:t xml:space="preserve">A specialist prescriber who is the authorised prescriber for a person who </w:t>
      </w:r>
      <w:r>
        <w:rPr>
          <w:snapToGrid w:val="0"/>
        </w:rPr>
        <w:t xml:space="preserve">is a drug addict </w:t>
      </w:r>
      <w:r>
        <w:t>may appoint a medical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r>
        <w:tab/>
        <w:t>[Regulation 51CB inserted in Gazette 21 Apr 2009 p. 1362.]</w:t>
      </w:r>
    </w:p>
    <w:p>
      <w:pPr>
        <w:pStyle w:val="Heading5"/>
      </w:pPr>
      <w:bookmarkStart w:id="138" w:name="_Toc389746767"/>
      <w:r>
        <w:rPr>
          <w:rStyle w:val="CharSectno"/>
        </w:rPr>
        <w:t>51CC</w:t>
      </w:r>
      <w:r>
        <w:t>.</w:t>
      </w:r>
      <w:r>
        <w:tab/>
      </w:r>
      <w:r>
        <w:rPr>
          <w:snapToGrid w:val="0"/>
        </w:rPr>
        <w:t>Designations, authorisations and appointments — general rules</w:t>
      </w:r>
      <w:bookmarkEnd w:id="138"/>
    </w:p>
    <w:p>
      <w:pPr>
        <w:pStyle w:val="Subsection"/>
      </w:pPr>
      <w:r>
        <w:tab/>
      </w:r>
      <w:r>
        <w:tab/>
        <w:t>A designation, authorisation or appointment of a person under this Subdivision —</w:t>
      </w:r>
    </w:p>
    <w:p>
      <w:pPr>
        <w:pStyle w:val="Indenta"/>
      </w:pPr>
      <w:r>
        <w:tab/>
        <w:t>(a)</w:t>
      </w:r>
      <w:r>
        <w:tab/>
        <w:t>must be in writing; and</w:t>
      </w:r>
    </w:p>
    <w:p>
      <w:pPr>
        <w:pStyle w:val="Indenta"/>
      </w:pPr>
      <w:r>
        <w:tab/>
        <w:t>(b)</w:t>
      </w:r>
      <w:r>
        <w:tab/>
        <w:t>may be subject to conditions; and</w:t>
      </w:r>
    </w:p>
    <w:p>
      <w:pPr>
        <w:pStyle w:val="Indenta"/>
      </w:pPr>
      <w:r>
        <w:tab/>
        <w:t>(c)</w:t>
      </w:r>
      <w:r>
        <w:tab/>
        <w:t>may be amended, suspended or revoked at any time.</w:t>
      </w:r>
    </w:p>
    <w:p>
      <w:pPr>
        <w:pStyle w:val="Footnotesection"/>
      </w:pPr>
      <w:r>
        <w:tab/>
        <w:t>[Regulation 51CC inserted in Gazette 21 Apr 2009 p. 1362.]</w:t>
      </w:r>
    </w:p>
    <w:p>
      <w:pPr>
        <w:pStyle w:val="Heading5"/>
        <w:rPr>
          <w:snapToGrid w:val="0"/>
        </w:rPr>
      </w:pPr>
      <w:bookmarkStart w:id="139" w:name="_Toc389746768"/>
      <w:r>
        <w:rPr>
          <w:rStyle w:val="CharSectno"/>
        </w:rPr>
        <w:t>51D</w:t>
      </w:r>
      <w:r>
        <w:t>.</w:t>
      </w:r>
      <w:r>
        <w:tab/>
        <w:t>P</w:t>
      </w:r>
      <w:r>
        <w:rPr>
          <w:snapToGrid w:val="0"/>
        </w:rPr>
        <w:t>rescribing pharmacotherapies for the treatment of the drug addiction of a drug addict — general rules</w:t>
      </w:r>
      <w:bookmarkEnd w:id="139"/>
    </w:p>
    <w:p>
      <w:pPr>
        <w:pStyle w:val="Subsection"/>
        <w:rPr>
          <w:snapToGrid w:val="0"/>
        </w:rPr>
      </w:pPr>
      <w:r>
        <w:rPr>
          <w:snapToGrid w:val="0"/>
        </w:rPr>
        <w:tab/>
        <w:t>(1)</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an authorised prescriber; and</w:t>
      </w:r>
    </w:p>
    <w:p>
      <w:pPr>
        <w:pStyle w:val="Indenta"/>
      </w:pPr>
      <w:r>
        <w:tab/>
        <w:t>(b)</w:t>
      </w:r>
      <w:r>
        <w:tab/>
        <w:t>is appointed as the authorised prescriber for the person; and</w:t>
      </w:r>
    </w:p>
    <w:p>
      <w:pPr>
        <w:pStyle w:val="Indenta"/>
      </w:pPr>
      <w:r>
        <w:tab/>
        <w:t>(c)</w:t>
      </w:r>
      <w:r>
        <w:tab/>
        <w:t>does so in accordance with that appointment.</w:t>
      </w:r>
    </w:p>
    <w:p>
      <w:pPr>
        <w:pStyle w:val="Subsection"/>
        <w:rPr>
          <w:snapToGrid w:val="0"/>
        </w:rPr>
      </w:pPr>
      <w:r>
        <w:rPr>
          <w:snapToGrid w:val="0"/>
        </w:rPr>
        <w:tab/>
        <w:t>(2)</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spacing w:before="70"/>
      </w:pPr>
      <w:r>
        <w:tab/>
        <w:t>(a)</w:t>
      </w:r>
      <w:r>
        <w:tab/>
        <w:t>is an authorised prescriber; and</w:t>
      </w:r>
    </w:p>
    <w:p>
      <w:pPr>
        <w:pStyle w:val="Indenta"/>
        <w:spacing w:before="70"/>
      </w:pPr>
      <w:r>
        <w:tab/>
        <w:t>(b)</w:t>
      </w:r>
      <w:r>
        <w:tab/>
        <w:t>is a member of the same medical practice as the authorised prescriber appointed for the person; and</w:t>
      </w:r>
    </w:p>
    <w:p>
      <w:pPr>
        <w:pStyle w:val="Indenta"/>
        <w:spacing w:before="70"/>
      </w:pPr>
      <w:r>
        <w:tab/>
        <w:t>(c)</w:t>
      </w:r>
      <w:r>
        <w:tab/>
        <w:t>has access to the medical records of the practice relating to the person; and</w:t>
      </w:r>
    </w:p>
    <w:p>
      <w:pPr>
        <w:pStyle w:val="Indenta"/>
        <w:spacing w:before="70"/>
      </w:pPr>
      <w:r>
        <w:tab/>
        <w:t>(d)</w:t>
      </w:r>
      <w:r>
        <w:tab/>
        <w:t>does so in accordance with the appointment of the authorised prescriber for the person.</w:t>
      </w:r>
    </w:p>
    <w:p>
      <w:pPr>
        <w:pStyle w:val="Subsection"/>
        <w:rPr>
          <w:snapToGrid w:val="0"/>
        </w:rPr>
      </w:pPr>
      <w:r>
        <w:rPr>
          <w:snapToGrid w:val="0"/>
        </w:rPr>
        <w:tab/>
        <w:t>(3)</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 co</w:t>
      </w:r>
      <w:r>
        <w:noBreakHyphen/>
        <w:t>prescriber for the person; and</w:t>
      </w:r>
    </w:p>
    <w:p>
      <w:pPr>
        <w:pStyle w:val="Indenta"/>
      </w:pPr>
      <w:r>
        <w:tab/>
        <w:t>(b)</w:t>
      </w:r>
      <w:r>
        <w:tab/>
        <w:t xml:space="preserve">does so in accordance with — </w:t>
      </w:r>
    </w:p>
    <w:p>
      <w:pPr>
        <w:pStyle w:val="Indenti"/>
        <w:spacing w:before="70"/>
      </w:pPr>
      <w:r>
        <w:tab/>
        <w:t>(i)</w:t>
      </w:r>
      <w:r>
        <w:tab/>
        <w:t>his or her appointment as a co</w:t>
      </w:r>
      <w:r>
        <w:noBreakHyphen/>
        <w:t>prescriber; and</w:t>
      </w:r>
    </w:p>
    <w:p>
      <w:pPr>
        <w:pStyle w:val="Indenti"/>
        <w:spacing w:before="70"/>
      </w:pPr>
      <w:r>
        <w:tab/>
        <w:t>(ii)</w:t>
      </w:r>
      <w:r>
        <w:tab/>
        <w:t>the appointment of the authorised prescriber for the person.</w:t>
      </w:r>
    </w:p>
    <w:p>
      <w:pPr>
        <w:pStyle w:val="Subsection"/>
        <w:rPr>
          <w:snapToGrid w:val="0"/>
        </w:rPr>
      </w:pPr>
      <w:r>
        <w:rPr>
          <w:snapToGrid w:val="0"/>
        </w:rPr>
        <w:tab/>
        <w:t>(4)</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70"/>
      </w:pPr>
      <w:r>
        <w:tab/>
        <w:t>(a)</w:t>
      </w:r>
      <w:r>
        <w:tab/>
        <w:t>under subregulation (3) — may not cover a period of more than 3 months; or</w:t>
      </w:r>
    </w:p>
    <w:p>
      <w:pPr>
        <w:pStyle w:val="Indenta"/>
        <w:spacing w:before="70"/>
      </w:pPr>
      <w:r>
        <w:tab/>
        <w:t>(b)</w:t>
      </w:r>
      <w:r>
        <w:tab/>
        <w:t>under subregulation (4) — may not cover a period of more than one month.</w:t>
      </w:r>
    </w:p>
    <w:p>
      <w:pPr>
        <w:pStyle w:val="Footnotesection"/>
      </w:pPr>
      <w:r>
        <w:tab/>
        <w:t>[Regulation 51D inserted in Gazette 21 Apr 2009 p. 1362</w:t>
      </w:r>
      <w:r>
        <w:noBreakHyphen/>
        <w:t>3.]</w:t>
      </w:r>
    </w:p>
    <w:p>
      <w:pPr>
        <w:pStyle w:val="Heading5"/>
        <w:rPr>
          <w:snapToGrid w:val="0"/>
        </w:rPr>
      </w:pPr>
      <w:bookmarkStart w:id="140" w:name="_Toc389746769"/>
      <w:r>
        <w:rPr>
          <w:rStyle w:val="CharSectno"/>
        </w:rPr>
        <w:t>51DA</w:t>
      </w:r>
      <w:r>
        <w:t>.</w:t>
      </w:r>
      <w:r>
        <w:tab/>
        <w:t>P</w:t>
      </w:r>
      <w:r>
        <w:rPr>
          <w:snapToGrid w:val="0"/>
        </w:rPr>
        <w:t>rescribing pharmacotherapies for the treatment of the drug addiction of a drug addict — in a hospital</w:t>
      </w:r>
      <w:bookmarkEnd w:id="140"/>
    </w:p>
    <w:p>
      <w:pPr>
        <w:pStyle w:val="Subsection"/>
      </w:pPr>
      <w:r>
        <w:rPr>
          <w:snapToGrid w:val="0"/>
        </w:rPr>
        <w:tab/>
        <w:t>(1)</w:t>
      </w:r>
      <w:r>
        <w:rPr>
          <w:snapToGrid w:val="0"/>
        </w:rPr>
        <w:tab/>
        <w:t xml:space="preserve">A medical practitioner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w:t>
      </w:r>
    </w:p>
    <w:p>
      <w:pPr>
        <w:pStyle w:val="Heading5"/>
        <w:rPr>
          <w:snapToGrid w:val="0"/>
        </w:rPr>
      </w:pPr>
      <w:bookmarkStart w:id="141" w:name="_Toc389746770"/>
      <w:r>
        <w:rPr>
          <w:rStyle w:val="CharSectno"/>
        </w:rPr>
        <w:t>51DB</w:t>
      </w:r>
      <w:r>
        <w:t>.</w:t>
      </w:r>
      <w:r>
        <w:tab/>
        <w:t>P</w:t>
      </w:r>
      <w:r>
        <w:rPr>
          <w:snapToGrid w:val="0"/>
        </w:rPr>
        <w:t>rescribing pharmacotherapies for the treatment of the drug addiction of a drug addict — in custody</w:t>
      </w:r>
      <w:bookmarkEnd w:id="141"/>
    </w:p>
    <w:p>
      <w:pPr>
        <w:pStyle w:val="Subsection"/>
      </w:pPr>
      <w:r>
        <w:rPr>
          <w:snapToGrid w:val="0"/>
        </w:rPr>
        <w:tab/>
        <w:t>(1)</w:t>
      </w:r>
      <w:r>
        <w:rPr>
          <w:snapToGrid w:val="0"/>
        </w:rPr>
        <w:tab/>
        <w:t xml:space="preserve">A medical practitioner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in custody.</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51DB inserted in Gazette 21 Apr 2009 p. 1364.]</w:t>
      </w:r>
    </w:p>
    <w:p>
      <w:pPr>
        <w:pStyle w:val="Heading5"/>
        <w:rPr>
          <w:snapToGrid w:val="0"/>
        </w:rPr>
      </w:pPr>
      <w:bookmarkStart w:id="142" w:name="_Toc389746771"/>
      <w:r>
        <w:rPr>
          <w:rStyle w:val="CharSectno"/>
        </w:rPr>
        <w:t>51DC</w:t>
      </w:r>
      <w:r>
        <w:t>.</w:t>
      </w:r>
      <w:r>
        <w:tab/>
        <w:t>P</w:t>
      </w:r>
      <w:r>
        <w:rPr>
          <w:snapToGrid w:val="0"/>
        </w:rPr>
        <w:t>rescribing pharmacotherapies for the treatment of the drug addiction of a drug addict — interim prescriptions</w:t>
      </w:r>
      <w:bookmarkEnd w:id="142"/>
    </w:p>
    <w:p>
      <w:pPr>
        <w:pStyle w:val="Subsection"/>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51DC inserted in Gazette 21 Apr 2009 p. 1365]</w:t>
      </w:r>
    </w:p>
    <w:p>
      <w:pPr>
        <w:pStyle w:val="Heading5"/>
      </w:pPr>
      <w:bookmarkStart w:id="143" w:name="_Toc389746772"/>
      <w:r>
        <w:rPr>
          <w:rStyle w:val="CharSectno"/>
        </w:rPr>
        <w:t>51E</w:t>
      </w:r>
      <w:r>
        <w:t>.</w:t>
      </w:r>
      <w:r>
        <w:tab/>
        <w:t>Dispensing drugs of addiction from a pharmacy</w:t>
      </w:r>
      <w:bookmarkEnd w:id="143"/>
    </w:p>
    <w:p>
      <w:pPr>
        <w:pStyle w:val="Subsection"/>
      </w:pPr>
      <w:r>
        <w:tab/>
      </w:r>
      <w:r>
        <w:tab/>
        <w:t>A pharmaceutical chemist or an assistant under the direct personal supervision of a pharmaceutical chemist may dispense a drug of addiction, other than a pharmacotherapy, to a person who is a drug addict.</w:t>
      </w:r>
    </w:p>
    <w:p>
      <w:pPr>
        <w:pStyle w:val="Footnotesection"/>
      </w:pPr>
      <w:r>
        <w:tab/>
        <w:t>[Regulation 51E inserted in Gazette 21 Apr 2009 p. 1365.]</w:t>
      </w:r>
    </w:p>
    <w:p>
      <w:pPr>
        <w:pStyle w:val="Heading5"/>
      </w:pPr>
      <w:bookmarkStart w:id="144" w:name="_Toc389746773"/>
      <w:r>
        <w:rPr>
          <w:rStyle w:val="CharSectno"/>
        </w:rPr>
        <w:t>51EA</w:t>
      </w:r>
      <w:r>
        <w:t>.</w:t>
      </w:r>
      <w:r>
        <w:tab/>
        <w:t>Dispensing pharmacotherapies from a pharmacy</w:t>
      </w:r>
      <w:bookmarkEnd w:id="144"/>
    </w:p>
    <w:p>
      <w:pPr>
        <w:pStyle w:val="Subsection"/>
      </w:pPr>
      <w:r>
        <w:tab/>
        <w:t>(1)</w:t>
      </w:r>
      <w:r>
        <w:tab/>
        <w:t>The CEO may authorise the dispensing of pharmacotherapies at a pharmacy.</w:t>
      </w:r>
    </w:p>
    <w:p>
      <w:pPr>
        <w:pStyle w:val="Subsection"/>
      </w:pPr>
      <w:r>
        <w:tab/>
        <w:t>(2)</w:t>
      </w:r>
      <w:r>
        <w:tab/>
        <w:t>A pharmaceutical chemist or an assistant under the direct personal supervision of a pharmaceutical chemist may dispense a pharmacotherapy to a person who is a drug addict if the pharmaceutical chemist or assistant does so in accordance with an authorisation governing the dispensing of pharmacotherapies at the pharmacy.</w:t>
      </w:r>
    </w:p>
    <w:p>
      <w:pPr>
        <w:pStyle w:val="Subsection"/>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w:t>
      </w:r>
    </w:p>
    <w:p>
      <w:pPr>
        <w:pStyle w:val="Heading4"/>
      </w:pPr>
      <w:bookmarkStart w:id="145" w:name="_Toc389746774"/>
      <w:r>
        <w:t>Subdivision 2A — Supply and prescription of Schedule 8 poisons to persons other than drug addicts</w:t>
      </w:r>
      <w:bookmarkEnd w:id="145"/>
    </w:p>
    <w:p>
      <w:pPr>
        <w:pStyle w:val="Footnoteheading"/>
      </w:pPr>
      <w:r>
        <w:tab/>
        <w:t>[Heading inserted in Gazette 21 Apr 2009 p. 1366.]</w:t>
      </w:r>
    </w:p>
    <w:p>
      <w:pPr>
        <w:pStyle w:val="Heading5"/>
        <w:rPr>
          <w:snapToGrid w:val="0"/>
        </w:rPr>
      </w:pPr>
      <w:bookmarkStart w:id="146" w:name="_Toc389746775"/>
      <w:r>
        <w:rPr>
          <w:rStyle w:val="CharSectno"/>
        </w:rPr>
        <w:t>51F</w:t>
      </w:r>
      <w:r>
        <w:rPr>
          <w:snapToGrid w:val="0"/>
        </w:rPr>
        <w:t>.</w:t>
      </w:r>
      <w:r>
        <w:rPr>
          <w:snapToGrid w:val="0"/>
        </w:rPr>
        <w:tab/>
        <w:t xml:space="preserve">Treatment not to exceed 60 days unless authorised by </w:t>
      </w:r>
      <w:r>
        <w:t>CEO</w:t>
      </w:r>
      <w:bookmarkEnd w:id="146"/>
    </w:p>
    <w:p>
      <w:pPr>
        <w:pStyle w:val="Subsection"/>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spacing w:before="100"/>
        <w:rPr>
          <w:snapToGrid w:val="0"/>
        </w:rPr>
      </w:pPr>
      <w:r>
        <w:rPr>
          <w:snapToGrid w:val="0"/>
        </w:rPr>
        <w:tab/>
        <w:t>(a)</w:t>
      </w:r>
      <w:r>
        <w:rPr>
          <w:snapToGrid w:val="0"/>
        </w:rPr>
        <w:tab/>
        <w:t>the medical practitioner has first obtained written authorisation under this regulation to do so from the</w:t>
      </w:r>
      <w:r>
        <w:t xml:space="preserve"> CEO</w:t>
      </w:r>
      <w:r>
        <w:rPr>
          <w:snapToGrid w:val="0"/>
        </w:rPr>
        <w:t>; or</w:t>
      </w:r>
    </w:p>
    <w:p>
      <w:pPr>
        <w:pStyle w:val="Indenta"/>
        <w:spacing w:before="100"/>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spacing w:before="100"/>
        <w:rPr>
          <w:snapToGrid w:val="0"/>
        </w:rPr>
      </w:pPr>
      <w:r>
        <w:rPr>
          <w:snapToGrid w:val="0"/>
        </w:rPr>
        <w:tab/>
        <w:t>(a)</w:t>
      </w:r>
      <w:r>
        <w:rPr>
          <w:snapToGrid w:val="0"/>
        </w:rPr>
        <w:tab/>
        <w:t>that the prescription be issued by or the treatment be administered by a specified medical practitioner;</w:t>
      </w:r>
    </w:p>
    <w:p>
      <w:pPr>
        <w:pStyle w:val="Indenta"/>
        <w:spacing w:before="100"/>
        <w:rPr>
          <w:snapToGrid w:val="0"/>
        </w:rPr>
      </w:pPr>
      <w:r>
        <w:rPr>
          <w:snapToGrid w:val="0"/>
        </w:rPr>
        <w:tab/>
        <w:t>(b)</w:t>
      </w:r>
      <w:r>
        <w:rPr>
          <w:snapToGrid w:val="0"/>
        </w:rPr>
        <w:tab/>
        <w:t>that only a specified poison included in Schedule 8 be prescribed or used for treatment;</w:t>
      </w:r>
    </w:p>
    <w:p>
      <w:pPr>
        <w:pStyle w:val="Indenta"/>
        <w:spacing w:before="100"/>
        <w:rPr>
          <w:snapToGrid w:val="0"/>
        </w:rPr>
      </w:pPr>
      <w:r>
        <w:rPr>
          <w:snapToGrid w:val="0"/>
        </w:rPr>
        <w:tab/>
        <w:t>(c)</w:t>
      </w:r>
      <w:r>
        <w:rPr>
          <w:snapToGrid w:val="0"/>
        </w:rPr>
        <w:tab/>
        <w:t>that the type of the poison included in Schedule 8 specified be of the type specified;</w:t>
      </w:r>
    </w:p>
    <w:p>
      <w:pPr>
        <w:pStyle w:val="Indenta"/>
        <w:spacing w:before="100"/>
        <w:rPr>
          <w:snapToGrid w:val="0"/>
        </w:rPr>
      </w:pPr>
      <w:r>
        <w:rPr>
          <w:snapToGrid w:val="0"/>
        </w:rPr>
        <w:tab/>
        <w:t>(d)</w:t>
      </w:r>
      <w:r>
        <w:rPr>
          <w:snapToGrid w:val="0"/>
        </w:rPr>
        <w:tab/>
        <w:t>that the amount to be prescribed or used for treatment shall not exceed the amount specified;</w:t>
      </w:r>
    </w:p>
    <w:p>
      <w:pPr>
        <w:pStyle w:val="Indenta"/>
        <w:keepNext/>
        <w:spacing w:before="100"/>
        <w:rPr>
          <w:snapToGrid w:val="0"/>
        </w:rPr>
      </w:pPr>
      <w:r>
        <w:rPr>
          <w:snapToGrid w:val="0"/>
        </w:rPr>
        <w:tab/>
        <w:t>(e)</w:t>
      </w:r>
      <w:r>
        <w:rPr>
          <w:snapToGrid w:val="0"/>
        </w:rPr>
        <w:tab/>
        <w:t>that the amount to be prescribed or used on any one day shall not exceed the amount specified;</w:t>
      </w:r>
    </w:p>
    <w:p>
      <w:pPr>
        <w:pStyle w:val="Indenta"/>
        <w:spacing w:before="100"/>
        <w:rPr>
          <w:snapToGrid w:val="0"/>
        </w:rPr>
      </w:pPr>
      <w:r>
        <w:rPr>
          <w:snapToGrid w:val="0"/>
        </w:rPr>
        <w:tab/>
        <w:t>(f)</w:t>
      </w:r>
      <w:r>
        <w:rPr>
          <w:snapToGrid w:val="0"/>
        </w:rPr>
        <w:tab/>
        <w:t>that the concentration to be prescribed shall not exceed the concentration specified;</w:t>
      </w:r>
    </w:p>
    <w:p>
      <w:pPr>
        <w:pStyle w:val="Indenta"/>
        <w:spacing w:before="10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100"/>
        <w:rPr>
          <w:snapToGrid w:val="0"/>
        </w:rPr>
      </w:pPr>
      <w:r>
        <w:rPr>
          <w:snapToGrid w:val="0"/>
        </w:rPr>
        <w:tab/>
        <w:t>(h)</w:t>
      </w:r>
      <w:r>
        <w:rPr>
          <w:snapToGrid w:val="0"/>
        </w:rPr>
        <w:tab/>
        <w:t>that the prescription be supplied at the pharmacy specified;</w:t>
      </w:r>
    </w:p>
    <w:p>
      <w:pPr>
        <w:pStyle w:val="Indenta"/>
        <w:spacing w:before="100"/>
        <w:rPr>
          <w:snapToGrid w:val="0"/>
        </w:rPr>
      </w:pPr>
      <w:r>
        <w:rPr>
          <w:snapToGrid w:val="0"/>
        </w:rPr>
        <w:tab/>
        <w:t>(i)</w:t>
      </w:r>
      <w:r>
        <w:rPr>
          <w:snapToGrid w:val="0"/>
        </w:rPr>
        <w:tab/>
        <w:t>that the amount dispensed on a single prescription not exceed such amount as is specified;</w:t>
      </w:r>
    </w:p>
    <w:p>
      <w:pPr>
        <w:pStyle w:val="Indenta"/>
        <w:spacing w:before="100"/>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A pharmaceutical chemist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w:t>
      </w:r>
    </w:p>
    <w:p>
      <w:pPr>
        <w:pStyle w:val="Heading4"/>
      </w:pPr>
      <w:bookmarkStart w:id="147" w:name="_Toc389746776"/>
      <w:r>
        <w:t xml:space="preserve">Subdivision 3 — Supply and prescription of </w:t>
      </w:r>
      <w:r>
        <w:rPr>
          <w:bCs/>
        </w:rPr>
        <w:t>stimulants</w:t>
      </w:r>
      <w:bookmarkEnd w:id="147"/>
    </w:p>
    <w:p>
      <w:pPr>
        <w:pStyle w:val="Footnoteheading"/>
        <w:spacing w:before="80"/>
      </w:pPr>
      <w:r>
        <w:tab/>
        <w:t>[Heading inserted in Gazette 12 Aug 2003 p. 3664; amended in Gazette 15 Sep 2009 p. 3573.]</w:t>
      </w:r>
    </w:p>
    <w:p>
      <w:pPr>
        <w:pStyle w:val="Heading5"/>
      </w:pPr>
      <w:bookmarkStart w:id="148" w:name="_Toc389746777"/>
      <w:r>
        <w:rPr>
          <w:rStyle w:val="CharSectno"/>
        </w:rPr>
        <w:t>51FA</w:t>
      </w:r>
      <w:r>
        <w:t>.</w:t>
      </w:r>
      <w:r>
        <w:tab/>
        <w:t>Terms used</w:t>
      </w:r>
      <w:bookmarkEnd w:id="148"/>
    </w:p>
    <w:p>
      <w:pPr>
        <w:pStyle w:val="Subsection"/>
      </w:pPr>
      <w:r>
        <w:tab/>
      </w:r>
      <w:r>
        <w:tab/>
        <w:t>In this Subdivision —</w:t>
      </w:r>
    </w:p>
    <w:p>
      <w:pPr>
        <w:pStyle w:val="Defstart"/>
        <w:spacing w:before="60"/>
      </w:pPr>
      <w:r>
        <w:rPr>
          <w:b/>
        </w:rPr>
        <w:tab/>
      </w:r>
      <w:r>
        <w:rPr>
          <w:rStyle w:val="CharDefText"/>
        </w:rPr>
        <w:t>approved clinic</w:t>
      </w:r>
      <w:r>
        <w:t xml:space="preserve"> means a clinic approved under regulation 51FJ;</w:t>
      </w:r>
    </w:p>
    <w:p>
      <w:pPr>
        <w:pStyle w:val="Defstart"/>
        <w:spacing w:before="6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who is a co</w:t>
      </w:r>
      <w:r>
        <w:noBreakHyphen/>
        <w:t>prescriber for the patient under regulation 51FH(5);</w:t>
      </w:r>
    </w:p>
    <w:p>
      <w:pPr>
        <w:pStyle w:val="Defstart"/>
        <w:spacing w:before="6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6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60"/>
      </w:pPr>
      <w:r>
        <w:rPr>
          <w:b/>
        </w:rPr>
        <w:tab/>
      </w:r>
      <w:r>
        <w:rPr>
          <w:rStyle w:val="CharDefText"/>
        </w:rPr>
        <w:t>current prescriber</w:t>
      </w:r>
      <w:r>
        <w:t>, in relation to a patient, means the SPN practitioner who is the current prescriber for the patient under regulation 51FF;</w:t>
      </w:r>
    </w:p>
    <w:p>
      <w:pPr>
        <w:pStyle w:val="Defstart"/>
        <w:spacing w:before="6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60"/>
      </w:pPr>
      <w:r>
        <w:rPr>
          <w:b/>
        </w:rPr>
        <w:tab/>
      </w:r>
      <w:r>
        <w:rPr>
          <w:rStyle w:val="CharDefText"/>
        </w:rPr>
        <w:t>nominated co</w:t>
      </w:r>
      <w:r>
        <w:rPr>
          <w:rStyle w:val="CharDefText"/>
        </w:rPr>
        <w:noBreakHyphen/>
        <w:t>prescriber</w:t>
      </w:r>
      <w:r>
        <w:rPr>
          <w:bCs/>
        </w:rPr>
        <w:t>, in relation to a patient,</w:t>
      </w:r>
      <w:r>
        <w:t xml:space="preserve"> means a medical practitioner who is a nominated co</w:t>
      </w:r>
      <w:r>
        <w:noBreakHyphen/>
        <w:t>prescriber for the patient under regulation 51FH;</w:t>
      </w:r>
    </w:p>
    <w:p>
      <w:pPr>
        <w:pStyle w:val="Defstart"/>
        <w:spacing w:before="60"/>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spacing w:before="60"/>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spacing w:before="60"/>
      </w:pPr>
      <w:r>
        <w:rPr>
          <w:b/>
        </w:rPr>
        <w:tab/>
      </w:r>
      <w:r>
        <w:rPr>
          <w:rStyle w:val="CharDefText"/>
        </w:rPr>
        <w:t>Stimulant Prescribing Code</w:t>
      </w:r>
      <w:r>
        <w:t xml:space="preserve"> means the “Clinical criteria for the prescribing of stimulant medicines in Western Australia” published by the CEO from time to time.</w:t>
      </w:r>
    </w:p>
    <w:p>
      <w:pPr>
        <w:pStyle w:val="Footnotesection"/>
        <w:spacing w:before="80"/>
        <w:ind w:left="890" w:hanging="890"/>
      </w:pPr>
      <w:r>
        <w:tab/>
        <w:t>[Regulation 51FA inserted in Gazette 15 Sep 2009 p. 3573</w:t>
      </w:r>
      <w:r>
        <w:noBreakHyphen/>
        <w:t>4.]</w:t>
      </w:r>
    </w:p>
    <w:p>
      <w:pPr>
        <w:pStyle w:val="Heading5"/>
      </w:pPr>
      <w:bookmarkStart w:id="149" w:name="_Toc389746778"/>
      <w:r>
        <w:rPr>
          <w:rStyle w:val="CharSectno"/>
        </w:rPr>
        <w:t>51FB</w:t>
      </w:r>
      <w:r>
        <w:t>.</w:t>
      </w:r>
      <w:r>
        <w:tab/>
        <w:t>Who may supply or prescribe a stimulant</w:t>
      </w:r>
      <w:bookmarkEnd w:id="149"/>
    </w:p>
    <w:p>
      <w:pPr>
        <w:pStyle w:val="Subsection"/>
      </w:pPr>
      <w:r>
        <w:tab/>
        <w:t>(1)</w:t>
      </w:r>
      <w:r>
        <w:tab/>
        <w:t xml:space="preserve">A person must not supply or prescribe a stimulant unless — </w:t>
      </w:r>
    </w:p>
    <w:p>
      <w:pPr>
        <w:pStyle w:val="Indenta"/>
      </w:pPr>
      <w:r>
        <w:tab/>
        <w:t>(a)</w:t>
      </w:r>
      <w:r>
        <w:tab/>
        <w:t xml:space="preserve">the person — </w:t>
      </w:r>
    </w:p>
    <w:p>
      <w:pPr>
        <w:pStyle w:val="Indenti"/>
      </w:pPr>
      <w:r>
        <w:tab/>
        <w:t>(i)</w:t>
      </w:r>
      <w:r>
        <w:tab/>
        <w:t>is a medical practitioner; and</w:t>
      </w:r>
    </w:p>
    <w:p>
      <w:pPr>
        <w:pStyle w:val="Indenti"/>
      </w:pPr>
      <w:r>
        <w:tab/>
        <w:t>(ii)</w:t>
      </w:r>
      <w:r>
        <w:tab/>
        <w:t xml:space="preserve">one of subregulations (2) to (5) applies; </w:t>
      </w:r>
    </w:p>
    <w:p>
      <w:pPr>
        <w:pStyle w:val="Indenta"/>
      </w:pPr>
      <w:r>
        <w:tab/>
      </w:r>
      <w:r>
        <w:tab/>
        <w:t>or</w:t>
      </w:r>
    </w:p>
    <w:p>
      <w:pPr>
        <w:pStyle w:val="Indenta"/>
      </w:pPr>
      <w:r>
        <w:tab/>
        <w:t>(b)</w:t>
      </w:r>
      <w:r>
        <w:tab/>
        <w:t xml:space="preserve">the person — </w:t>
      </w:r>
    </w:p>
    <w:p>
      <w:pPr>
        <w:pStyle w:val="Indenti"/>
      </w:pPr>
      <w:r>
        <w:tab/>
        <w:t>(i)</w:t>
      </w:r>
      <w:r>
        <w:tab/>
        <w:t>is a pharmaceutical chemist, or an assistant under the direct personal supervision of a pharmaceutical chemist; and</w:t>
      </w:r>
    </w:p>
    <w:p>
      <w:pPr>
        <w:pStyle w:val="Indenti"/>
      </w:pPr>
      <w:r>
        <w:tab/>
        <w:t>(ii)</w:t>
      </w:r>
      <w:r>
        <w:tab/>
        <w:t>dispenses the stimulant in accordance with regulation 52.</w:t>
      </w:r>
    </w:p>
    <w:p>
      <w:pPr>
        <w:pStyle w:val="Subsection"/>
      </w:pPr>
      <w:r>
        <w:tab/>
        <w:t>(2)</w:t>
      </w:r>
      <w:r>
        <w:tab/>
        <w:t>This subregulation applies if the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practice is, or includes, treating persons at the hospital, prison or detention centre; and</w:t>
      </w:r>
    </w:p>
    <w:p>
      <w:pPr>
        <w:pStyle w:val="Indenta"/>
      </w:pPr>
      <w:r>
        <w:tab/>
        <w:t>(d)</w:t>
      </w:r>
      <w:r>
        <w:tab/>
        <w:t>the current prescriber or a current clinic prescriber has agreed with the medical practitioner that the patient should continue to be supplied or prescribed the stimulant; and</w:t>
      </w:r>
    </w:p>
    <w:p>
      <w:pPr>
        <w:pStyle w:val="Indenta"/>
      </w:pPr>
      <w:r>
        <w:tab/>
        <w:t>(e)</w:t>
      </w:r>
      <w:r>
        <w:tab/>
        <w:t>the medical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first supplies or prescribed stimulants to or for the patient. </w:t>
      </w:r>
    </w:p>
    <w:p>
      <w:pPr>
        <w:pStyle w:val="Footnotesection"/>
      </w:pPr>
      <w:r>
        <w:tab/>
        <w:t>[Regulation 51FB inserted in Gazette 15 Sep 2009 p. 3574</w:t>
      </w:r>
      <w:r>
        <w:noBreakHyphen/>
        <w:t>5.]</w:t>
      </w:r>
    </w:p>
    <w:p>
      <w:pPr>
        <w:pStyle w:val="Heading5"/>
      </w:pPr>
      <w:bookmarkStart w:id="150" w:name="_Toc389746779"/>
      <w:r>
        <w:rPr>
          <w:rStyle w:val="CharSectno"/>
        </w:rPr>
        <w:t>51FC</w:t>
      </w:r>
      <w:r>
        <w:t>.</w:t>
      </w:r>
      <w:r>
        <w:tab/>
        <w:t>Stimulant Prescribing Code</w:t>
      </w:r>
      <w:bookmarkEnd w:id="150"/>
    </w:p>
    <w:p>
      <w:pPr>
        <w:pStyle w:val="Subsection"/>
      </w:pPr>
      <w:r>
        <w:tab/>
        <w:t>(1)</w:t>
      </w:r>
      <w:r>
        <w:tab/>
        <w:t>A medical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 xml:space="preserve">The CEO may vary or revoke an authorisation granted under subregulation (2) or (4) at any time by giving written notice to the medical practitioner. </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w:t>
      </w:r>
    </w:p>
    <w:p>
      <w:pPr>
        <w:pStyle w:val="Heading5"/>
      </w:pPr>
      <w:bookmarkStart w:id="151" w:name="_Toc389746780"/>
      <w:r>
        <w:rPr>
          <w:rStyle w:val="CharSectno"/>
        </w:rPr>
        <w:t>51FD</w:t>
      </w:r>
      <w:r>
        <w:t>.</w:t>
      </w:r>
      <w:r>
        <w:tab/>
        <w:t>CEO may order treatment to be terminated or varied</w:t>
      </w:r>
      <w:bookmarkEnd w:id="151"/>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(4)</w:t>
      </w:r>
      <w:r>
        <w:tab/>
        <w:t>A medical practitioner must not supply or prescribe a stimulant in contravention of an order made under subregulation (1).</w:t>
      </w:r>
    </w:p>
    <w:p>
      <w:pPr>
        <w:pStyle w:val="Footnotesection"/>
      </w:pPr>
      <w:r>
        <w:tab/>
        <w:t>[Regulation 51FD inserted in Gazette 15 Sep 2009 p. 3576</w:t>
      </w:r>
      <w:r>
        <w:noBreakHyphen/>
        <w:t>7.]</w:t>
      </w:r>
    </w:p>
    <w:p>
      <w:pPr>
        <w:pStyle w:val="Heading5"/>
      </w:pPr>
      <w:bookmarkStart w:id="152" w:name="_Toc389746781"/>
      <w:r>
        <w:rPr>
          <w:rStyle w:val="CharSectno"/>
        </w:rPr>
        <w:t>51FE</w:t>
      </w:r>
      <w:r>
        <w:t>.</w:t>
      </w:r>
      <w:r>
        <w:tab/>
        <w:t>CEO to be notified of supply or prescription</w:t>
      </w:r>
      <w:bookmarkEnd w:id="152"/>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(5)</w:t>
      </w:r>
      <w:r>
        <w:tab/>
        <w:t xml:space="preserve">A medical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w:t>
      </w:r>
    </w:p>
    <w:p>
      <w:pPr>
        <w:pStyle w:val="Heading5"/>
      </w:pPr>
      <w:bookmarkStart w:id="153" w:name="_Toc389746782"/>
      <w:r>
        <w:rPr>
          <w:rStyle w:val="CharSectno"/>
        </w:rPr>
        <w:t>51FF</w:t>
      </w:r>
      <w:r>
        <w:t>.</w:t>
      </w:r>
      <w:r>
        <w:tab/>
        <w:t>Current prescriber and current clinic</w:t>
      </w:r>
      <w:bookmarkEnd w:id="153"/>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pPr>
      <w:r>
        <w:tab/>
        <w:t>(b)</w:t>
      </w:r>
      <w:r>
        <w:tab/>
        <w:t>if —</w:t>
      </w:r>
    </w:p>
    <w:p>
      <w:pPr>
        <w:pStyle w:val="Indenti"/>
      </w:pPr>
      <w:r>
        <w:tab/>
        <w:t>(i)</w:t>
      </w:r>
      <w:r>
        <w:tab/>
        <w:t>the practitioner giving the notification practises at an approved clinic; and</w:t>
      </w:r>
    </w:p>
    <w:p>
      <w:pPr>
        <w:pStyle w:val="Indenti"/>
      </w:pPr>
      <w:r>
        <w:tab/>
        <w:t>(ii)</w:t>
      </w:r>
      <w:r>
        <w:tab/>
        <w:t>the supply or prescription of the stimulant is in accordance with the Stimulant Prescribing Code,</w:t>
      </w:r>
    </w:p>
    <w:p>
      <w:pPr>
        <w:pStyle w:val="Indenta"/>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pPr>
      <w:r>
        <w:tab/>
        <w:t>(3)</w:t>
      </w:r>
      <w:r>
        <w:tab/>
        <w:t>A patient’s current prescriber ceases to be his or her current prescriber if —</w:t>
      </w:r>
    </w:p>
    <w:p>
      <w:pPr>
        <w:pStyle w:val="Indenta"/>
      </w:pPr>
      <w:r>
        <w:tab/>
        <w:t>(a)</w:t>
      </w:r>
      <w:r>
        <w:tab/>
        <w:t>the prescriber is given a notice under subregulation (2); or</w:t>
      </w:r>
    </w:p>
    <w:p>
      <w:pPr>
        <w:pStyle w:val="Indenta"/>
      </w:pPr>
      <w:r>
        <w:tab/>
        <w:t>(b)</w:t>
      </w:r>
      <w:r>
        <w:tab/>
        <w:t>the practitioner gives an updated notification under regulation 51FE(2)(c); or</w:t>
      </w:r>
    </w:p>
    <w:p>
      <w:pPr>
        <w:pStyle w:val="Indenta"/>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Footnotesection"/>
      </w:pPr>
      <w:r>
        <w:tab/>
        <w:t>[Regulation 51FF inserted in Gazette 15 Sep 2009 p. 3578</w:t>
      </w:r>
      <w:r>
        <w:noBreakHyphen/>
        <w:t>9.]</w:t>
      </w:r>
    </w:p>
    <w:p>
      <w:pPr>
        <w:pStyle w:val="Heading5"/>
      </w:pPr>
      <w:bookmarkStart w:id="154" w:name="_Toc389746783"/>
      <w:r>
        <w:rPr>
          <w:rStyle w:val="CharSectno"/>
        </w:rPr>
        <w:t>51FG</w:t>
      </w:r>
      <w:r>
        <w:t>.</w:t>
      </w:r>
      <w:r>
        <w:tab/>
        <w:t>Authorisation of practitioners</w:t>
      </w:r>
      <w:bookmarkEnd w:id="154"/>
    </w:p>
    <w:p>
      <w:pPr>
        <w:pStyle w:val="Subsection"/>
        <w:spacing w:before="156"/>
      </w:pPr>
      <w:r>
        <w:tab/>
        <w:t>(1)</w:t>
      </w:r>
      <w:r>
        <w:tab/>
        <w:t>The CEO may authorise a medical practitioner to supply and prescribe stimulants to or for the practitioner’s patients.</w:t>
      </w:r>
    </w:p>
    <w:p>
      <w:pPr>
        <w:pStyle w:val="Subsection"/>
        <w:spacing w:before="156"/>
      </w:pPr>
      <w:r>
        <w:tab/>
        <w:t>(2)</w:t>
      </w:r>
      <w:r>
        <w:tab/>
        <w:t>Each medical practitioner authorised under subregulation (1) is to be assigned a unique stimulant prescriber number.</w:t>
      </w:r>
    </w:p>
    <w:p>
      <w:pPr>
        <w:pStyle w:val="Subsection"/>
        <w:spacing w:before="156"/>
      </w:pPr>
      <w:r>
        <w:tab/>
        <w:t>(3)</w:t>
      </w:r>
      <w:r>
        <w:tab/>
        <w:t>The CEO may authorise a medical practitioner who is not an SPN practitioner to supply or prescribe a stimulant to or for a particular patient on a particular occasion or during a particular period.</w:t>
      </w:r>
    </w:p>
    <w:p>
      <w:pPr>
        <w:pStyle w:val="Subsection"/>
        <w:spacing w:before="156"/>
      </w:pPr>
      <w:r>
        <w:tab/>
        <w:t>(4)</w:t>
      </w:r>
      <w:r>
        <w:tab/>
        <w:t>An application for an authorisation under subregulation (1) or (3) must be made to the CEO in a form approved by the CEO.</w:t>
      </w:r>
    </w:p>
    <w:p>
      <w:pPr>
        <w:pStyle w:val="Subsection"/>
        <w:spacing w:before="156"/>
      </w:pPr>
      <w:r>
        <w:tab/>
        <w:t>(5)</w:t>
      </w:r>
      <w:r>
        <w:tab/>
        <w:t>The CEO may grant, or refuse to grant, an authorisation under subregulation (1) or (3) as the CEO thinks fit.</w:t>
      </w:r>
    </w:p>
    <w:p>
      <w:pPr>
        <w:pStyle w:val="Subsection"/>
        <w:spacing w:before="156"/>
      </w:pPr>
      <w:r>
        <w:tab/>
        <w:t>(6)</w:t>
      </w:r>
      <w:r>
        <w:tab/>
        <w:t>The CEO may grant an authorisation under subregulation (1) or (3) on any terms and conditions the CEO thinks fit.</w:t>
      </w:r>
    </w:p>
    <w:p>
      <w:pPr>
        <w:pStyle w:val="Subsection"/>
        <w:spacing w:before="156"/>
      </w:pPr>
      <w:r>
        <w:tab/>
        <w:t>(7)</w:t>
      </w:r>
      <w:r>
        <w:tab/>
        <w:t>The CEO may vary or revoke an authorisation under subregulation (1) or (3) at any time by giving written notice to the medical practitioner.</w:t>
      </w:r>
    </w:p>
    <w:p>
      <w:pPr>
        <w:pStyle w:val="Footnotesection"/>
      </w:pPr>
      <w:r>
        <w:tab/>
        <w:t>[Regulation 51FG inserted in Gazette 15 Sep 2009 p. 3579.]</w:t>
      </w:r>
    </w:p>
    <w:p>
      <w:pPr>
        <w:pStyle w:val="Heading5"/>
      </w:pPr>
      <w:bookmarkStart w:id="155" w:name="_Toc389746784"/>
      <w:r>
        <w:rPr>
          <w:rStyle w:val="CharSectno"/>
        </w:rPr>
        <w:t>51FH</w:t>
      </w:r>
      <w:r>
        <w:t>.</w:t>
      </w:r>
      <w:r>
        <w:tab/>
        <w:t>Co</w:t>
      </w:r>
      <w:r>
        <w:noBreakHyphen/>
        <w:t>prescribers</w:t>
      </w:r>
      <w:bookmarkEnd w:id="155"/>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spacing w:before="60"/>
      </w:pPr>
      <w:r>
        <w:tab/>
        <w:t>(a)</w:t>
      </w:r>
      <w:r>
        <w:tab/>
        <w:t>the current prescriber ceases to be the patient’s current prescriber; or</w:t>
      </w:r>
    </w:p>
    <w:p>
      <w:pPr>
        <w:pStyle w:val="Indenta"/>
        <w:spacing w:before="60"/>
      </w:pPr>
      <w:r>
        <w:tab/>
        <w:t>(b)</w:t>
      </w:r>
      <w:r>
        <w:tab/>
        <w:t>the current prescriber cancels the nomination under subregulation (1)(b); or</w:t>
      </w:r>
    </w:p>
    <w:p>
      <w:pPr>
        <w:pStyle w:val="Indenta"/>
        <w:spacing w:before="60"/>
      </w:pPr>
      <w:r>
        <w:tab/>
        <w:t>(c)</w:t>
      </w:r>
      <w:r>
        <w:tab/>
        <w:t>the CEO cancels the co</w:t>
      </w:r>
      <w:r>
        <w:noBreakHyphen/>
        <w:t>prescriber’s nomination under subregulation (7).</w:t>
      </w:r>
    </w:p>
    <w:p>
      <w:pPr>
        <w:pStyle w:val="Subsection"/>
        <w:spacing w:before="140"/>
      </w:pPr>
      <w:r>
        <w:tab/>
        <w:t>(4)</w:t>
      </w:r>
      <w:r>
        <w:tab/>
        <w:t>A nominated co</w:t>
      </w:r>
      <w:r>
        <w:noBreakHyphen/>
        <w:t>prescriber who was nominated by a current clinic prescriber, ceases to be a nominated co</w:t>
      </w:r>
      <w:r>
        <w:noBreakHyphen/>
        <w:t>prescriber if —</w:t>
      </w:r>
    </w:p>
    <w:p>
      <w:pPr>
        <w:pStyle w:val="Indenta"/>
        <w:spacing w:before="60"/>
      </w:pPr>
      <w:r>
        <w:tab/>
        <w:t>(a)</w:t>
      </w:r>
      <w:r>
        <w:tab/>
        <w:t>the clinic ceases to be the patient’s current clinic; or</w:t>
      </w:r>
    </w:p>
    <w:p>
      <w:pPr>
        <w:pStyle w:val="Indenta"/>
        <w:spacing w:before="60"/>
      </w:pPr>
      <w:r>
        <w:tab/>
        <w:t>(b)</w:t>
      </w:r>
      <w:r>
        <w:tab/>
        <w:t>any of the patient’s current clinic prescribers cancels the nomination under subregulation (1)(b); or</w:t>
      </w:r>
    </w:p>
    <w:p>
      <w:pPr>
        <w:pStyle w:val="Indenta"/>
        <w:spacing w:before="60"/>
      </w:pPr>
      <w:r>
        <w:tab/>
        <w:t>(c)</w:t>
      </w:r>
      <w:r>
        <w:tab/>
        <w:t>the CEO cancels the co</w:t>
      </w:r>
      <w:r>
        <w:noBreakHyphen/>
        <w:t>prescriber’s nomination under subregulation (7).</w:t>
      </w:r>
    </w:p>
    <w:p>
      <w:pPr>
        <w:pStyle w:val="Subsection"/>
        <w:spacing w:before="140"/>
      </w:pPr>
      <w:r>
        <w:tab/>
        <w:t>(5)</w:t>
      </w:r>
      <w:r>
        <w:tab/>
        <w:t>Subject to subregulation (6), if there is a nominated co</w:t>
      </w:r>
      <w:r>
        <w:noBreakHyphen/>
        <w:t>prescriber for a patient, any other medical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spacing w:before="140"/>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spacing w:before="140"/>
      </w:pPr>
      <w:r>
        <w:tab/>
        <w:t>(7)</w:t>
      </w:r>
      <w:r>
        <w:tab/>
        <w:t>The CEO may cancel the nomination of a co</w:t>
      </w:r>
      <w:r>
        <w:noBreakHyphen/>
        <w:t>prescriber by giving written notice to the co</w:t>
      </w:r>
      <w:r>
        <w:noBreakHyphen/>
        <w:t xml:space="preserve">prescriber. </w:t>
      </w:r>
    </w:p>
    <w:p>
      <w:pPr>
        <w:pStyle w:val="Subsection"/>
        <w:spacing w:before="140"/>
      </w:pPr>
      <w:r>
        <w:tab/>
        <w:t>(8)</w:t>
      </w:r>
      <w:r>
        <w:tab/>
        <w:t xml:space="preserve">The CEO must give a copy of a notice given under subregulation (7) to — </w:t>
      </w:r>
    </w:p>
    <w:p>
      <w:pPr>
        <w:pStyle w:val="Indenta"/>
        <w:spacing w:before="60"/>
      </w:pPr>
      <w:r>
        <w:tab/>
        <w:t>(a)</w:t>
      </w:r>
      <w:r>
        <w:tab/>
        <w:t>if the co</w:t>
      </w:r>
      <w:r>
        <w:noBreakHyphen/>
        <w:t>prescriber was nominated by a current prescriber — that person; or</w:t>
      </w:r>
    </w:p>
    <w:p>
      <w:pPr>
        <w:pStyle w:val="Indenta"/>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w:t>
      </w:r>
    </w:p>
    <w:p>
      <w:pPr>
        <w:pStyle w:val="Heading5"/>
      </w:pPr>
      <w:bookmarkStart w:id="156" w:name="_Toc389746785"/>
      <w:r>
        <w:rPr>
          <w:rStyle w:val="CharSectno"/>
        </w:rPr>
        <w:t>51FJ</w:t>
      </w:r>
      <w:r>
        <w:t>.</w:t>
      </w:r>
      <w:r>
        <w:tab/>
        <w:t>Approval of public sector clinics</w:t>
      </w:r>
      <w:bookmarkEnd w:id="156"/>
    </w:p>
    <w:p>
      <w:pPr>
        <w:pStyle w:val="Subsection"/>
      </w:pPr>
      <w:r>
        <w:tab/>
        <w:t>(1)</w:t>
      </w:r>
      <w:r>
        <w:tab/>
        <w:t>The CEO may approve a clinic —</w:t>
      </w:r>
    </w:p>
    <w:p>
      <w:pPr>
        <w:pStyle w:val="Indenta"/>
        <w:spacing w:before="70"/>
      </w:pPr>
      <w:r>
        <w:tab/>
        <w:t>(a)</w:t>
      </w:r>
      <w:r>
        <w:tab/>
        <w:t>that is, or is part of, a public hospital; and</w:t>
      </w:r>
    </w:p>
    <w:p>
      <w:pPr>
        <w:pStyle w:val="Indenta"/>
        <w:spacing w:before="70"/>
      </w:pPr>
      <w:r>
        <w:tab/>
        <w:t>(b)</w:t>
      </w:r>
      <w:r>
        <w:tab/>
        <w:t>at which —</w:t>
      </w:r>
    </w:p>
    <w:p>
      <w:pPr>
        <w:pStyle w:val="Indenti"/>
        <w:spacing w:before="70"/>
      </w:pPr>
      <w:r>
        <w:tab/>
        <w:t>(i)</w:t>
      </w:r>
      <w:r>
        <w:tab/>
        <w:t>treatment is provided for patients who may, in accordance with the Stimulant Prescribing Code, be treated with a stimulant; and</w:t>
      </w:r>
    </w:p>
    <w:p>
      <w:pPr>
        <w:pStyle w:val="Indenti"/>
        <w:spacing w:before="70"/>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spacing w:before="70"/>
      </w:pPr>
      <w:r>
        <w:tab/>
        <w:t>(a)</w:t>
      </w:r>
      <w:r>
        <w:tab/>
        <w:t>an SPN practitioner commences to practise at the clinic;</w:t>
      </w:r>
    </w:p>
    <w:p>
      <w:pPr>
        <w:pStyle w:val="Indenta"/>
        <w:spacing w:before="70"/>
      </w:pPr>
      <w:r>
        <w:tab/>
        <w:t>(b)</w:t>
      </w:r>
      <w:r>
        <w:tab/>
        <w:t>an SPN practitioner ceases to practise at the clinic;</w:t>
      </w:r>
    </w:p>
    <w:p>
      <w:pPr>
        <w:pStyle w:val="Indenta"/>
        <w:spacing w:before="70"/>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157" w:name="_Toc389746786"/>
      <w:r>
        <w:rPr>
          <w:rStyle w:val="CharSectno"/>
        </w:rPr>
        <w:t>51FK</w:t>
      </w:r>
      <w:r>
        <w:t>.</w:t>
      </w:r>
      <w:r>
        <w:tab/>
        <w:t>Change of manager</w:t>
      </w:r>
      <w:bookmarkEnd w:id="157"/>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51G-51GAI.</w:t>
      </w:r>
      <w:r>
        <w:tab/>
        <w:t>Deleted in Gazette 15 Sep 2009 p. 3573.]</w:t>
      </w:r>
    </w:p>
    <w:p>
      <w:pPr>
        <w:pStyle w:val="Heading4"/>
      </w:pPr>
      <w:bookmarkStart w:id="158" w:name="_Toc389746787"/>
      <w:r>
        <w:t>Subdivision 4 — Supply and prescription of other poisons</w:t>
      </w:r>
      <w:bookmarkEnd w:id="158"/>
    </w:p>
    <w:p>
      <w:pPr>
        <w:pStyle w:val="Footnoteheading"/>
      </w:pPr>
      <w:r>
        <w:tab/>
        <w:t>[Heading inserted in Gazette 15 Sep 2009 p. 3582.]</w:t>
      </w:r>
    </w:p>
    <w:p>
      <w:pPr>
        <w:pStyle w:val="Heading5"/>
        <w:spacing w:before="180"/>
        <w:rPr>
          <w:snapToGrid w:val="0"/>
        </w:rPr>
      </w:pPr>
      <w:bookmarkStart w:id="159" w:name="_Toc389746788"/>
      <w:r>
        <w:rPr>
          <w:rStyle w:val="CharSectno"/>
        </w:rPr>
        <w:t>51GA</w:t>
      </w:r>
      <w:r>
        <w:rPr>
          <w:snapToGrid w:val="0"/>
        </w:rPr>
        <w:t>.</w:t>
      </w:r>
      <w:r>
        <w:rPr>
          <w:snapToGrid w:val="0"/>
        </w:rPr>
        <w:tab/>
        <w:t>Supply of dronabinol</w:t>
      </w:r>
      <w:bookmarkEnd w:id="159"/>
      <w:r>
        <w:rPr>
          <w:snapToGrid w:val="0"/>
        </w:rPr>
        <w:t xml:space="preserve"> </w:t>
      </w:r>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160" w:name="_Toc389746789"/>
      <w:r>
        <w:rPr>
          <w:rStyle w:val="CharSectno"/>
        </w:rPr>
        <w:t>51GB</w:t>
      </w:r>
      <w:r>
        <w:rPr>
          <w:snapToGrid w:val="0"/>
        </w:rPr>
        <w:t>.</w:t>
      </w:r>
      <w:r>
        <w:rPr>
          <w:snapToGrid w:val="0"/>
        </w:rPr>
        <w:tab/>
        <w:t>Supply of flunitrazepam</w:t>
      </w:r>
      <w:bookmarkEnd w:id="160"/>
      <w:r>
        <w:rPr>
          <w:snapToGrid w:val="0"/>
        </w:rPr>
        <w:t xml:space="preserve"> </w:t>
      </w:r>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called </w:t>
      </w:r>
      <w:r>
        <w:rPr>
          <w:rStyle w:val="CharDefText"/>
        </w:rPr>
        <w:t>the 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A pharmaceutical chemist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w:t>
      </w:r>
    </w:p>
    <w:p>
      <w:pPr>
        <w:pStyle w:val="Heading5"/>
        <w:rPr>
          <w:snapToGrid w:val="0"/>
        </w:rPr>
      </w:pPr>
      <w:bookmarkStart w:id="161" w:name="_Toc389746790"/>
      <w:r>
        <w:rPr>
          <w:rStyle w:val="CharSectno"/>
        </w:rPr>
        <w:t>51H</w:t>
      </w:r>
      <w:r>
        <w:rPr>
          <w:snapToGrid w:val="0"/>
        </w:rPr>
        <w:t>.</w:t>
      </w:r>
      <w:r>
        <w:rPr>
          <w:snapToGrid w:val="0"/>
        </w:rPr>
        <w:tab/>
        <w:t>Dentists not to prescribe or supply certain drugs of addiction</w:t>
      </w:r>
      <w:bookmarkEnd w:id="161"/>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Ednotedivision"/>
      </w:pPr>
      <w:r>
        <w:t>[Heading deleted in Gazette 12 Aug 2003 p. 3663.]</w:t>
      </w:r>
    </w:p>
    <w:p>
      <w:pPr>
        <w:pStyle w:val="Heading3"/>
      </w:pPr>
      <w:bookmarkStart w:id="162" w:name="_Toc389746791"/>
      <w:r>
        <w:rPr>
          <w:rStyle w:val="CharDivNo"/>
        </w:rPr>
        <w:t>Division 3</w:t>
      </w:r>
      <w:r>
        <w:t xml:space="preserve"> — </w:t>
      </w:r>
      <w:r>
        <w:rPr>
          <w:rStyle w:val="CharDivText"/>
        </w:rPr>
        <w:t>Dispensing and delivery</w:t>
      </w:r>
      <w:bookmarkEnd w:id="162"/>
    </w:p>
    <w:p>
      <w:pPr>
        <w:pStyle w:val="Footnoteheading"/>
      </w:pPr>
      <w:r>
        <w:tab/>
        <w:t>[Heading inserted in Gazette 12 Aug 2003 p. 3664.]</w:t>
      </w:r>
    </w:p>
    <w:p>
      <w:pPr>
        <w:pStyle w:val="Heading5"/>
        <w:rPr>
          <w:snapToGrid w:val="0"/>
        </w:rPr>
      </w:pPr>
      <w:bookmarkStart w:id="163" w:name="_Toc389746792"/>
      <w:r>
        <w:rPr>
          <w:rStyle w:val="CharSectno"/>
        </w:rPr>
        <w:t>52</w:t>
      </w:r>
      <w:r>
        <w:rPr>
          <w:snapToGrid w:val="0"/>
        </w:rPr>
        <w:t>.</w:t>
      </w:r>
      <w:r>
        <w:rPr>
          <w:snapToGrid w:val="0"/>
        </w:rPr>
        <w:tab/>
        <w:t>Dispensing drugs of addiction</w:t>
      </w:r>
      <w:bookmarkEnd w:id="163"/>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A medical practitioner, pharmaceutical chemist, or veterinary surgeon or an assistant under the direct personal supervision of a medical practitioner, pharmaceutical chemist, or veterinary surgeon shall be the only person who shall dispense a drug of addiction.</w:t>
      </w:r>
    </w:p>
    <w:p>
      <w:pPr>
        <w:pStyle w:val="Subsection"/>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w:t>
      </w:r>
    </w:p>
    <w:p>
      <w:pPr>
        <w:pStyle w:val="Indenti"/>
        <w:rPr>
          <w:snapToGrid w:val="0"/>
        </w:rPr>
      </w:pPr>
      <w:r>
        <w:rPr>
          <w:snapToGrid w:val="0"/>
        </w:rPr>
        <w:tab/>
        <w:t>(ii)</w:t>
      </w:r>
      <w:r>
        <w:rPr>
          <w:snapToGrid w:val="0"/>
        </w:rPr>
        <w:tab/>
        <w:t>that the person who issued the prescription is a medical practitioner, a dentist or a veterinary surgeon; and</w:t>
      </w:r>
    </w:p>
    <w:p>
      <w:pPr>
        <w:pStyle w:val="Indenti"/>
      </w:pPr>
      <w:r>
        <w:tab/>
        <w:t>(iii)</w:t>
      </w:r>
      <w:r>
        <w:tab/>
        <w:t>in accordance with subregulation (3a), that the prescription was issued by the prescriber whose name appears on the prescription;</w:t>
      </w:r>
    </w:p>
    <w:p>
      <w:pPr>
        <w:pStyle w:val="Indenta"/>
      </w:pPr>
      <w:r>
        <w:tab/>
        <w:t>(b)</w:t>
      </w:r>
      <w:r>
        <w:tab/>
        <w:t>the drug of addiction shall not be dispensed under the prescription more than the maximum number of times indicated by the prescription, or at intervals less than those indicated by the prescription;</w:t>
      </w:r>
    </w:p>
    <w:p>
      <w:pPr>
        <w:pStyle w:val="Indenta"/>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pPr>
      <w:r>
        <w:tab/>
        <w:t>(c)</w:t>
      </w:r>
      <w:r>
        <w:tab/>
        <w:t>where the drug of addiction is prescribed by a veterinary surgeon, the dispenser shall not dispense the drug of addiction on more than one occasion under that prescription;</w:t>
      </w:r>
    </w:p>
    <w:p>
      <w:pPr>
        <w:pStyle w:val="Indenta"/>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spacing w:before="60"/>
      </w:pPr>
      <w:r>
        <w:tab/>
        <w:t>(i)</w:t>
      </w:r>
      <w:r>
        <w:tab/>
        <w:t>the prescription does not clearly indicate the maximum number of occasions on which the drug of addiction is to be dispensed under the prescription;</w:t>
      </w:r>
    </w:p>
    <w:p>
      <w:pPr>
        <w:pStyle w:val="Indenti"/>
        <w:spacing w:before="60"/>
      </w:pPr>
      <w:r>
        <w:tab/>
        <w:t>(ii)</w:t>
      </w:r>
      <w:r>
        <w:tab/>
        <w:t>the prescription does not clearly indicate the intervals at which the drug of addiction is to be dispensed under the prescription; or</w:t>
      </w:r>
    </w:p>
    <w:p>
      <w:pPr>
        <w:pStyle w:val="Indenti"/>
        <w:spacing w:before="60"/>
      </w:pPr>
      <w:r>
        <w:tab/>
        <w:t>(iii)</w:t>
      </w:r>
      <w:r>
        <w:tab/>
        <w:t>the drug of addiction has already been dispensed on the maximum number of occasions on which it can lawfully be dispensed under the prescription;</w:t>
      </w:r>
    </w:p>
    <w:p>
      <w:pPr>
        <w:pStyle w:val="Indenta"/>
        <w:spacing w:before="6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w:t>
      </w:r>
    </w:p>
    <w:p>
      <w:pPr>
        <w:pStyle w:val="Indenta"/>
        <w:spacing w:before="6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w:t>
      </w:r>
    </w:p>
    <w:p>
      <w:pPr>
        <w:pStyle w:val="Indenta"/>
        <w:spacing w:before="60"/>
      </w:pPr>
      <w:r>
        <w:tab/>
        <w:t>(h)</w:t>
      </w:r>
      <w:r>
        <w:tab/>
        <w:t xml:space="preserve">before the drug of addiction is handed to the purchaser, the following particulars shall be recorded in accordance with regulation 52B — </w:t>
      </w:r>
    </w:p>
    <w:p>
      <w:pPr>
        <w:pStyle w:val="Indenti"/>
        <w:spacing w:before="60"/>
      </w:pPr>
      <w:r>
        <w:tab/>
        <w:t>(i)</w:t>
      </w:r>
      <w:r>
        <w:tab/>
        <w:t>the prescription number;</w:t>
      </w:r>
    </w:p>
    <w:p>
      <w:pPr>
        <w:pStyle w:val="Indenti"/>
        <w:spacing w:before="60"/>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spacing w:before="60"/>
      </w:pPr>
      <w:r>
        <w:tab/>
        <w:t>(iii)</w:t>
      </w:r>
      <w:r>
        <w:tab/>
        <w:t>a description of the drug of addiction;</w:t>
      </w:r>
    </w:p>
    <w:p>
      <w:pPr>
        <w:pStyle w:val="Indenti"/>
        <w:spacing w:before="60"/>
      </w:pPr>
      <w:r>
        <w:tab/>
        <w:t>(iv)</w:t>
      </w:r>
      <w:r>
        <w:tab/>
        <w:t>the quantity of the drug of addiction dispensed;</w:t>
      </w:r>
    </w:p>
    <w:p>
      <w:pPr>
        <w:pStyle w:val="Indenti"/>
        <w:spacing w:before="60"/>
      </w:pPr>
      <w:r>
        <w:tab/>
        <w:t>(v)</w:t>
      </w:r>
      <w:r>
        <w:tab/>
        <w:t>directions for the use of the drug of addiction;</w:t>
      </w:r>
    </w:p>
    <w:p>
      <w:pPr>
        <w:pStyle w:val="Indenti"/>
        <w:spacing w:before="60"/>
      </w:pPr>
      <w:r>
        <w:tab/>
        <w:t>(vi)</w:t>
      </w:r>
      <w:r>
        <w:tab/>
        <w:t>the date of the prescription;</w:t>
      </w:r>
    </w:p>
    <w:p>
      <w:pPr>
        <w:pStyle w:val="Indenti"/>
        <w:spacing w:before="60"/>
      </w:pPr>
      <w:r>
        <w:tab/>
        <w:t>(vii)</w:t>
      </w:r>
      <w:r>
        <w:tab/>
        <w:t>the name and address of the prescriber;</w:t>
      </w:r>
    </w:p>
    <w:p>
      <w:pPr>
        <w:pStyle w:val="Indenti"/>
        <w:spacing w:before="60"/>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Ednotepara"/>
        <w:spacing w:before="60"/>
        <w:rPr>
          <w:snapToGrid w:val="0"/>
        </w:rPr>
      </w:pPr>
      <w:r>
        <w:rPr>
          <w:snapToGrid w:val="0"/>
        </w:rPr>
        <w:tab/>
        <w:t>[(j)</w:t>
      </w:r>
      <w:r>
        <w:rPr>
          <w:snapToGrid w:val="0"/>
        </w:rPr>
        <w:tab/>
        <w:t xml:space="preserve">deleted] </w:t>
      </w:r>
    </w:p>
    <w:p>
      <w:pPr>
        <w:pStyle w:val="Indenta"/>
        <w:spacing w:before="6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spacing w:before="60"/>
        <w:rPr>
          <w:snapToGrid w:val="0"/>
        </w:rPr>
      </w:pPr>
      <w:r>
        <w:rPr>
          <w:snapToGrid w:val="0"/>
        </w:rPr>
        <w:tab/>
        <w:t>[(l)</w:t>
      </w:r>
      <w:r>
        <w:rPr>
          <w:snapToGrid w:val="0"/>
        </w:rPr>
        <w:tab/>
        <w:t xml:space="preserve">deleted] </w:t>
      </w:r>
    </w:p>
    <w:p>
      <w:pPr>
        <w:pStyle w:val="Indenta"/>
        <w:spacing w:before="6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pPr>
      <w:r>
        <w:tab/>
        <w:t>(6)</w:t>
      </w:r>
      <w:r>
        <w:tab/>
        <w:t xml:space="preserve">If a pharmaceutical chemist is presented with or accesses a prescription which he or she suspects of being false in any particular he or she shall — </w:t>
      </w:r>
    </w:p>
    <w:p>
      <w:pPr>
        <w:pStyle w:val="Indenta"/>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pPr>
      <w:r>
        <w:tab/>
        <w:t>(b)</w:t>
      </w:r>
      <w:r>
        <w:tab/>
        <w:t>in any case — make enquiries concerning the genuineness of the prescription, the identity of the person who issued it and the bona fides of the person wishing to have the drug dispensed under it.</w:t>
      </w:r>
    </w:p>
    <w:p>
      <w:pPr>
        <w:pStyle w:val="Subsection"/>
      </w:pPr>
      <w:r>
        <w:rPr>
          <w:snapToGrid w:val="0"/>
        </w:rPr>
        <w:tab/>
        <w:t>(6a)</w:t>
      </w:r>
      <w:r>
        <w:rPr>
          <w:snapToGrid w:val="0"/>
        </w:rPr>
        <w:tab/>
        <w:t xml:space="preserve">When a pharmaceutical chemist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spacing w:val="-4"/>
        </w:rPr>
        <w:tab/>
        <w:t>A pharmaceutical chemist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w:t>
      </w:r>
    </w:p>
    <w:p>
      <w:pPr>
        <w:pStyle w:val="Heading5"/>
        <w:rPr>
          <w:snapToGrid w:val="0"/>
        </w:rPr>
      </w:pPr>
      <w:bookmarkStart w:id="164" w:name="_Toc389746793"/>
      <w:r>
        <w:rPr>
          <w:rStyle w:val="CharSectno"/>
        </w:rPr>
        <w:t>52A</w:t>
      </w:r>
      <w:r>
        <w:rPr>
          <w:snapToGrid w:val="0"/>
        </w:rPr>
        <w:t>.</w:t>
      </w:r>
      <w:r>
        <w:rPr>
          <w:snapToGrid w:val="0"/>
        </w:rPr>
        <w:tab/>
        <w:t>Movement of drugs of addiction in other circumstances</w:t>
      </w:r>
      <w:bookmarkEnd w:id="164"/>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pPr>
      <w:r>
        <w:t>[Heading deleted in Gazette 12 Aug 2003 p. 3663.]</w:t>
      </w:r>
    </w:p>
    <w:p>
      <w:pPr>
        <w:pStyle w:val="Heading5"/>
        <w:rPr>
          <w:snapToGrid w:val="0"/>
        </w:rPr>
      </w:pPr>
      <w:bookmarkStart w:id="165" w:name="_Toc389746794"/>
      <w:r>
        <w:rPr>
          <w:rStyle w:val="CharSectno"/>
        </w:rPr>
        <w:t>52B</w:t>
      </w:r>
      <w:r>
        <w:rPr>
          <w:snapToGrid w:val="0"/>
        </w:rPr>
        <w:t>.</w:t>
      </w:r>
      <w:r>
        <w:rPr>
          <w:snapToGrid w:val="0"/>
        </w:rPr>
        <w:tab/>
        <w:t>Manner of recording details</w:t>
      </w:r>
      <w:bookmarkEnd w:id="165"/>
      <w:r>
        <w:rPr>
          <w:snapToGrid w:val="0"/>
        </w:rPr>
        <w:t xml:space="preserve"> </w:t>
      </w:r>
    </w:p>
    <w:p>
      <w:pPr>
        <w:pStyle w:val="Subsection"/>
        <w:outlineLvl w:val="0"/>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outlineLvl w:val="0"/>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r>
        <w:t>[Heading deleted in Gazette 12 Aug 2003 p. 3663.]</w:t>
      </w:r>
    </w:p>
    <w:p>
      <w:pPr>
        <w:pStyle w:val="Heading5"/>
        <w:rPr>
          <w:snapToGrid w:val="0"/>
        </w:rPr>
      </w:pPr>
      <w:bookmarkStart w:id="166" w:name="_Toc389746795"/>
      <w:r>
        <w:rPr>
          <w:rStyle w:val="CharSectno"/>
        </w:rPr>
        <w:t>52C</w:t>
      </w:r>
      <w:r>
        <w:rPr>
          <w:snapToGrid w:val="0"/>
        </w:rPr>
        <w:t>.</w:t>
      </w:r>
      <w:r>
        <w:rPr>
          <w:snapToGrid w:val="0"/>
        </w:rPr>
        <w:tab/>
        <w:t>Returns to department</w:t>
      </w:r>
      <w:bookmarkEnd w:id="166"/>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Every computer printout returned shall bear the signature of a pharmaceutical chemist certifying the accuracy and completeness of the data recorded.</w:t>
      </w:r>
    </w:p>
    <w:p>
      <w:pPr>
        <w:pStyle w:val="Footnotesection"/>
      </w:pPr>
      <w:r>
        <w:tab/>
        <w:t>[Regulation 52C inserted in Gazette 7 Aug 1987 p. 3083.]</w:t>
      </w:r>
    </w:p>
    <w:p>
      <w:pPr>
        <w:pStyle w:val="Ednotedivision"/>
      </w:pPr>
      <w:r>
        <w:t>[Heading deleted in Gazette 12 Aug 2003 p. 3663.]</w:t>
      </w:r>
    </w:p>
    <w:p>
      <w:pPr>
        <w:pStyle w:val="Heading5"/>
        <w:rPr>
          <w:snapToGrid w:val="0"/>
        </w:rPr>
      </w:pPr>
      <w:bookmarkStart w:id="167" w:name="_Toc389746796"/>
      <w:r>
        <w:rPr>
          <w:rStyle w:val="CharSectno"/>
        </w:rPr>
        <w:t>53</w:t>
      </w:r>
      <w:r>
        <w:rPr>
          <w:snapToGrid w:val="0"/>
        </w:rPr>
        <w:t>.</w:t>
      </w:r>
      <w:r>
        <w:rPr>
          <w:snapToGrid w:val="0"/>
        </w:rPr>
        <w:tab/>
        <w:t>Dispensing poisons included in Schedule 8 in case of emergency</w:t>
      </w:r>
      <w:bookmarkEnd w:id="167"/>
      <w:r>
        <w:rPr>
          <w:snapToGrid w:val="0"/>
        </w:rPr>
        <w:t xml:space="preserve"> </w:t>
      </w:r>
    </w:p>
    <w:p>
      <w:pPr>
        <w:pStyle w:val="Subsection"/>
      </w:pPr>
      <w:r>
        <w:tab/>
        <w:t>(1)</w:t>
      </w:r>
      <w:r>
        <w:tab/>
        <w:t>If a medical practitioner, dentist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5630-1; 7 Nov 2008 p. 4817.]</w:t>
      </w:r>
    </w:p>
    <w:p>
      <w:pPr>
        <w:pStyle w:val="Ednotedivision"/>
      </w:pPr>
      <w:r>
        <w:t>[Heading deleted in Gazette 12 Aug 2003 p. 3663.]</w:t>
      </w:r>
    </w:p>
    <w:p>
      <w:pPr>
        <w:pStyle w:val="Heading5"/>
        <w:spacing w:before="180"/>
        <w:rPr>
          <w:snapToGrid w:val="0"/>
        </w:rPr>
      </w:pPr>
      <w:bookmarkStart w:id="168" w:name="_Toc389746797"/>
      <w:r>
        <w:rPr>
          <w:rStyle w:val="CharSectno"/>
        </w:rPr>
        <w:t>53A</w:t>
      </w:r>
      <w:r>
        <w:rPr>
          <w:snapToGrid w:val="0"/>
        </w:rPr>
        <w:t>.</w:t>
      </w:r>
      <w:r>
        <w:rPr>
          <w:snapToGrid w:val="0"/>
        </w:rPr>
        <w:tab/>
        <w:t>Dispensing poisons included in Schedule 8</w:t>
      </w:r>
      <w:bookmarkEnd w:id="168"/>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Ednotedivision"/>
      </w:pPr>
      <w:r>
        <w:t>[Heading deleted in Gazette 12 Aug 2003 p. 3663.]</w:t>
      </w:r>
    </w:p>
    <w:p>
      <w:pPr>
        <w:pStyle w:val="Heading5"/>
        <w:rPr>
          <w:snapToGrid w:val="0"/>
        </w:rPr>
      </w:pPr>
      <w:bookmarkStart w:id="169" w:name="_Toc389746798"/>
      <w:r>
        <w:rPr>
          <w:rStyle w:val="CharSectno"/>
        </w:rPr>
        <w:t>54</w:t>
      </w:r>
      <w:r>
        <w:rPr>
          <w:snapToGrid w:val="0"/>
        </w:rPr>
        <w:t>.</w:t>
      </w:r>
      <w:r>
        <w:rPr>
          <w:snapToGrid w:val="0"/>
        </w:rPr>
        <w:tab/>
        <w:t>Delivery of poisons included in Schedule 8 on order</w:t>
      </w:r>
      <w:bookmarkEnd w:id="169"/>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5630-1; 7 Nov 2008 p. 4818.]</w:t>
      </w:r>
    </w:p>
    <w:p>
      <w:pPr>
        <w:pStyle w:val="Heading5"/>
        <w:rPr>
          <w:snapToGrid w:val="0"/>
        </w:rPr>
      </w:pPr>
      <w:bookmarkStart w:id="170" w:name="_Toc389746799"/>
      <w:r>
        <w:rPr>
          <w:rStyle w:val="CharSectno"/>
        </w:rPr>
        <w:t>54A</w:t>
      </w:r>
      <w:r>
        <w:rPr>
          <w:snapToGrid w:val="0"/>
        </w:rPr>
        <w:t>.</w:t>
      </w:r>
      <w:r>
        <w:rPr>
          <w:snapToGrid w:val="0"/>
        </w:rPr>
        <w:tab/>
        <w:t>Packaging of drugs of addiction</w:t>
      </w:r>
      <w:bookmarkEnd w:id="170"/>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180"/>
      </w:pPr>
      <w:r>
        <w:t>[Heading deleted in Gazette 12 Aug 2003 p. 3663.]</w:t>
      </w:r>
    </w:p>
    <w:p>
      <w:pPr>
        <w:pStyle w:val="Heading5"/>
        <w:rPr>
          <w:snapToGrid w:val="0"/>
        </w:rPr>
      </w:pPr>
      <w:bookmarkStart w:id="171" w:name="_Toc389746800"/>
      <w:r>
        <w:rPr>
          <w:rStyle w:val="CharSectno"/>
        </w:rPr>
        <w:t>55</w:t>
      </w:r>
      <w:r>
        <w:rPr>
          <w:snapToGrid w:val="0"/>
        </w:rPr>
        <w:t>.</w:t>
      </w:r>
      <w:r>
        <w:rPr>
          <w:snapToGrid w:val="0"/>
        </w:rPr>
        <w:tab/>
        <w:t>Common carrier protected</w:t>
      </w:r>
      <w:bookmarkEnd w:id="171"/>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Ednotedivision"/>
        <w:spacing w:before="180"/>
      </w:pPr>
      <w:r>
        <w:t>[Heading deleted in Gazette 12 Aug 2003 p. 3663.]</w:t>
      </w:r>
    </w:p>
    <w:p>
      <w:pPr>
        <w:pStyle w:val="Heading3"/>
        <w:keepLines/>
      </w:pPr>
      <w:bookmarkStart w:id="172" w:name="_Toc389746801"/>
      <w:r>
        <w:rPr>
          <w:rStyle w:val="CharDivNo"/>
        </w:rPr>
        <w:t>Division 4</w:t>
      </w:r>
      <w:r>
        <w:t xml:space="preserve"> — </w:t>
      </w:r>
      <w:r>
        <w:rPr>
          <w:rStyle w:val="CharDivText"/>
        </w:rPr>
        <w:t>Safe custody</w:t>
      </w:r>
      <w:bookmarkEnd w:id="172"/>
    </w:p>
    <w:p>
      <w:pPr>
        <w:pStyle w:val="Footnoteheading"/>
        <w:keepNext/>
        <w:keepLines/>
        <w:rPr>
          <w:i w:val="0"/>
        </w:rPr>
      </w:pPr>
      <w:r>
        <w:tab/>
        <w:t>[Heading inserted in Gazette 12 Aug 2003 p. 3665.]</w:t>
      </w:r>
    </w:p>
    <w:p>
      <w:pPr>
        <w:pStyle w:val="Heading5"/>
        <w:rPr>
          <w:snapToGrid w:val="0"/>
        </w:rPr>
      </w:pPr>
      <w:bookmarkStart w:id="173" w:name="_Toc389746802"/>
      <w:r>
        <w:rPr>
          <w:rStyle w:val="CharSectno"/>
        </w:rPr>
        <w:t>56</w:t>
      </w:r>
      <w:r>
        <w:rPr>
          <w:snapToGrid w:val="0"/>
        </w:rPr>
        <w:t>.</w:t>
      </w:r>
      <w:r>
        <w:rPr>
          <w:snapToGrid w:val="0"/>
        </w:rPr>
        <w:tab/>
        <w:t>Storing and securing drugs of addiction</w:t>
      </w:r>
      <w:bookmarkEnd w:id="173"/>
      <w:r>
        <w:rPr>
          <w:snapToGrid w:val="0"/>
        </w:rPr>
        <w:t xml:space="preserve"> </w:t>
      </w:r>
    </w:p>
    <w:p>
      <w:pPr>
        <w:pStyle w:val="Subsection"/>
        <w:keepNext/>
        <w:keepLines/>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rPr>
          <w:snapToGrid w:val="0"/>
        </w:rPr>
      </w:pPr>
      <w:r>
        <w:rPr>
          <w:snapToGrid w:val="0"/>
        </w:rPr>
        <w:tab/>
        <w:t>(b)</w:t>
      </w:r>
      <w:r>
        <w:rPr>
          <w:snapToGrid w:val="0"/>
        </w:rPr>
        <w:tab/>
        <w:t>licensed under regulation 4,</w:t>
      </w:r>
    </w:p>
    <w:p>
      <w:pPr>
        <w:pStyle w:val="Subsection"/>
        <w:spacing w:before="120"/>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4,</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to a pharmaceutical chemist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w:t>
      </w:r>
    </w:p>
    <w:p>
      <w:pPr>
        <w:pStyle w:val="Indenta"/>
        <w:rPr>
          <w:snapToGrid w:val="0"/>
        </w:rPr>
      </w:pPr>
      <w:r>
        <w:rPr>
          <w:snapToGrid w:val="0"/>
        </w:rPr>
        <w:tab/>
        <w:t>(aa)</w:t>
      </w:r>
      <w:r>
        <w:rPr>
          <w:snapToGrid w:val="0"/>
        </w:rPr>
        <w:tab/>
        <w:t>to a pharmaceutical chemist who is in possession of a drug or drugs of addiction in an amount that is greater than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w:t>
      </w:r>
    </w:p>
    <w:p>
      <w:pPr>
        <w:pStyle w:val="Indenta"/>
        <w:spacing w:before="70"/>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w:t>
      </w:r>
    </w:p>
    <w:p>
      <w:pPr>
        <w:pStyle w:val="Indenta"/>
        <w:spacing w:before="70"/>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spacing w:before="70"/>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spacing w:before="70"/>
        <w:rPr>
          <w:snapToGrid w:val="0"/>
        </w:rPr>
      </w:pPr>
      <w:r>
        <w:rPr>
          <w:snapToGrid w:val="0"/>
        </w:rPr>
        <w:tab/>
        <w:t>(i)</w:t>
      </w:r>
      <w:r>
        <w:rPr>
          <w:snapToGrid w:val="0"/>
        </w:rPr>
        <w:tab/>
        <w:t>transported by a medical practitioner, dentist or veterinary surgeon for the purpose of his or her profession or practice; or</w:t>
      </w:r>
    </w:p>
    <w:p>
      <w:pPr>
        <w:pStyle w:val="Indenti"/>
        <w:spacing w:before="70"/>
        <w:rPr>
          <w:snapToGrid w:val="0"/>
        </w:rPr>
      </w:pPr>
      <w:r>
        <w:rPr>
          <w:snapToGrid w:val="0"/>
        </w:rPr>
        <w:tab/>
        <w:t>(ii)</w:t>
      </w:r>
      <w:r>
        <w:rPr>
          <w:snapToGrid w:val="0"/>
        </w:rPr>
        <w:tab/>
        <w:t>otherwise in the possession of a medical practitioner, dentist or veterinary surgeon,</w:t>
      </w:r>
    </w:p>
    <w:p>
      <w:pPr>
        <w:pStyle w:val="Indenta"/>
        <w:spacing w:before="70"/>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5630-1.]</w:t>
      </w:r>
    </w:p>
    <w:p>
      <w:pPr>
        <w:pStyle w:val="Heading5"/>
        <w:spacing w:before="260"/>
        <w:rPr>
          <w:snapToGrid w:val="0"/>
        </w:rPr>
      </w:pPr>
      <w:bookmarkStart w:id="174" w:name="_Toc389746803"/>
      <w:r>
        <w:rPr>
          <w:rStyle w:val="CharSectno"/>
        </w:rPr>
        <w:t>56A</w:t>
      </w:r>
      <w:r>
        <w:rPr>
          <w:snapToGrid w:val="0"/>
        </w:rPr>
        <w:t>.</w:t>
      </w:r>
      <w:r>
        <w:rPr>
          <w:snapToGrid w:val="0"/>
        </w:rPr>
        <w:tab/>
        <w:t>Prescribed amount of poisons included in Schedule 8</w:t>
      </w:r>
      <w:bookmarkEnd w:id="174"/>
      <w:r>
        <w:rPr>
          <w:snapToGrid w:val="0"/>
        </w:rPr>
        <w:t xml:space="preserve"> </w:t>
      </w:r>
    </w:p>
    <w:p>
      <w:pPr>
        <w:pStyle w:val="Subsection"/>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millilitres of liquid; or</w:t>
      </w:r>
    </w:p>
    <w:p>
      <w:pPr>
        <w:pStyle w:val="Indenta"/>
        <w:rPr>
          <w:snapToGrid w:val="0"/>
        </w:rPr>
      </w:pPr>
      <w:r>
        <w:rPr>
          <w:snapToGrid w:val="0"/>
        </w:rPr>
        <w:tab/>
        <w:t>(d)</w:t>
      </w:r>
      <w:r>
        <w:rPr>
          <w:snapToGrid w:val="0"/>
        </w:rPr>
        <w:tab/>
        <w:t>7.5 grams,</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175" w:name="_Toc389746804"/>
      <w:r>
        <w:rPr>
          <w:rStyle w:val="CharSectno"/>
        </w:rPr>
        <w:t>56B</w:t>
      </w:r>
      <w:r>
        <w:rPr>
          <w:snapToGrid w:val="0"/>
        </w:rPr>
        <w:t>.</w:t>
      </w:r>
      <w:r>
        <w:rPr>
          <w:snapToGrid w:val="0"/>
        </w:rPr>
        <w:tab/>
        <w:t>Location of safe in premises</w:t>
      </w:r>
      <w:bookmarkEnd w:id="175"/>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176" w:name="_Toc389746805"/>
      <w:r>
        <w:rPr>
          <w:rStyle w:val="CharSectno"/>
        </w:rPr>
        <w:t>56C</w:t>
      </w:r>
      <w:r>
        <w:rPr>
          <w:snapToGrid w:val="0"/>
        </w:rPr>
        <w:t>.</w:t>
      </w:r>
      <w:r>
        <w:rPr>
          <w:snapToGrid w:val="0"/>
        </w:rPr>
        <w:tab/>
        <w:t>Authorised persons to keep keys to safes</w:t>
      </w:r>
      <w:bookmarkEnd w:id="176"/>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00"/>
        <w:ind w:left="890" w:hanging="890"/>
      </w:pPr>
      <w:r>
        <w:tab/>
        <w:t xml:space="preserve">[Regulation 56C inserted in Gazette 25 Jun 1993 p. 3082; amended in Gazette 26 May 1994 p. 2201; 15 Dec 2006 p. 5630-1.] </w:t>
      </w:r>
    </w:p>
    <w:p>
      <w:pPr>
        <w:pStyle w:val="Heading5"/>
        <w:spacing w:before="200"/>
        <w:rPr>
          <w:snapToGrid w:val="0"/>
        </w:rPr>
      </w:pPr>
      <w:bookmarkStart w:id="177" w:name="_Toc389746806"/>
      <w:r>
        <w:rPr>
          <w:rStyle w:val="CharSectno"/>
        </w:rPr>
        <w:t>56D</w:t>
      </w:r>
      <w:r>
        <w:rPr>
          <w:snapToGrid w:val="0"/>
        </w:rPr>
        <w:t>.</w:t>
      </w:r>
      <w:r>
        <w:rPr>
          <w:snapToGrid w:val="0"/>
        </w:rPr>
        <w:tab/>
        <w:t>Safes to be kept locked</w:t>
      </w:r>
      <w:bookmarkEnd w:id="177"/>
      <w:r>
        <w:rPr>
          <w:snapToGrid w:val="0"/>
        </w:rPr>
        <w:t xml:space="preserve"> </w:t>
      </w:r>
    </w:p>
    <w:p>
      <w:pPr>
        <w:pStyle w:val="Subsection"/>
        <w:spacing w:before="150"/>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5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60"/>
        <w:rPr>
          <w:snapToGrid w:val="0"/>
        </w:rPr>
      </w:pPr>
      <w:r>
        <w:rPr>
          <w:snapToGrid w:val="0"/>
        </w:rPr>
        <w:tab/>
        <w:t>(a)</w:t>
      </w:r>
      <w:r>
        <w:rPr>
          <w:snapToGrid w:val="0"/>
        </w:rPr>
        <w:tab/>
        <w:t>when items are being placed into, or being removed from, the safe; or</w:t>
      </w:r>
    </w:p>
    <w:p>
      <w:pPr>
        <w:pStyle w:val="Indenta"/>
        <w:spacing w:before="6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spacing w:before="100"/>
        <w:ind w:left="890" w:hanging="890"/>
      </w:pPr>
      <w:r>
        <w:tab/>
        <w:t xml:space="preserve">[Regulation 56D inserted in Gazette 25 Jun 1993 p. 3082.] </w:t>
      </w:r>
    </w:p>
    <w:p>
      <w:pPr>
        <w:pStyle w:val="Heading5"/>
        <w:spacing w:before="200"/>
        <w:rPr>
          <w:snapToGrid w:val="0"/>
        </w:rPr>
      </w:pPr>
      <w:bookmarkStart w:id="178" w:name="_Toc389746807"/>
      <w:r>
        <w:rPr>
          <w:rStyle w:val="CharSectno"/>
        </w:rPr>
        <w:t>56E</w:t>
      </w:r>
      <w:r>
        <w:rPr>
          <w:snapToGrid w:val="0"/>
        </w:rPr>
        <w:t>.</w:t>
      </w:r>
      <w:r>
        <w:rPr>
          <w:snapToGrid w:val="0"/>
        </w:rPr>
        <w:tab/>
        <w:t>Pharmacist present on premises</w:t>
      </w:r>
      <w:bookmarkEnd w:id="178"/>
      <w:r>
        <w:rPr>
          <w:snapToGrid w:val="0"/>
        </w:rPr>
        <w:t xml:space="preserve"> </w:t>
      </w:r>
    </w:p>
    <w:p>
      <w:pPr>
        <w:pStyle w:val="Subsection"/>
        <w:spacing w:before="150"/>
        <w:rPr>
          <w:snapToGrid w:val="0"/>
        </w:rPr>
      </w:pPr>
      <w:r>
        <w:rPr>
          <w:snapToGrid w:val="0"/>
        </w:rPr>
        <w:tab/>
      </w:r>
      <w:r>
        <w:rPr>
          <w:snapToGrid w:val="0"/>
        </w:rPr>
        <w:tab/>
        <w:t>A pharmaceutical chemist who is — </w:t>
      </w:r>
    </w:p>
    <w:p>
      <w:pPr>
        <w:pStyle w:val="Indenta"/>
        <w:spacing w:before="60"/>
        <w:rPr>
          <w:snapToGrid w:val="0"/>
        </w:rPr>
      </w:pPr>
      <w:r>
        <w:rPr>
          <w:snapToGrid w:val="0"/>
        </w:rPr>
        <w:tab/>
        <w:t>(a)</w:t>
      </w:r>
      <w:r>
        <w:rPr>
          <w:snapToGrid w:val="0"/>
        </w:rPr>
        <w:tab/>
        <w:t>authorised to be, and is, in possession of a poison included in Schedule 8; and</w:t>
      </w:r>
    </w:p>
    <w:p>
      <w:pPr>
        <w:pStyle w:val="Indenta"/>
        <w:spacing w:before="60"/>
        <w:rPr>
          <w:snapToGrid w:val="0"/>
        </w:rPr>
      </w:pPr>
      <w:r>
        <w:rPr>
          <w:snapToGrid w:val="0"/>
        </w:rPr>
        <w:tab/>
        <w:t>(b)</w:t>
      </w:r>
      <w:r>
        <w:rPr>
          <w:snapToGrid w:val="0"/>
        </w:rPr>
        <w:tab/>
        <w:t xml:space="preserve">present on the pharmacy premises, </w:t>
      </w:r>
    </w:p>
    <w:p>
      <w:pPr>
        <w:pStyle w:val="Subsection"/>
        <w:spacing w:before="12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spacing w:before="100"/>
        <w:ind w:left="890" w:hanging="890"/>
      </w:pPr>
      <w:r>
        <w:tab/>
        <w:t xml:space="preserve">[Regulation 56E inserted in Gazette 25 Jun 1993 p. 3083; amended in Gazette 19 Mar 1996 p. 1233.] </w:t>
      </w:r>
    </w:p>
    <w:p>
      <w:pPr>
        <w:pStyle w:val="Heading5"/>
        <w:rPr>
          <w:snapToGrid w:val="0"/>
        </w:rPr>
      </w:pPr>
      <w:bookmarkStart w:id="179" w:name="_Toc389746808"/>
      <w:r>
        <w:rPr>
          <w:rStyle w:val="CharSectno"/>
        </w:rPr>
        <w:t>56F</w:t>
      </w:r>
      <w:r>
        <w:rPr>
          <w:snapToGrid w:val="0"/>
        </w:rPr>
        <w:t>.</w:t>
      </w:r>
      <w:r>
        <w:rPr>
          <w:snapToGrid w:val="0"/>
        </w:rPr>
        <w:tab/>
        <w:t>Keys to, and locking of, poisons cupboards and lockable drawers</w:t>
      </w:r>
      <w:bookmarkEnd w:id="179"/>
      <w:r>
        <w:rPr>
          <w:snapToGrid w:val="0"/>
        </w:rPr>
        <w:t xml:space="preserve"> </w:t>
      </w:r>
    </w:p>
    <w:p>
      <w:pPr>
        <w:pStyle w:val="Subsection"/>
        <w:keepNext/>
        <w:rPr>
          <w:snapToGrid w:val="0"/>
        </w:rPr>
      </w:pPr>
      <w:r>
        <w:rPr>
          <w:snapToGrid w:val="0"/>
        </w:rPr>
        <w:tab/>
      </w:r>
      <w:r>
        <w:rPr>
          <w:snapToGrid w:val="0"/>
        </w:rPr>
        <w:tab/>
        <w:t>A pharmaceutical chemist referred to in regulation 56E shall — </w:t>
      </w:r>
    </w:p>
    <w:p>
      <w:pPr>
        <w:pStyle w:val="Indenta"/>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 xml:space="preserve">[Regulation 56F inserted in Gazette 25 Jun 1993 p. 3083.] </w:t>
      </w:r>
    </w:p>
    <w:p>
      <w:pPr>
        <w:pStyle w:val="Heading5"/>
        <w:rPr>
          <w:snapToGrid w:val="0"/>
        </w:rPr>
      </w:pPr>
      <w:bookmarkStart w:id="180" w:name="_Toc389746809"/>
      <w:r>
        <w:rPr>
          <w:rStyle w:val="CharSectno"/>
        </w:rPr>
        <w:t>56G</w:t>
      </w:r>
      <w:r>
        <w:rPr>
          <w:snapToGrid w:val="0"/>
        </w:rPr>
        <w:t>.</w:t>
      </w:r>
      <w:r>
        <w:rPr>
          <w:snapToGrid w:val="0"/>
        </w:rPr>
        <w:tab/>
        <w:t>Poisons included in Schedule 8 in hospital ward</w:t>
      </w:r>
      <w:bookmarkEnd w:id="180"/>
      <w:r>
        <w:rPr>
          <w:snapToGrid w:val="0"/>
        </w:rPr>
        <w:t xml:space="preserve"> </w:t>
      </w:r>
    </w:p>
    <w:p>
      <w:pPr>
        <w:pStyle w:val="Subsection"/>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rPr>
          <w:snapToGrid w:val="0"/>
        </w:rPr>
      </w:pPr>
      <w:r>
        <w:rPr>
          <w:snapToGrid w:val="0"/>
        </w:rPr>
        <w:tab/>
        <w:t>(b)</w:t>
      </w:r>
      <w:r>
        <w:rPr>
          <w:snapToGrid w:val="0"/>
        </w:rPr>
        <w:tab/>
        <w:t>in a lockable portion of a cupboard in the ward,</w:t>
      </w:r>
    </w:p>
    <w:p>
      <w:pPr>
        <w:pStyle w:val="Subsection"/>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rPr>
          <w:snapToGrid w:val="0"/>
        </w:rPr>
      </w:pPr>
      <w:bookmarkStart w:id="181" w:name="_Toc389746810"/>
      <w:r>
        <w:rPr>
          <w:rStyle w:val="CharSectno"/>
        </w:rPr>
        <w:t>56H</w:t>
      </w:r>
      <w:r>
        <w:rPr>
          <w:snapToGrid w:val="0"/>
        </w:rPr>
        <w:t>.</w:t>
      </w:r>
      <w:r>
        <w:rPr>
          <w:snapToGrid w:val="0"/>
        </w:rPr>
        <w:tab/>
        <w:t>Keys to, and locking of, cupboards in hospital wards</w:t>
      </w:r>
      <w:bookmarkEnd w:id="181"/>
      <w:r>
        <w:rPr>
          <w:snapToGrid w:val="0"/>
        </w:rPr>
        <w:t xml:space="preserve"> </w:t>
      </w:r>
    </w:p>
    <w:p>
      <w:pPr>
        <w:pStyle w:val="Subsection"/>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w:t>
      </w:r>
    </w:p>
    <w:p>
      <w:pPr>
        <w:pStyle w:val="Ednotedivision"/>
      </w:pPr>
      <w:r>
        <w:t>[Heading deleted in Gazette 12 Aug 2003 p. 3663.]</w:t>
      </w:r>
    </w:p>
    <w:p>
      <w:pPr>
        <w:pStyle w:val="Heading3"/>
      </w:pPr>
      <w:bookmarkStart w:id="182" w:name="_Toc389746811"/>
      <w:r>
        <w:rPr>
          <w:rStyle w:val="CharDivNo"/>
        </w:rPr>
        <w:t>Division 5</w:t>
      </w:r>
      <w:r>
        <w:t xml:space="preserve"> — </w:t>
      </w:r>
      <w:r>
        <w:rPr>
          <w:rStyle w:val="CharDivText"/>
        </w:rPr>
        <w:t>Restrictions on supply</w:t>
      </w:r>
      <w:bookmarkEnd w:id="182"/>
    </w:p>
    <w:p>
      <w:pPr>
        <w:pStyle w:val="Footnoteheading"/>
        <w:rPr>
          <w:i w:val="0"/>
        </w:rPr>
      </w:pPr>
      <w:r>
        <w:tab/>
        <w:t>[Heading inserted in Gazette 12 Aug 2003 p. 3665.]</w:t>
      </w:r>
    </w:p>
    <w:p>
      <w:pPr>
        <w:pStyle w:val="Heading5"/>
        <w:rPr>
          <w:snapToGrid w:val="0"/>
        </w:rPr>
      </w:pPr>
      <w:bookmarkStart w:id="183" w:name="_Toc389746812"/>
      <w:r>
        <w:rPr>
          <w:rStyle w:val="CharSectno"/>
        </w:rPr>
        <w:t>57</w:t>
      </w:r>
      <w:r>
        <w:rPr>
          <w:snapToGrid w:val="0"/>
        </w:rPr>
        <w:t>.</w:t>
      </w:r>
      <w:r>
        <w:rPr>
          <w:snapToGrid w:val="0"/>
        </w:rPr>
        <w:tab/>
        <w:t>Labelling</w:t>
      </w:r>
      <w:bookmarkEnd w:id="183"/>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r>
        <w:t>[Heading deleted in Gazette 12 Aug 2003 p. 3663.]</w:t>
      </w:r>
    </w:p>
    <w:p>
      <w:pPr>
        <w:pStyle w:val="Heading5"/>
        <w:rPr>
          <w:snapToGrid w:val="0"/>
        </w:rPr>
      </w:pPr>
      <w:bookmarkStart w:id="184" w:name="_Toc389746813"/>
      <w:r>
        <w:rPr>
          <w:rStyle w:val="CharSectno"/>
        </w:rPr>
        <w:t>58</w:t>
      </w:r>
      <w:r>
        <w:rPr>
          <w:snapToGrid w:val="0"/>
        </w:rPr>
        <w:t>.</w:t>
      </w:r>
      <w:r>
        <w:rPr>
          <w:snapToGrid w:val="0"/>
        </w:rPr>
        <w:tab/>
        <w:t>Improper prescribing or use of drugs of addiction</w:t>
      </w:r>
      <w:bookmarkEnd w:id="184"/>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keepNext/>
        <w:keepLines/>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Footnotesection"/>
      </w:pPr>
      <w:r>
        <w:t>[Headings deleted in Gazette 12 Aug 2003 p. 3663.]</w:t>
      </w:r>
    </w:p>
    <w:p>
      <w:pPr>
        <w:pStyle w:val="Heading2"/>
      </w:pPr>
      <w:bookmarkStart w:id="185" w:name="_Toc389746814"/>
      <w:r>
        <w:rPr>
          <w:rStyle w:val="CharPartNo"/>
        </w:rPr>
        <w:t>Part 7</w:t>
      </w:r>
      <w:r>
        <w:rPr>
          <w:rStyle w:val="CharDivNo"/>
        </w:rPr>
        <w:t> </w:t>
      </w:r>
      <w:r>
        <w:t>—</w:t>
      </w:r>
      <w:r>
        <w:rPr>
          <w:rStyle w:val="CharDivText"/>
        </w:rPr>
        <w:t> </w:t>
      </w:r>
      <w:r>
        <w:rPr>
          <w:rStyle w:val="CharPartText"/>
        </w:rPr>
        <w:t>Miscellaneous provisions</w:t>
      </w:r>
      <w:bookmarkEnd w:id="185"/>
    </w:p>
    <w:p>
      <w:pPr>
        <w:pStyle w:val="Footnoteheading"/>
      </w:pPr>
      <w:r>
        <w:tab/>
        <w:t>[Heading inserted in Gazette 12 Aug 2003 p. 3665.]</w:t>
      </w:r>
    </w:p>
    <w:p>
      <w:pPr>
        <w:pStyle w:val="Heading5"/>
        <w:rPr>
          <w:snapToGrid w:val="0"/>
        </w:rPr>
      </w:pPr>
      <w:bookmarkStart w:id="186" w:name="_Toc389746815"/>
      <w:r>
        <w:rPr>
          <w:rStyle w:val="CharSectno"/>
        </w:rPr>
        <w:t>59</w:t>
      </w:r>
      <w:r>
        <w:rPr>
          <w:snapToGrid w:val="0"/>
        </w:rPr>
        <w:t>.</w:t>
      </w:r>
      <w:r>
        <w:rPr>
          <w:snapToGrid w:val="0"/>
        </w:rPr>
        <w:tab/>
        <w:t>Names of persons from whom licence or authority withdrawn to be published</w:t>
      </w:r>
      <w:bookmarkEnd w:id="186"/>
      <w:r>
        <w:rPr>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5630-1.]</w:t>
      </w:r>
    </w:p>
    <w:p>
      <w:pPr>
        <w:pStyle w:val="Ednotedivision"/>
      </w:pPr>
      <w:r>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187" w:name="_Toc389746816"/>
      <w:r>
        <w:rPr>
          <w:rStyle w:val="CharSectno"/>
        </w:rPr>
        <w:t>64</w:t>
      </w:r>
      <w:r>
        <w:rPr>
          <w:snapToGrid w:val="0"/>
        </w:rPr>
        <w:t>.</w:t>
      </w:r>
      <w:r>
        <w:rPr>
          <w:snapToGrid w:val="0"/>
        </w:rPr>
        <w:tab/>
        <w:t>Substitution of one brand of a drug for another</w:t>
      </w:r>
      <w:bookmarkEnd w:id="18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nurse practitioner</w:t>
      </w:r>
      <w:r>
        <w:rPr>
          <w:snapToGrid w:val="0"/>
        </w:rPr>
        <w:t xml:space="preserve"> or a dentist 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nurse practitioner</w:t>
      </w:r>
      <w:r>
        <w:rPr>
          <w:snapToGrid w:val="0"/>
        </w:rPr>
        <w:t xml:space="preserve"> or a dentist 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nurse practitioner</w:t>
      </w:r>
      <w:r>
        <w:rPr>
          <w:snapToGrid w:val="0"/>
        </w:rPr>
        <w:t xml:space="preserve"> or a dentist 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If a prescription issued by a medical practitioner</w:t>
      </w:r>
      <w:r>
        <w:t xml:space="preserve"> or nurse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amended by Act No. 9 of 2003 s. 49.]</w:t>
      </w:r>
    </w:p>
    <w:p>
      <w:pPr>
        <w:pStyle w:val="Heading5"/>
        <w:rPr>
          <w:snapToGrid w:val="0"/>
        </w:rPr>
      </w:pPr>
      <w:bookmarkStart w:id="188" w:name="_Toc389746817"/>
      <w:r>
        <w:rPr>
          <w:rStyle w:val="CharSectno"/>
        </w:rPr>
        <w:t>65</w:t>
      </w:r>
      <w:r>
        <w:rPr>
          <w:snapToGrid w:val="0"/>
        </w:rPr>
        <w:t>.</w:t>
      </w:r>
      <w:r>
        <w:rPr>
          <w:snapToGrid w:val="0"/>
        </w:rPr>
        <w:tab/>
        <w:t>Form of warrant (section 55A)</w:t>
      </w:r>
      <w:bookmarkEnd w:id="188"/>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189" w:name="_Toc389746818"/>
      <w:r>
        <w:rPr>
          <w:rStyle w:val="CharPartNo"/>
        </w:rPr>
        <w:t>Part 8</w:t>
      </w:r>
      <w:r>
        <w:rPr>
          <w:b w:val="0"/>
        </w:rPr>
        <w:t> </w:t>
      </w:r>
      <w:r>
        <w:t>—</w:t>
      </w:r>
      <w:r>
        <w:rPr>
          <w:b w:val="0"/>
        </w:rPr>
        <w:t> </w:t>
      </w:r>
      <w:r>
        <w:rPr>
          <w:rStyle w:val="CharPartText"/>
        </w:rPr>
        <w:t>Transitional provisions</w:t>
      </w:r>
      <w:bookmarkEnd w:id="189"/>
    </w:p>
    <w:p>
      <w:pPr>
        <w:pStyle w:val="Footnoteheading"/>
        <w:spacing w:before="100"/>
      </w:pPr>
      <w:r>
        <w:tab/>
        <w:t>[Heading inserted in Gazette 21 Apr 2009 p. 1366.]</w:t>
      </w:r>
    </w:p>
    <w:p>
      <w:pPr>
        <w:pStyle w:val="Heading3"/>
      </w:pPr>
      <w:bookmarkStart w:id="190" w:name="_Toc389746819"/>
      <w:r>
        <w:rPr>
          <w:rStyle w:val="CharDivNo"/>
        </w:rPr>
        <w:t>Division 1</w:t>
      </w:r>
      <w:r>
        <w:t> — </w:t>
      </w:r>
      <w:r>
        <w:rPr>
          <w:rStyle w:val="CharDivText"/>
        </w:rPr>
        <w:t xml:space="preserve">Transitional provisions relating to the </w:t>
      </w:r>
      <w:r>
        <w:rPr>
          <w:rStyle w:val="CharDivText"/>
          <w:i/>
          <w:iCs/>
        </w:rPr>
        <w:t>Poisons Amendment Regulations (No. 2) 2009</w:t>
      </w:r>
      <w:bookmarkEnd w:id="190"/>
    </w:p>
    <w:p>
      <w:pPr>
        <w:pStyle w:val="Footnoteheading"/>
        <w:spacing w:before="100"/>
      </w:pPr>
      <w:r>
        <w:tab/>
        <w:t>[Heading inserted in Gazette 21 Apr 2009 p. 1366.]</w:t>
      </w:r>
    </w:p>
    <w:p>
      <w:pPr>
        <w:pStyle w:val="Heading5"/>
        <w:spacing w:before="180"/>
      </w:pPr>
      <w:bookmarkStart w:id="191" w:name="_Toc389746820"/>
      <w:r>
        <w:rPr>
          <w:rStyle w:val="CharSectno"/>
        </w:rPr>
        <w:t>66</w:t>
      </w:r>
      <w:r>
        <w:t>.</w:t>
      </w:r>
      <w:r>
        <w:tab/>
        <w:t>Terms used</w:t>
      </w:r>
      <w:bookmarkEnd w:id="191"/>
    </w:p>
    <w:p>
      <w:pPr>
        <w:pStyle w:val="Subsection"/>
        <w:spacing w:before="120"/>
      </w:pPr>
      <w:r>
        <w:tab/>
      </w:r>
      <w:r>
        <w:tab/>
        <w:t xml:space="preserve">In this Division — </w:t>
      </w:r>
    </w:p>
    <w:p>
      <w:pPr>
        <w:pStyle w:val="Defstart"/>
        <w:spacing w:before="70"/>
      </w:pPr>
      <w:r>
        <w:tab/>
      </w:r>
      <w:r>
        <w:rPr>
          <w:rStyle w:val="CharDefText"/>
        </w:rPr>
        <w:t>commencement day</w:t>
      </w:r>
      <w:r>
        <w:t xml:space="preserve"> means the day on which this Division comes into operation;</w:t>
      </w:r>
    </w:p>
    <w:p>
      <w:pPr>
        <w:pStyle w:val="Defstart"/>
        <w:spacing w:before="70"/>
      </w:pPr>
      <w:r>
        <w:tab/>
      </w:r>
      <w:r>
        <w:rPr>
          <w:rStyle w:val="CharDefText"/>
        </w:rPr>
        <w:t>prescription</w:t>
      </w:r>
      <w:r>
        <w:t xml:space="preserve"> means a prescription or document prescribing the use, sale or supply of a drug of addiction.</w:t>
      </w:r>
    </w:p>
    <w:p>
      <w:pPr>
        <w:pStyle w:val="Footnotesection"/>
        <w:spacing w:before="80"/>
        <w:ind w:left="890" w:hanging="890"/>
      </w:pPr>
      <w:r>
        <w:tab/>
        <w:t>[Regulation 66 inserted in Gazette 21 Apr 2009 p. 1366.]</w:t>
      </w:r>
    </w:p>
    <w:p>
      <w:pPr>
        <w:pStyle w:val="Heading5"/>
        <w:spacing w:before="180"/>
      </w:pPr>
      <w:bookmarkStart w:id="192" w:name="_Toc389746821"/>
      <w:r>
        <w:rPr>
          <w:rStyle w:val="CharSectno"/>
        </w:rPr>
        <w:t>67</w:t>
      </w:r>
      <w:r>
        <w:t>.</w:t>
      </w:r>
      <w:r>
        <w:tab/>
        <w:t>Authorisation to prescribe drugs of addiction</w:t>
      </w:r>
      <w:bookmarkEnd w:id="192"/>
    </w:p>
    <w:p>
      <w:pPr>
        <w:pStyle w:val="Subsection"/>
        <w:spacing w:before="120"/>
      </w:pPr>
      <w:r>
        <w:tab/>
        <w:t>(1)</w:t>
      </w:r>
      <w:r>
        <w:tab/>
        <w:t xml:space="preserve">This regulation applies to a person — </w:t>
      </w:r>
    </w:p>
    <w:p>
      <w:pPr>
        <w:pStyle w:val="Indenta"/>
        <w:spacing w:before="60"/>
      </w:pPr>
      <w:r>
        <w:tab/>
        <w:t>(a)</w:t>
      </w:r>
      <w:r>
        <w:tab/>
        <w:t>who was authorised under regulation 51B(1) (as in force before commencement day) in relation to a drug addict; and</w:t>
      </w:r>
    </w:p>
    <w:p>
      <w:pPr>
        <w:pStyle w:val="Indenta"/>
        <w:spacing w:before="60"/>
      </w:pPr>
      <w:r>
        <w:tab/>
        <w:t>(b)</w:t>
      </w:r>
      <w:r>
        <w:tab/>
        <w:t xml:space="preserve">whose authorisation (the </w:t>
      </w:r>
      <w:r>
        <w:rPr>
          <w:rStyle w:val="CharDefText"/>
        </w:rPr>
        <w:t>old authorisation</w:t>
      </w:r>
      <w:r>
        <w:t>) was in force immediately before commencement day.</w:t>
      </w:r>
    </w:p>
    <w:p>
      <w:pPr>
        <w:pStyle w:val="Subsection"/>
        <w:spacing w:before="14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spacing w:before="80"/>
        <w:ind w:left="890" w:hanging="890"/>
      </w:pPr>
      <w:r>
        <w:tab/>
        <w:t>[Regulation 67 inserted in Gazette 21 Apr 2009 p. 1366</w:t>
      </w:r>
      <w:r>
        <w:noBreakHyphen/>
        <w:t>7.]</w:t>
      </w:r>
    </w:p>
    <w:p>
      <w:pPr>
        <w:pStyle w:val="Heading5"/>
        <w:spacing w:before="180"/>
      </w:pPr>
      <w:bookmarkStart w:id="193" w:name="_Toc389746822"/>
      <w:r>
        <w:rPr>
          <w:rStyle w:val="CharSectno"/>
        </w:rPr>
        <w:t>68</w:t>
      </w:r>
      <w:r>
        <w:t>.</w:t>
      </w:r>
      <w:r>
        <w:tab/>
        <w:t>Authorisation to prescribe pharmacotherapies</w:t>
      </w:r>
      <w:bookmarkEnd w:id="193"/>
    </w:p>
    <w:p>
      <w:pPr>
        <w:pStyle w:val="Subsection"/>
        <w:spacing w:before="140"/>
      </w:pPr>
      <w:r>
        <w:tab/>
        <w:t>(1)</w:t>
      </w:r>
      <w:r>
        <w:tab/>
        <w:t xml:space="preserve">This regulation applies to a person — </w:t>
      </w:r>
    </w:p>
    <w:p>
      <w:pPr>
        <w:pStyle w:val="Indenta"/>
        <w:spacing w:before="60"/>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194" w:name="_Toc389746823"/>
      <w:r>
        <w:rPr>
          <w:rStyle w:val="CharSectno"/>
        </w:rPr>
        <w:t>69</w:t>
      </w:r>
      <w:r>
        <w:t>.</w:t>
      </w:r>
      <w:r>
        <w:tab/>
        <w:t>Prescriptions</w:t>
      </w:r>
      <w:bookmarkEnd w:id="194"/>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195" w:name="_Toc389746824"/>
      <w:r>
        <w:rPr>
          <w:rStyle w:val="CharSectno"/>
        </w:rPr>
        <w:t>70</w:t>
      </w:r>
      <w:r>
        <w:t>.</w:t>
      </w:r>
      <w:r>
        <w:tab/>
        <w:t>Dispensing drugs of addiction from a pharmacy</w:t>
      </w:r>
      <w:bookmarkEnd w:id="195"/>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spacing w:after="80"/>
        <w:outlineLvl w:val="0"/>
      </w:pPr>
      <w:bookmarkStart w:id="196" w:name="_Toc389746825"/>
      <w:r>
        <w:rPr>
          <w:rStyle w:val="CharSchNo"/>
        </w:rPr>
        <w:t>Appendix A</w:t>
      </w:r>
      <w:bookmarkEnd w:id="196"/>
      <w:r>
        <w:rPr>
          <w:rStyle w:val="CharSchText"/>
        </w:rPr>
        <w:t xml:space="preserve"> </w:t>
      </w:r>
    </w:p>
    <w:tbl>
      <w:tblPr>
        <w:tblW w:w="0" w:type="auto"/>
        <w:tblInd w:w="392" w:type="dxa"/>
        <w:tblLayout w:type="fixed"/>
        <w:tblLook w:val="0000" w:firstRow="0" w:lastRow="0" w:firstColumn="0" w:lastColumn="0" w:noHBand="0" w:noVBand="0"/>
      </w:tblPr>
      <w:tblGrid>
        <w:gridCol w:w="1134"/>
        <w:gridCol w:w="142"/>
        <w:gridCol w:w="2409"/>
        <w:gridCol w:w="2977"/>
      </w:tblGrid>
      <w:tr>
        <w:trPr>
          <w:cantSplit/>
        </w:trPr>
        <w:tc>
          <w:tcPr>
            <w:tcW w:w="368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snapToGrid w:val="0"/>
                <w:sz w:val="28"/>
              </w:rPr>
            </w:pPr>
            <w:r>
              <w:rPr>
                <w:b/>
                <w:snapToGrid w:val="0"/>
              </w:rPr>
              <w:t>Form 1</w:t>
            </w:r>
          </w:p>
        </w:tc>
        <w:tc>
          <w:tcPr>
            <w:tcW w:w="2977" w:type="dxa"/>
            <w:tcBorders>
              <w:left w:val="single" w:sz="4" w:space="0" w:color="auto"/>
            </w:tcBorders>
          </w:tcPr>
          <w:p>
            <w:pPr>
              <w:pStyle w:val="yTableNAm"/>
              <w:spacing w:before="60"/>
              <w:rPr>
                <w:snapToGrid w:val="0"/>
              </w:rPr>
            </w:pPr>
          </w:p>
        </w:tc>
      </w:tr>
      <w:tr>
        <w:trPr>
          <w:cantSplit/>
        </w:trPr>
        <w:tc>
          <w:tcPr>
            <w:tcW w:w="6662" w:type="dxa"/>
            <w:gridSpan w:val="4"/>
          </w:tcPr>
          <w:p>
            <w:pPr>
              <w:pStyle w:val="yTableNAm"/>
              <w:spacing w:before="60"/>
              <w:rPr>
                <w:snapToGrid w:val="0"/>
                <w:sz w:val="16"/>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4"/>
            <w:tcBorders>
              <w:bottom w:val="single" w:sz="4" w:space="0" w:color="auto"/>
            </w:tcBorders>
          </w:tcPr>
          <w:p>
            <w:pPr>
              <w:pStyle w:val="yTableNAm"/>
              <w:spacing w:before="60"/>
              <w:rPr>
                <w:snapToGrid w:val="0"/>
                <w:sz w:val="18"/>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134"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c>
          <w:tcPr>
            <w:tcW w:w="1134"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134"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276" w:type="dxa"/>
            <w:gridSpan w:val="2"/>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6662" w:type="dxa"/>
            <w:gridSpan w:val="4"/>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bCs/>
          <w:snapToGrid w:val="0"/>
        </w:rPr>
      </w:pPr>
      <w:r>
        <w:rPr>
          <w:b/>
          <w:bCs/>
          <w:snapToGrid w:val="0"/>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PHARMACEUTICAL CHEMIST’S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w:t>
      </w:r>
    </w:p>
    <w:p>
      <w:pPr>
        <w:pStyle w:val="yEdnotedivision"/>
      </w:pPr>
      <w:r>
        <w:t>[Forms 3A, 4 and 4A deleted in Gazette 19 Mar 1996 p. 1234.]</w:t>
      </w:r>
    </w:p>
    <w:p>
      <w:pPr>
        <w:pStyle w:val="yMiscellaneousHeading"/>
        <w:pageBreakBefore/>
        <w:rPr>
          <w:b/>
          <w:bCs/>
          <w:snapToGrid w:val="0"/>
        </w:rPr>
      </w:pPr>
      <w:r>
        <w:rPr>
          <w:b/>
          <w:bCs/>
          <w:snapToGrid w:val="0"/>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b/>
          <w:bCs/>
          <w:snapToGrid w:val="0"/>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b/>
          <w:bCs/>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Dated at Perth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b/>
          <w:bCs/>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Dated at Perth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b/>
          <w:bCs/>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5630-1.]</w:t>
      </w:r>
    </w:p>
    <w:p>
      <w:pPr>
        <w:pStyle w:val="yMiscellaneousHeading"/>
        <w:pageBreakBefore/>
        <w:rPr>
          <w:b/>
          <w:bCs/>
          <w:snapToGrid w:val="0"/>
        </w:rPr>
      </w:pPr>
      <w:r>
        <w:rPr>
          <w:b/>
          <w:bCs/>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b/>
          <w:bCs/>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3085-6; amended in Gazette 7 Jun 1985 p. 1941; 27 May 1988 p. 1771; 14 Jun 1991 p. 2879; 16 Apr 1992 p. 1635; 19 Mar 1996 p. 1236.]</w:t>
      </w:r>
    </w:p>
    <w:p>
      <w:pPr>
        <w:pStyle w:val="yEdnotedivision"/>
        <w:outlineLvl w:val="9"/>
      </w:pPr>
      <w:r>
        <w:t>[Form 11AB deleted in Gazette 19 Mar 1996 p. 1236.]</w:t>
      </w:r>
    </w:p>
    <w:p>
      <w:pPr>
        <w:pStyle w:val="yEdnotedivision"/>
        <w:outlineLvl w:val="9"/>
      </w:pPr>
      <w:r>
        <w:t>[Form 12 deleted in Gazette 30 Dec 2004 p. 6943.]</w:t>
      </w:r>
    </w:p>
    <w:p>
      <w:pPr>
        <w:pStyle w:val="yMiscellaneousHeading"/>
        <w:pageBreakBefore/>
        <w:rPr>
          <w:b/>
          <w:bCs/>
          <w:snapToGrid w:val="0"/>
        </w:rPr>
      </w:pPr>
      <w:r>
        <w:rPr>
          <w:b/>
          <w:bCs/>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5630-1.]</w:t>
      </w:r>
    </w:p>
    <w:p>
      <w:pPr>
        <w:pStyle w:val="yMiscellaneousHeading"/>
        <w:pageBreakBefore/>
        <w:rPr>
          <w:b/>
          <w:bCs/>
          <w:snapToGrid w:val="0"/>
        </w:rPr>
      </w:pPr>
      <w:r>
        <w:rPr>
          <w:b/>
          <w:bCs/>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5630-1.]</w:t>
      </w:r>
    </w:p>
    <w:p>
      <w:pPr>
        <w:pStyle w:val="yMiscellaneousHeading"/>
        <w:pageBreakBefore/>
        <w:rPr>
          <w:b/>
          <w:bCs/>
          <w:snapToGrid w:val="0"/>
        </w:rPr>
      </w:pPr>
      <w:r>
        <w:rPr>
          <w:b/>
          <w:bCs/>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w:t>
      </w:r>
    </w:p>
    <w:p>
      <w:pPr>
        <w:pStyle w:val="yMiscellaneousBody"/>
        <w:spacing w:before="0"/>
        <w:rPr>
          <w:snapToGrid w:val="0"/>
        </w:rPr>
      </w:pPr>
      <w:r>
        <w:rPr>
          <w:snapToGrid w:val="0"/>
        </w:rPr>
        <w:t>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b/>
          <w:bCs/>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480"/>
          <w:tab w:val="left" w:pos="960"/>
        </w:tabs>
        <w:spacing w:before="60"/>
        <w:ind w:left="960" w:hanging="960"/>
        <w:rPr>
          <w:snapToGrid w:val="0"/>
        </w:rPr>
      </w:pPr>
      <w:r>
        <w:rPr>
          <w:snapToGrid w:val="0"/>
        </w:rPr>
        <w:tab/>
        <w:t>(i)</w:t>
      </w:r>
      <w:r>
        <w:rPr>
          <w:snapToGrid w:val="0"/>
        </w:rPr>
        <w:tab/>
        <w:t>to stop the vehicle or vessel;</w:t>
      </w:r>
    </w:p>
    <w:p>
      <w:pPr>
        <w:pStyle w:val="yMiscellaneousBody"/>
        <w:tabs>
          <w:tab w:val="left" w:pos="480"/>
          <w:tab w:val="left" w:pos="960"/>
        </w:tabs>
        <w:spacing w:before="60"/>
        <w:ind w:left="960" w:hanging="960"/>
        <w:rPr>
          <w:snapToGrid w:val="0"/>
        </w:rPr>
      </w:pPr>
      <w:r>
        <w:rPr>
          <w:snapToGrid w:val="0"/>
        </w:rPr>
        <w:tab/>
        <w:t>(ii)</w:t>
      </w:r>
      <w:r>
        <w:rPr>
          <w:snapToGrid w:val="0"/>
        </w:rPr>
        <w:tab/>
        <w:t>to move the vehicle or vessel to a place specified by the officer;</w:t>
      </w:r>
    </w:p>
    <w:p>
      <w:pPr>
        <w:pStyle w:val="yMiscellaneousBody"/>
        <w:tabs>
          <w:tab w:val="left" w:pos="480"/>
          <w:tab w:val="left" w:pos="960"/>
        </w:tabs>
        <w:spacing w:before="60"/>
        <w:ind w:left="960" w:hanging="96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1236-8.]</w:t>
      </w:r>
    </w:p>
    <w:p>
      <w:pPr>
        <w:pStyle w:val="yScheduleHeading"/>
      </w:pPr>
      <w:bookmarkStart w:id="197" w:name="_Toc389746826"/>
      <w:r>
        <w:rPr>
          <w:rStyle w:val="CharSchNo"/>
        </w:rPr>
        <w:t>Appendix B</w:t>
      </w:r>
      <w:r>
        <w:t> — </w:t>
      </w:r>
      <w:r>
        <w:rPr>
          <w:rStyle w:val="CharSchText"/>
        </w:rPr>
        <w:t>Vaccines exempt from specified provisions of the Act</w:t>
      </w:r>
      <w:bookmarkEnd w:id="197"/>
    </w:p>
    <w:p>
      <w:pPr>
        <w:pStyle w:val="yShoulderClause"/>
      </w:pPr>
      <w:r>
        <w:t>[r. 37B]</w:t>
      </w:r>
    </w:p>
    <w:p>
      <w:pPr>
        <w:pStyle w:val="yFootnoteheading"/>
        <w:spacing w:after="120"/>
      </w:pPr>
      <w:r>
        <w:tab/>
        <w:t>[Heading inserted in Gazette 26 Mar 2010 p. 1147.]</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812"/>
      </w:tblGrid>
      <w:tr>
        <w:tc>
          <w:tcPr>
            <w:tcW w:w="567" w:type="dxa"/>
          </w:tcPr>
          <w:p>
            <w:pPr>
              <w:pStyle w:val="yTableNAm"/>
            </w:pPr>
          </w:p>
        </w:tc>
        <w:tc>
          <w:tcPr>
            <w:tcW w:w="5812" w:type="dxa"/>
          </w:tcPr>
          <w:p>
            <w:pPr>
              <w:pStyle w:val="yTableNAm"/>
              <w:rPr>
                <w:b/>
                <w:bCs/>
              </w:rPr>
            </w:pPr>
            <w:r>
              <w:rPr>
                <w:b/>
                <w:bCs/>
              </w:rPr>
              <w:t>Vaccines</w:t>
            </w:r>
          </w:p>
        </w:tc>
      </w:tr>
      <w:tr>
        <w:tc>
          <w:tcPr>
            <w:tcW w:w="567" w:type="dxa"/>
          </w:tcPr>
          <w:p>
            <w:pPr>
              <w:pStyle w:val="yTableNAm"/>
            </w:pPr>
            <w:r>
              <w:t>1.</w:t>
            </w:r>
          </w:p>
        </w:tc>
        <w:tc>
          <w:tcPr>
            <w:tcW w:w="5812" w:type="dxa"/>
          </w:tcPr>
          <w:p>
            <w:pPr>
              <w:pStyle w:val="yTableNAm"/>
            </w:pPr>
            <w:r>
              <w:t>Diphtheria toxoid</w:t>
            </w:r>
          </w:p>
        </w:tc>
      </w:tr>
      <w:tr>
        <w:tc>
          <w:tcPr>
            <w:tcW w:w="567" w:type="dxa"/>
          </w:tcPr>
          <w:p>
            <w:pPr>
              <w:pStyle w:val="yTableNAm"/>
            </w:pPr>
            <w:r>
              <w:t>2.</w:t>
            </w:r>
          </w:p>
        </w:tc>
        <w:tc>
          <w:tcPr>
            <w:tcW w:w="5812" w:type="dxa"/>
          </w:tcPr>
          <w:p>
            <w:pPr>
              <w:pStyle w:val="yTableNAm"/>
            </w:pPr>
            <w:r>
              <w:t xml:space="preserve">Haemophilus B conjugate vaccine </w:t>
            </w:r>
          </w:p>
        </w:tc>
      </w:tr>
      <w:tr>
        <w:tc>
          <w:tcPr>
            <w:tcW w:w="567" w:type="dxa"/>
          </w:tcPr>
          <w:p>
            <w:pPr>
              <w:pStyle w:val="yTableNAm"/>
            </w:pPr>
            <w:r>
              <w:t>3.</w:t>
            </w:r>
          </w:p>
        </w:tc>
        <w:tc>
          <w:tcPr>
            <w:tcW w:w="5812" w:type="dxa"/>
          </w:tcPr>
          <w:p>
            <w:pPr>
              <w:pStyle w:val="yTableNAm"/>
            </w:pPr>
            <w:r>
              <w:t>Haemophilus influenzae vaccine</w:t>
            </w:r>
          </w:p>
        </w:tc>
      </w:tr>
      <w:tr>
        <w:tc>
          <w:tcPr>
            <w:tcW w:w="567" w:type="dxa"/>
          </w:tcPr>
          <w:p>
            <w:pPr>
              <w:pStyle w:val="yTableNAm"/>
            </w:pPr>
            <w:r>
              <w:t>4.</w:t>
            </w:r>
          </w:p>
        </w:tc>
        <w:tc>
          <w:tcPr>
            <w:tcW w:w="5812" w:type="dxa"/>
          </w:tcPr>
          <w:p>
            <w:pPr>
              <w:pStyle w:val="yTableNAm"/>
            </w:pPr>
            <w:r>
              <w:t>Hepatitis A vaccine, inactivated</w:t>
            </w:r>
          </w:p>
        </w:tc>
      </w:tr>
      <w:tr>
        <w:tc>
          <w:tcPr>
            <w:tcW w:w="567" w:type="dxa"/>
          </w:tcPr>
          <w:p>
            <w:pPr>
              <w:pStyle w:val="yTableNAm"/>
            </w:pPr>
            <w:r>
              <w:t>5.</w:t>
            </w:r>
          </w:p>
        </w:tc>
        <w:tc>
          <w:tcPr>
            <w:tcW w:w="5812" w:type="dxa"/>
          </w:tcPr>
          <w:p>
            <w:pPr>
              <w:pStyle w:val="yTableNAm"/>
            </w:pPr>
            <w:r>
              <w:t>Hepatitis B vaccine</w:t>
            </w:r>
          </w:p>
        </w:tc>
      </w:tr>
      <w:tr>
        <w:tc>
          <w:tcPr>
            <w:tcW w:w="567" w:type="dxa"/>
          </w:tcPr>
          <w:p>
            <w:pPr>
              <w:pStyle w:val="yTableNAm"/>
            </w:pPr>
            <w:r>
              <w:t>6.</w:t>
            </w:r>
          </w:p>
        </w:tc>
        <w:tc>
          <w:tcPr>
            <w:tcW w:w="5812" w:type="dxa"/>
          </w:tcPr>
          <w:p>
            <w:pPr>
              <w:pStyle w:val="yTableNAm"/>
            </w:pPr>
            <w:r>
              <w:t>Human papillomavirus vaccine, recombinant</w:t>
            </w:r>
          </w:p>
        </w:tc>
      </w:tr>
      <w:tr>
        <w:tc>
          <w:tcPr>
            <w:tcW w:w="567" w:type="dxa"/>
          </w:tcPr>
          <w:p>
            <w:pPr>
              <w:pStyle w:val="yTableNAm"/>
            </w:pPr>
            <w:r>
              <w:t>7.</w:t>
            </w:r>
          </w:p>
        </w:tc>
        <w:tc>
          <w:tcPr>
            <w:tcW w:w="5812" w:type="dxa"/>
          </w:tcPr>
          <w:p>
            <w:pPr>
              <w:pStyle w:val="yTableNAm"/>
            </w:pPr>
            <w:r>
              <w:rPr>
                <w:rFonts w:cs="Arial"/>
              </w:rPr>
              <w:t>Influenza virus vaccine</w:t>
            </w:r>
          </w:p>
        </w:tc>
      </w:tr>
      <w:tr>
        <w:tc>
          <w:tcPr>
            <w:tcW w:w="567" w:type="dxa"/>
          </w:tcPr>
          <w:p>
            <w:pPr>
              <w:pStyle w:val="yTableNAm"/>
            </w:pPr>
            <w:r>
              <w:t>8.</w:t>
            </w:r>
          </w:p>
        </w:tc>
        <w:tc>
          <w:tcPr>
            <w:tcW w:w="5812" w:type="dxa"/>
          </w:tcPr>
          <w:p>
            <w:pPr>
              <w:pStyle w:val="yTableNAm"/>
            </w:pPr>
            <w:r>
              <w:t>Measles vaccine, live</w:t>
            </w:r>
          </w:p>
        </w:tc>
      </w:tr>
      <w:tr>
        <w:tc>
          <w:tcPr>
            <w:tcW w:w="567" w:type="dxa"/>
          </w:tcPr>
          <w:p>
            <w:pPr>
              <w:pStyle w:val="yTableNAm"/>
            </w:pPr>
            <w:r>
              <w:t>9.</w:t>
            </w:r>
          </w:p>
        </w:tc>
        <w:tc>
          <w:tcPr>
            <w:tcW w:w="5812" w:type="dxa"/>
          </w:tcPr>
          <w:p>
            <w:pPr>
              <w:pStyle w:val="yTableNAm"/>
            </w:pPr>
            <w:r>
              <w:rPr>
                <w:rFonts w:cs="Arial"/>
              </w:rPr>
              <w:t>Mumps vaccine, live</w:t>
            </w:r>
          </w:p>
        </w:tc>
      </w:tr>
      <w:tr>
        <w:tc>
          <w:tcPr>
            <w:tcW w:w="567" w:type="dxa"/>
          </w:tcPr>
          <w:p>
            <w:pPr>
              <w:pStyle w:val="yTableNAm"/>
            </w:pPr>
            <w:r>
              <w:t>10.</w:t>
            </w:r>
          </w:p>
        </w:tc>
        <w:tc>
          <w:tcPr>
            <w:tcW w:w="5812" w:type="dxa"/>
          </w:tcPr>
          <w:p>
            <w:pPr>
              <w:pStyle w:val="yTableNAm"/>
            </w:pPr>
            <w:r>
              <w:rPr>
                <w:rFonts w:cs="Arial"/>
              </w:rPr>
              <w:t>Neisseria meningitidis vaccine</w:t>
            </w:r>
          </w:p>
        </w:tc>
      </w:tr>
      <w:tr>
        <w:tc>
          <w:tcPr>
            <w:tcW w:w="567" w:type="dxa"/>
          </w:tcPr>
          <w:p>
            <w:pPr>
              <w:pStyle w:val="yTableNAm"/>
            </w:pPr>
            <w:r>
              <w:t>11.</w:t>
            </w:r>
          </w:p>
        </w:tc>
        <w:tc>
          <w:tcPr>
            <w:tcW w:w="5812" w:type="dxa"/>
          </w:tcPr>
          <w:p>
            <w:pPr>
              <w:pStyle w:val="yTableNAm"/>
            </w:pPr>
            <w:r>
              <w:rPr>
                <w:rFonts w:cs="Arial"/>
              </w:rPr>
              <w:t>Pertussis vaccine</w:t>
            </w:r>
          </w:p>
        </w:tc>
      </w:tr>
      <w:tr>
        <w:tc>
          <w:tcPr>
            <w:tcW w:w="567" w:type="dxa"/>
          </w:tcPr>
          <w:p>
            <w:pPr>
              <w:pStyle w:val="yTableNAm"/>
            </w:pPr>
            <w:r>
              <w:t>12.</w:t>
            </w:r>
          </w:p>
        </w:tc>
        <w:tc>
          <w:tcPr>
            <w:tcW w:w="5812" w:type="dxa"/>
          </w:tcPr>
          <w:p>
            <w:pPr>
              <w:pStyle w:val="yTableNAm"/>
            </w:pPr>
            <w:r>
              <w:rPr>
                <w:rFonts w:cs="Arial"/>
              </w:rPr>
              <w:t>Pneumococcal vaccine</w:t>
            </w:r>
          </w:p>
        </w:tc>
      </w:tr>
      <w:tr>
        <w:tc>
          <w:tcPr>
            <w:tcW w:w="567" w:type="dxa"/>
          </w:tcPr>
          <w:p>
            <w:pPr>
              <w:pStyle w:val="yTableNAm"/>
            </w:pPr>
            <w:r>
              <w:t>13.</w:t>
            </w:r>
          </w:p>
        </w:tc>
        <w:tc>
          <w:tcPr>
            <w:tcW w:w="5812" w:type="dxa"/>
          </w:tcPr>
          <w:p>
            <w:pPr>
              <w:pStyle w:val="yTableNAm"/>
            </w:pPr>
            <w:r>
              <w:rPr>
                <w:rFonts w:cs="Arial"/>
              </w:rPr>
              <w:t>Poliomyelitis vaccine</w:t>
            </w:r>
          </w:p>
        </w:tc>
      </w:tr>
      <w:tr>
        <w:tc>
          <w:tcPr>
            <w:tcW w:w="567" w:type="dxa"/>
          </w:tcPr>
          <w:p>
            <w:pPr>
              <w:pStyle w:val="yTableNAm"/>
            </w:pPr>
            <w:r>
              <w:t>14.</w:t>
            </w:r>
          </w:p>
        </w:tc>
        <w:tc>
          <w:tcPr>
            <w:tcW w:w="5812" w:type="dxa"/>
          </w:tcPr>
          <w:p>
            <w:pPr>
              <w:pStyle w:val="yTableNAm"/>
            </w:pPr>
            <w:r>
              <w:rPr>
                <w:rFonts w:cs="Arial"/>
              </w:rPr>
              <w:t>Rotavirus vaccine, live, oral</w:t>
            </w:r>
          </w:p>
        </w:tc>
      </w:tr>
      <w:tr>
        <w:tc>
          <w:tcPr>
            <w:tcW w:w="567" w:type="dxa"/>
          </w:tcPr>
          <w:p>
            <w:pPr>
              <w:pStyle w:val="yTableNAm"/>
            </w:pPr>
            <w:r>
              <w:t>15.</w:t>
            </w:r>
          </w:p>
        </w:tc>
        <w:tc>
          <w:tcPr>
            <w:tcW w:w="5812" w:type="dxa"/>
          </w:tcPr>
          <w:p>
            <w:pPr>
              <w:pStyle w:val="yTableNAm"/>
            </w:pPr>
            <w:r>
              <w:rPr>
                <w:rFonts w:cs="Arial"/>
              </w:rPr>
              <w:t>Rubella vaccine, live</w:t>
            </w:r>
          </w:p>
        </w:tc>
      </w:tr>
      <w:tr>
        <w:tc>
          <w:tcPr>
            <w:tcW w:w="567" w:type="dxa"/>
          </w:tcPr>
          <w:p>
            <w:pPr>
              <w:pStyle w:val="yTableNAm"/>
            </w:pPr>
            <w:r>
              <w:t>16.</w:t>
            </w:r>
          </w:p>
        </w:tc>
        <w:tc>
          <w:tcPr>
            <w:tcW w:w="5812" w:type="dxa"/>
          </w:tcPr>
          <w:p>
            <w:pPr>
              <w:pStyle w:val="yTableNAm"/>
            </w:pPr>
            <w:r>
              <w:t>Tetanus toxoid</w:t>
            </w:r>
          </w:p>
        </w:tc>
      </w:tr>
      <w:tr>
        <w:tc>
          <w:tcPr>
            <w:tcW w:w="567" w:type="dxa"/>
          </w:tcPr>
          <w:p>
            <w:pPr>
              <w:pStyle w:val="yTableNAm"/>
            </w:pPr>
            <w:r>
              <w:t>17.</w:t>
            </w:r>
          </w:p>
        </w:tc>
        <w:tc>
          <w:tcPr>
            <w:tcW w:w="5812" w:type="dxa"/>
          </w:tcPr>
          <w:p>
            <w:pPr>
              <w:pStyle w:val="yTableNAm"/>
            </w:pPr>
            <w:r>
              <w:t>Varicella zoster vaccine, live attenuated</w:t>
            </w:r>
          </w:p>
        </w:tc>
      </w:tr>
    </w:tbl>
    <w:p>
      <w:pPr>
        <w:pStyle w:val="yFootnotesection"/>
      </w:pPr>
      <w:r>
        <w:tab/>
        <w:t>[Appendix B inserted in Gazette 26 Mar 2010 p. 1147-8.]</w:t>
      </w:r>
    </w:p>
    <w:p>
      <w:pPr>
        <w:pStyle w:val="yEdnoteschedule"/>
        <w:outlineLvl w:val="9"/>
      </w:pPr>
      <w:r>
        <w:t xml:space="preserve">[Appendices C, D and E deleted in Gazette 11 Nov 1988 p. 4444.] </w:t>
      </w:r>
    </w:p>
    <w:p>
      <w:pPr>
        <w:pStyle w:val="yEdnoteschedule"/>
        <w:outlineLvl w:val="9"/>
      </w:pPr>
      <w:r>
        <w:t>[Appendix F deleted in Gazette 1 Aug 1986 p. 2739.]</w:t>
      </w:r>
    </w:p>
    <w:p>
      <w:pPr>
        <w:pStyle w:val="yScheduleHeading"/>
        <w:outlineLvl w:val="0"/>
      </w:pPr>
      <w:bookmarkStart w:id="198" w:name="_Toc389746827"/>
      <w:r>
        <w:rPr>
          <w:rStyle w:val="CharSchNo"/>
        </w:rPr>
        <w:t>Appendix G</w:t>
      </w:r>
      <w:bookmarkEnd w:id="198"/>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NAm"/>
              <w:tabs>
                <w:tab w:val="clear" w:pos="567"/>
                <w:tab w:val="left" w:pos="1235"/>
              </w:tabs>
              <w:spacing w:before="0"/>
              <w:rPr>
                <w:b/>
                <w:bCs/>
                <w:sz w:val="18"/>
              </w:rPr>
            </w:pPr>
            <w:r>
              <w:rPr>
                <w:b/>
                <w:bCs/>
                <w:sz w:val="18"/>
              </w:rPr>
              <w:t>Form</w:t>
            </w:r>
            <w:r>
              <w:rPr>
                <w:b/>
                <w:bCs/>
                <w:sz w:val="18"/>
              </w:rPr>
              <w:tab/>
              <w:t>Description of</w:t>
            </w:r>
          </w:p>
          <w:p>
            <w:pPr>
              <w:pStyle w:val="yTableNAm"/>
              <w:tabs>
                <w:tab w:val="clear" w:pos="567"/>
                <w:tab w:val="left" w:pos="1235"/>
              </w:tabs>
              <w:spacing w:before="0"/>
              <w:rPr>
                <w:b/>
                <w:bCs/>
                <w:sz w:val="18"/>
              </w:rPr>
            </w:pPr>
            <w:r>
              <w:rPr>
                <w:b/>
                <w:bCs/>
                <w:sz w:val="18"/>
              </w:rPr>
              <w:t>No.</w:t>
            </w:r>
            <w:r>
              <w:rPr>
                <w:b/>
                <w:bCs/>
                <w:sz w:val="18"/>
              </w:rPr>
              <w:tab/>
              <w:t>Licence or Permit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c>
          <w:tcPr>
            <w:tcW w:w="993"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r>
      <w:tr>
        <w:tc>
          <w:tcPr>
            <w:tcW w:w="3119" w:type="dxa"/>
          </w:tcPr>
          <w:p>
            <w:pPr>
              <w:pStyle w:val="yTableNAm"/>
              <w:tabs>
                <w:tab w:val="clear" w:pos="567"/>
                <w:tab w:val="left" w:pos="395"/>
              </w:tabs>
              <w:ind w:left="395" w:hanging="395"/>
              <w:rPr>
                <w:sz w:val="18"/>
              </w:rPr>
            </w:pPr>
            <w:r>
              <w:rPr>
                <w:sz w:val="18"/>
              </w:rPr>
              <w:t>1.</w:t>
            </w:r>
            <w:r>
              <w:rPr>
                <w:sz w:val="18"/>
              </w:rPr>
              <w:tab/>
              <w:t>Wholesaler’s Licence ...................</w:t>
            </w:r>
          </w:p>
        </w:tc>
        <w:tc>
          <w:tcPr>
            <w:tcW w:w="992" w:type="dxa"/>
          </w:tcPr>
          <w:p>
            <w:pPr>
              <w:pStyle w:val="yTableNAm"/>
              <w:jc w:val="center"/>
              <w:rPr>
                <w:sz w:val="18"/>
              </w:rPr>
            </w:pPr>
            <w:r>
              <w:rPr>
                <w:sz w:val="18"/>
              </w:rPr>
              <w:t>600</w:t>
            </w:r>
          </w:p>
        </w:tc>
        <w:tc>
          <w:tcPr>
            <w:tcW w:w="992" w:type="dxa"/>
          </w:tcPr>
          <w:p>
            <w:pPr>
              <w:pStyle w:val="yTableNAm"/>
              <w:jc w:val="center"/>
              <w:rPr>
                <w:sz w:val="18"/>
              </w:rPr>
            </w:pPr>
            <w:r>
              <w:rPr>
                <w:sz w:val="18"/>
              </w:rPr>
              <w:t>850</w:t>
            </w:r>
          </w:p>
        </w:tc>
        <w:tc>
          <w:tcPr>
            <w:tcW w:w="993" w:type="dxa"/>
          </w:tcPr>
          <w:p>
            <w:pPr>
              <w:pStyle w:val="yTableNAm"/>
              <w:jc w:val="center"/>
              <w:rPr>
                <w:sz w:val="18"/>
              </w:rPr>
            </w:pPr>
            <w:r>
              <w:rPr>
                <w:sz w:val="18"/>
              </w:rPr>
              <w:t>175</w:t>
            </w:r>
          </w:p>
        </w:tc>
        <w:tc>
          <w:tcPr>
            <w:tcW w:w="992" w:type="dxa"/>
          </w:tcPr>
          <w:p>
            <w:pPr>
              <w:pStyle w:val="yTableNAm"/>
              <w:jc w:val="center"/>
              <w:rPr>
                <w:sz w:val="18"/>
              </w:rPr>
            </w:pPr>
            <w:r>
              <w:rPr>
                <w:sz w:val="18"/>
              </w:rPr>
              <w:t>425</w:t>
            </w:r>
          </w:p>
        </w:tc>
      </w:tr>
      <w:tr>
        <w:tc>
          <w:tcPr>
            <w:tcW w:w="3119" w:type="dxa"/>
          </w:tcPr>
          <w:p>
            <w:pPr>
              <w:pStyle w:val="yTableNAm"/>
              <w:tabs>
                <w:tab w:val="clear" w:pos="567"/>
                <w:tab w:val="left" w:pos="395"/>
              </w:tabs>
              <w:ind w:left="395" w:hanging="395"/>
              <w:rPr>
                <w:i/>
                <w:sz w:val="18"/>
              </w:rPr>
            </w:pPr>
            <w:r>
              <w:rPr>
                <w:i/>
                <w:sz w:val="18"/>
              </w:rPr>
              <w:t>[2.</w:t>
            </w:r>
            <w:r>
              <w:rPr>
                <w:i/>
                <w:sz w:val="18"/>
              </w:rPr>
              <w:tab/>
              <w:t>deleted]</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s>
              <w:ind w:left="395" w:hanging="395"/>
              <w:rPr>
                <w:sz w:val="18"/>
              </w:rPr>
            </w:pPr>
            <w:r>
              <w:rPr>
                <w:sz w:val="18"/>
              </w:rPr>
              <w:t>3.</w:t>
            </w:r>
            <w:r>
              <w:rPr>
                <w:sz w:val="18"/>
              </w:rPr>
              <w:tab/>
              <w:t>Pharmaceutical chemist’s licence to sell poisons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200</w:t>
            </w:r>
          </w:p>
        </w:tc>
        <w:tc>
          <w:tcPr>
            <w:tcW w:w="993" w:type="dxa"/>
          </w:tcPr>
          <w:p>
            <w:pPr>
              <w:pStyle w:val="yTableNAm"/>
              <w:jc w:val="center"/>
              <w:rPr>
                <w:sz w:val="18"/>
              </w:rPr>
            </w:pPr>
            <w:r>
              <w:rPr>
                <w:sz w:val="18"/>
              </w:rPr>
              <w:br/>
              <w:t>75</w:t>
            </w:r>
          </w:p>
        </w:tc>
        <w:tc>
          <w:tcPr>
            <w:tcW w:w="992" w:type="dxa"/>
          </w:tcPr>
          <w:p>
            <w:pPr>
              <w:pStyle w:val="yTableNAm"/>
              <w:jc w:val="center"/>
              <w:rPr>
                <w:sz w:val="18"/>
              </w:rPr>
            </w:pPr>
            <w:r>
              <w:rPr>
                <w:sz w:val="18"/>
              </w:rPr>
              <w:br/>
              <w:t>175</w:t>
            </w:r>
          </w:p>
        </w:tc>
      </w:tr>
      <w:tr>
        <w:tc>
          <w:tcPr>
            <w:tcW w:w="3119" w:type="dxa"/>
          </w:tcPr>
          <w:p>
            <w:pPr>
              <w:pStyle w:val="yTableNAm"/>
              <w:tabs>
                <w:tab w:val="clear" w:pos="567"/>
                <w:tab w:val="left" w:pos="395"/>
              </w:tabs>
              <w:ind w:left="395" w:hanging="395"/>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p>
        </w:tc>
        <w:tc>
          <w:tcPr>
            <w:tcW w:w="992" w:type="dxa"/>
          </w:tcPr>
          <w:p>
            <w:pPr>
              <w:pStyle w:val="yTableNAm"/>
              <w:jc w:val="center"/>
              <w:rPr>
                <w:sz w:val="18"/>
              </w:rPr>
            </w:pPr>
            <w:r>
              <w:rPr>
                <w:sz w:val="18"/>
              </w:rPr>
              <w:br/>
            </w:r>
            <w:r>
              <w:rPr>
                <w:sz w:val="18"/>
              </w:rPr>
              <w:br/>
              <w:t>100</w:t>
            </w:r>
          </w:p>
        </w:tc>
        <w:tc>
          <w:tcPr>
            <w:tcW w:w="992" w:type="dxa"/>
          </w:tcPr>
          <w:p>
            <w:pPr>
              <w:pStyle w:val="yTableNAm"/>
              <w:jc w:val="center"/>
              <w:rPr>
                <w:sz w:val="18"/>
              </w:rPr>
            </w:pPr>
            <w:r>
              <w:rPr>
                <w:sz w:val="18"/>
              </w:rPr>
              <w:br/>
            </w:r>
            <w:r>
              <w:rPr>
                <w:sz w:val="18"/>
              </w:rPr>
              <w:br/>
              <w:t>150</w:t>
            </w:r>
          </w:p>
        </w:tc>
        <w:tc>
          <w:tcPr>
            <w:tcW w:w="993" w:type="dxa"/>
          </w:tcPr>
          <w:p>
            <w:pPr>
              <w:pStyle w:val="yTableNAm"/>
              <w:jc w:val="center"/>
              <w:rPr>
                <w:sz w:val="18"/>
              </w:rPr>
            </w:pPr>
            <w:r>
              <w:rPr>
                <w:sz w:val="18"/>
              </w:rPr>
              <w:br/>
            </w:r>
            <w:r>
              <w:rPr>
                <w:sz w:val="18"/>
              </w:rPr>
              <w:br/>
              <w:t>50</w:t>
            </w:r>
          </w:p>
        </w:tc>
        <w:tc>
          <w:tcPr>
            <w:tcW w:w="992" w:type="dxa"/>
          </w:tcPr>
          <w:p>
            <w:pPr>
              <w:pStyle w:val="yTableNAm"/>
              <w:jc w:val="center"/>
              <w:rPr>
                <w:sz w:val="18"/>
              </w:rPr>
            </w:pPr>
            <w:r>
              <w:rPr>
                <w:sz w:val="18"/>
              </w:rPr>
              <w:br/>
            </w:r>
            <w:r>
              <w:rPr>
                <w:sz w:val="18"/>
              </w:rPr>
              <w:br/>
              <w:t>100</w:t>
            </w:r>
          </w:p>
        </w:tc>
      </w:tr>
      <w:tr>
        <w:tc>
          <w:tcPr>
            <w:tcW w:w="3119" w:type="dxa"/>
          </w:tcPr>
          <w:p>
            <w:pPr>
              <w:pStyle w:val="yTableNAm"/>
              <w:tabs>
                <w:tab w:val="clear" w:pos="567"/>
                <w:tab w:val="left" w:pos="395"/>
              </w:tabs>
              <w:ind w:left="395" w:hanging="395"/>
              <w:rPr>
                <w:sz w:val="18"/>
              </w:rPr>
            </w:pPr>
            <w:r>
              <w:rPr>
                <w:sz w:val="18"/>
              </w:rPr>
              <w:t>6.</w:t>
            </w:r>
            <w:r>
              <w:rPr>
                <w:sz w:val="18"/>
              </w:rPr>
              <w:tab/>
              <w:t xml:space="preserve">Licence to sell by retail, poisons included in Schedule 7 to the </w:t>
            </w:r>
            <w:r>
              <w:rPr>
                <w:i/>
                <w:sz w:val="18"/>
              </w:rPr>
              <w:t>Poisons Act 1964</w:t>
            </w:r>
            <w:r>
              <w:rPr>
                <w:sz w:val="18"/>
              </w:rPr>
              <w:t xml:space="preserve"> .........................</w:t>
            </w:r>
          </w:p>
        </w:tc>
        <w:tc>
          <w:tcPr>
            <w:tcW w:w="992" w:type="dxa"/>
          </w:tcPr>
          <w:p>
            <w:pPr>
              <w:pStyle w:val="yTableNAm"/>
              <w:jc w:val="center"/>
              <w:rPr>
                <w:sz w:val="18"/>
              </w:rPr>
            </w:pPr>
            <w:r>
              <w:rPr>
                <w:sz w:val="18"/>
              </w:rPr>
              <w:br/>
            </w:r>
            <w:r>
              <w:rPr>
                <w:sz w:val="18"/>
              </w:rPr>
              <w:br/>
              <w:t>200</w:t>
            </w:r>
          </w:p>
        </w:tc>
        <w:tc>
          <w:tcPr>
            <w:tcW w:w="992" w:type="dxa"/>
          </w:tcPr>
          <w:p>
            <w:pPr>
              <w:pStyle w:val="yTableNAm"/>
              <w:jc w:val="center"/>
              <w:rPr>
                <w:sz w:val="18"/>
              </w:rPr>
            </w:pPr>
            <w:r>
              <w:rPr>
                <w:sz w:val="18"/>
              </w:rPr>
              <w:br/>
            </w:r>
            <w:r>
              <w:rPr>
                <w:sz w:val="18"/>
              </w:rPr>
              <w:br/>
              <w:t>300</w:t>
            </w:r>
          </w:p>
        </w:tc>
        <w:tc>
          <w:tcPr>
            <w:tcW w:w="993" w:type="dxa"/>
          </w:tcPr>
          <w:p>
            <w:pPr>
              <w:pStyle w:val="yTableNAm"/>
              <w:jc w:val="center"/>
              <w:rPr>
                <w:sz w:val="18"/>
              </w:rPr>
            </w:pPr>
            <w:r>
              <w:rPr>
                <w:sz w:val="18"/>
              </w:rPr>
              <w:br/>
            </w:r>
            <w:r>
              <w:rPr>
                <w:sz w:val="18"/>
              </w:rPr>
              <w:br/>
              <w:t>75</w:t>
            </w:r>
          </w:p>
        </w:tc>
        <w:tc>
          <w:tcPr>
            <w:tcW w:w="992" w:type="dxa"/>
          </w:tcPr>
          <w:p>
            <w:pPr>
              <w:pStyle w:val="yTableNAm"/>
              <w:jc w:val="center"/>
              <w:rPr>
                <w:sz w:val="18"/>
              </w:rPr>
            </w:pPr>
            <w:r>
              <w:rPr>
                <w:sz w:val="18"/>
              </w:rPr>
              <w:br/>
            </w:r>
            <w:r>
              <w:rPr>
                <w:sz w:val="18"/>
              </w:rPr>
              <w:br/>
              <w:t>175</w:t>
            </w:r>
          </w:p>
        </w:tc>
      </w:tr>
      <w:tr>
        <w:tc>
          <w:tcPr>
            <w:tcW w:w="3119" w:type="dxa"/>
          </w:tcPr>
          <w:p>
            <w:pPr>
              <w:pStyle w:val="yTableNAm"/>
              <w:tabs>
                <w:tab w:val="clear" w:pos="567"/>
                <w:tab w:val="left" w:pos="395"/>
              </w:tabs>
              <w:ind w:left="395" w:hanging="395"/>
              <w:rPr>
                <w:sz w:val="18"/>
              </w:rPr>
            </w:pPr>
            <w:r>
              <w:rPr>
                <w:sz w:val="18"/>
              </w:rPr>
              <w:t>6B.</w:t>
            </w:r>
            <w:r>
              <w:rPr>
                <w:sz w:val="18"/>
              </w:rPr>
              <w:tab/>
              <w:t>Poisons permit (Distribution of samples)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7.</w:t>
            </w:r>
            <w:r>
              <w:rPr>
                <w:sz w:val="18"/>
              </w:rPr>
              <w:tab/>
              <w:t>Poisons permit (Industrial) — </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s>
              <w:spacing w:before="80"/>
              <w:ind w:left="720" w:hanging="720"/>
              <w:rPr>
                <w:sz w:val="18"/>
              </w:rPr>
            </w:pPr>
            <w:r>
              <w:rPr>
                <w:sz w:val="18"/>
              </w:rPr>
              <w:tab/>
              <w:t>(a)</w:t>
            </w:r>
            <w:r>
              <w:rPr>
                <w:sz w:val="18"/>
              </w:rPr>
              <w:tab/>
              <w:t>for poisons other than those set out in this item ..............</w:t>
            </w:r>
          </w:p>
        </w:tc>
        <w:tc>
          <w:tcPr>
            <w:tcW w:w="992" w:type="dxa"/>
          </w:tcPr>
          <w:p>
            <w:pPr>
              <w:pStyle w:val="yTableNAm"/>
              <w:spacing w:before="80"/>
              <w:jc w:val="center"/>
              <w:rPr>
                <w:sz w:val="18"/>
              </w:rPr>
            </w:pPr>
            <w:r>
              <w:rPr>
                <w:sz w:val="18"/>
              </w:rPr>
              <w:br/>
              <w:t>200</w:t>
            </w:r>
          </w:p>
        </w:tc>
        <w:tc>
          <w:tcPr>
            <w:tcW w:w="992" w:type="dxa"/>
          </w:tcPr>
          <w:p>
            <w:pPr>
              <w:pStyle w:val="yTableNAm"/>
              <w:spacing w:before="80"/>
              <w:jc w:val="center"/>
              <w:rPr>
                <w:sz w:val="18"/>
              </w:rPr>
            </w:pPr>
            <w:r>
              <w:rPr>
                <w:sz w:val="18"/>
              </w:rPr>
              <w:br/>
              <w:t>300</w:t>
            </w:r>
          </w:p>
        </w:tc>
        <w:tc>
          <w:tcPr>
            <w:tcW w:w="993" w:type="dxa"/>
          </w:tcPr>
          <w:p>
            <w:pPr>
              <w:pStyle w:val="yTableNAm"/>
              <w:spacing w:before="80"/>
              <w:jc w:val="center"/>
              <w:rPr>
                <w:sz w:val="18"/>
              </w:rPr>
            </w:pPr>
            <w:r>
              <w:rPr>
                <w:sz w:val="18"/>
              </w:rPr>
              <w:br/>
              <w:t>75</w:t>
            </w:r>
          </w:p>
        </w:tc>
        <w:tc>
          <w:tcPr>
            <w:tcW w:w="992" w:type="dxa"/>
          </w:tcPr>
          <w:p>
            <w:pPr>
              <w:pStyle w:val="yTableNAm"/>
              <w:spacing w:before="80"/>
              <w:jc w:val="center"/>
              <w:rPr>
                <w:sz w:val="18"/>
              </w:rPr>
            </w:pPr>
            <w:r>
              <w:rPr>
                <w:sz w:val="18"/>
              </w:rPr>
              <w:br/>
              <w:t>175</w:t>
            </w:r>
          </w:p>
        </w:tc>
      </w:tr>
      <w:tr>
        <w:tc>
          <w:tcPr>
            <w:tcW w:w="3119" w:type="dxa"/>
          </w:tcPr>
          <w:p>
            <w:pPr>
              <w:pStyle w:val="yTableNAm"/>
              <w:tabs>
                <w:tab w:val="clear" w:pos="567"/>
                <w:tab w:val="left" w:pos="395"/>
              </w:tabs>
              <w:spacing w:before="80"/>
              <w:ind w:left="720" w:hanging="720"/>
              <w:rPr>
                <w:sz w:val="18"/>
              </w:rPr>
            </w:pPr>
            <w:r>
              <w:rPr>
                <w:sz w:val="18"/>
              </w:rPr>
              <w:tab/>
              <w:t>(b)</w:t>
            </w:r>
            <w:r>
              <w:rPr>
                <w:sz w:val="18"/>
              </w:rPr>
              <w:tab/>
              <w:t>for any one or more of the poisons set out in this item</w:t>
            </w:r>
          </w:p>
        </w:tc>
        <w:tc>
          <w:tcPr>
            <w:tcW w:w="992" w:type="dxa"/>
          </w:tcPr>
          <w:p>
            <w:pPr>
              <w:pStyle w:val="yTableNAm"/>
              <w:spacing w:before="80"/>
              <w:jc w:val="center"/>
              <w:rPr>
                <w:sz w:val="18"/>
              </w:rPr>
            </w:pPr>
            <w:r>
              <w:rPr>
                <w:sz w:val="18"/>
              </w:rPr>
              <w:br/>
              <w:t>575</w:t>
            </w:r>
          </w:p>
        </w:tc>
        <w:tc>
          <w:tcPr>
            <w:tcW w:w="992" w:type="dxa"/>
          </w:tcPr>
          <w:p>
            <w:pPr>
              <w:pStyle w:val="yTableNAm"/>
              <w:spacing w:before="80"/>
              <w:jc w:val="center"/>
              <w:rPr>
                <w:sz w:val="18"/>
              </w:rPr>
            </w:pPr>
            <w:r>
              <w:rPr>
                <w:sz w:val="18"/>
              </w:rPr>
              <w:br/>
              <w:t>1275</w:t>
            </w:r>
          </w:p>
        </w:tc>
        <w:tc>
          <w:tcPr>
            <w:tcW w:w="993" w:type="dxa"/>
          </w:tcPr>
          <w:p>
            <w:pPr>
              <w:pStyle w:val="yTableNAm"/>
              <w:spacing w:before="80"/>
              <w:jc w:val="center"/>
              <w:rPr>
                <w:sz w:val="18"/>
              </w:rPr>
            </w:pPr>
            <w:r>
              <w:rPr>
                <w:sz w:val="18"/>
              </w:rPr>
              <w:br/>
              <w:t>425</w:t>
            </w:r>
          </w:p>
        </w:tc>
        <w:tc>
          <w:tcPr>
            <w:tcW w:w="992" w:type="dxa"/>
          </w:tcPr>
          <w:p>
            <w:pPr>
              <w:pStyle w:val="yTableNAm"/>
              <w:spacing w:before="80"/>
              <w:jc w:val="center"/>
              <w:rPr>
                <w:sz w:val="18"/>
              </w:rPr>
            </w:pPr>
            <w:r>
              <w:rPr>
                <w:sz w:val="18"/>
              </w:rPr>
              <w:br/>
              <w:t>1125</w:t>
            </w:r>
          </w:p>
        </w:tc>
      </w:tr>
      <w:tr>
        <w:trPr>
          <w:cantSplit/>
        </w:trPr>
        <w:tc>
          <w:tcPr>
            <w:tcW w:w="7088" w:type="dxa"/>
            <w:gridSpan w:val="5"/>
          </w:tcPr>
          <w:p>
            <w:pPr>
              <w:pStyle w:val="yTableNAm"/>
              <w:tabs>
                <w:tab w:val="clear" w:pos="567"/>
                <w:tab w:val="left" w:pos="395"/>
                <w:tab w:val="left" w:pos="755"/>
                <w:tab w:val="left" w:pos="995"/>
              </w:tabs>
              <w:spacing w:before="60"/>
              <w:rPr>
                <w:sz w:val="18"/>
              </w:rPr>
            </w:pPr>
            <w:r>
              <w:rPr>
                <w:sz w:val="18"/>
              </w:rPr>
              <w:tab/>
            </w:r>
            <w:r>
              <w:rPr>
                <w:sz w:val="18"/>
              </w:rPr>
              <w:tab/>
              <w:t>•</w:t>
            </w:r>
            <w:r>
              <w:rPr>
                <w:sz w:val="18"/>
              </w:rPr>
              <w:tab/>
              <w:t>benzene;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diaminodiphenylmethane (Methylene dianiline);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methylenebis(2</w:t>
            </w:r>
            <w:r>
              <w:rPr>
                <w:sz w:val="18"/>
              </w:rPr>
              <w:noBreakHyphen/>
              <w:t>chloroaniline);</w:t>
            </w:r>
          </w:p>
        </w:tc>
      </w:tr>
      <w:tr>
        <w:tc>
          <w:tcPr>
            <w:tcW w:w="3119" w:type="dxa"/>
          </w:tcPr>
          <w:p>
            <w:pPr>
              <w:pStyle w:val="yTableNAm"/>
              <w:tabs>
                <w:tab w:val="clear" w:pos="567"/>
                <w:tab w:val="left" w:pos="395"/>
              </w:tabs>
              <w:ind w:left="395" w:hanging="395"/>
              <w:rPr>
                <w:sz w:val="18"/>
              </w:rPr>
            </w:pPr>
            <w:r>
              <w:rPr>
                <w:sz w:val="18"/>
              </w:rPr>
              <w:t>8.</w:t>
            </w:r>
            <w:r>
              <w:rPr>
                <w:sz w:val="18"/>
              </w:rPr>
              <w:tab/>
              <w:t>Poisons permit (Educational, advisory or research)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8AA.</w:t>
            </w:r>
            <w:r>
              <w:rPr>
                <w:sz w:val="18"/>
              </w:rPr>
              <w:tab/>
              <w:t>Poisons permit (Health services)</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11AA. Stockfeed manufacturer’s permit</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13.</w:t>
            </w:r>
            <w:r>
              <w:rPr>
                <w:sz w:val="18"/>
              </w:rPr>
              <w:tab/>
              <w:t>Poisons permit (Departmental and hospitals) — </w:t>
            </w:r>
          </w:p>
        </w:tc>
        <w:tc>
          <w:tcPr>
            <w:tcW w:w="992" w:type="dxa"/>
          </w:tcPr>
          <w:p>
            <w:pPr>
              <w:pStyle w:val="yTableNAm"/>
              <w:rPr>
                <w:sz w:val="18"/>
              </w:rPr>
            </w:pPr>
          </w:p>
        </w:tc>
        <w:tc>
          <w:tcPr>
            <w:tcW w:w="992" w:type="dxa"/>
          </w:tcPr>
          <w:p>
            <w:pPr>
              <w:pStyle w:val="yTableNAm"/>
              <w:rPr>
                <w:sz w:val="18"/>
              </w:rPr>
            </w:pPr>
          </w:p>
        </w:tc>
        <w:tc>
          <w:tcPr>
            <w:tcW w:w="993" w:type="dxa"/>
          </w:tcPr>
          <w:p>
            <w:pPr>
              <w:pStyle w:val="yTableNAm"/>
              <w:rPr>
                <w:sz w:val="18"/>
              </w:rPr>
            </w:pPr>
          </w:p>
        </w:tc>
        <w:tc>
          <w:tcPr>
            <w:tcW w:w="992" w:type="dxa"/>
          </w:tcPr>
          <w:p>
            <w:pPr>
              <w:pStyle w:val="yTableNAm"/>
              <w:rPr>
                <w:sz w:val="18"/>
              </w:rPr>
            </w:pPr>
          </w:p>
        </w:tc>
      </w:tr>
      <w:tr>
        <w:tc>
          <w:tcPr>
            <w:tcW w:w="3119" w:type="dxa"/>
          </w:tcPr>
          <w:p>
            <w:pPr>
              <w:pStyle w:val="yTableNAm"/>
              <w:tabs>
                <w:tab w:val="clear" w:pos="567"/>
                <w:tab w:val="left" w:pos="395"/>
              </w:tabs>
              <w:spacing w:before="80"/>
              <w:rPr>
                <w:sz w:val="18"/>
              </w:rPr>
            </w:pPr>
            <w:r>
              <w:rPr>
                <w:sz w:val="18"/>
              </w:rPr>
              <w:tab/>
              <w:t>(a)</w:t>
            </w:r>
            <w:r>
              <w:rPr>
                <w:sz w:val="18"/>
              </w:rPr>
              <w:tab/>
              <w:t>Departmental ......................</w:t>
            </w:r>
          </w:p>
        </w:tc>
        <w:tc>
          <w:tcPr>
            <w:tcW w:w="992" w:type="dxa"/>
          </w:tcPr>
          <w:p>
            <w:pPr>
              <w:pStyle w:val="yTableNAm"/>
              <w:spacing w:before="80"/>
              <w:jc w:val="center"/>
              <w:rPr>
                <w:sz w:val="18"/>
              </w:rPr>
            </w:pPr>
            <w:r>
              <w:rPr>
                <w:sz w:val="18"/>
              </w:rPr>
              <w:t>100</w:t>
            </w:r>
          </w:p>
        </w:tc>
        <w:tc>
          <w:tcPr>
            <w:tcW w:w="992" w:type="dxa"/>
          </w:tcPr>
          <w:p>
            <w:pPr>
              <w:pStyle w:val="yTableNAm"/>
              <w:spacing w:before="80"/>
              <w:jc w:val="center"/>
              <w:rPr>
                <w:sz w:val="18"/>
              </w:rPr>
            </w:pPr>
            <w:r>
              <w:rPr>
                <w:sz w:val="18"/>
              </w:rPr>
              <w:t>150</w:t>
            </w:r>
          </w:p>
        </w:tc>
        <w:tc>
          <w:tcPr>
            <w:tcW w:w="993" w:type="dxa"/>
          </w:tcPr>
          <w:p>
            <w:pPr>
              <w:pStyle w:val="yTableNAm"/>
              <w:spacing w:before="80"/>
              <w:jc w:val="center"/>
              <w:rPr>
                <w:sz w:val="18"/>
              </w:rPr>
            </w:pPr>
            <w:r>
              <w:rPr>
                <w:sz w:val="18"/>
              </w:rPr>
              <w:t>50</w:t>
            </w:r>
          </w:p>
        </w:tc>
        <w:tc>
          <w:tcPr>
            <w:tcW w:w="992" w:type="dxa"/>
          </w:tcPr>
          <w:p>
            <w:pPr>
              <w:pStyle w:val="yTableNAm"/>
              <w:spacing w:before="80"/>
              <w:jc w:val="center"/>
              <w:rPr>
                <w:sz w:val="18"/>
              </w:rPr>
            </w:pPr>
            <w:r>
              <w:rPr>
                <w:sz w:val="18"/>
              </w:rPr>
              <w:t>100</w:t>
            </w:r>
          </w:p>
        </w:tc>
      </w:tr>
      <w:tr>
        <w:tc>
          <w:tcPr>
            <w:tcW w:w="3119" w:type="dxa"/>
          </w:tcPr>
          <w:p>
            <w:pPr>
              <w:pStyle w:val="yTableNAm"/>
              <w:tabs>
                <w:tab w:val="clear" w:pos="567"/>
                <w:tab w:val="left" w:pos="395"/>
              </w:tabs>
              <w:spacing w:before="80"/>
              <w:rPr>
                <w:sz w:val="18"/>
              </w:rPr>
            </w:pPr>
            <w:r>
              <w:rPr>
                <w:sz w:val="18"/>
              </w:rPr>
              <w:tab/>
              <w:t>(b)</w:t>
            </w:r>
            <w:r>
              <w:rPr>
                <w:sz w:val="18"/>
              </w:rPr>
              <w:tab/>
              <w:t>Hospitals .............................</w:t>
            </w:r>
          </w:p>
        </w:tc>
        <w:tc>
          <w:tcPr>
            <w:tcW w:w="992"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c>
          <w:tcPr>
            <w:tcW w:w="993"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w:t>
      </w:r>
    </w:p>
    <w:p>
      <w:pPr>
        <w:pStyle w:val="yScheduleHeading"/>
        <w:outlineLvl w:val="0"/>
      </w:pPr>
      <w:bookmarkStart w:id="199" w:name="_Toc389746828"/>
      <w:r>
        <w:rPr>
          <w:rStyle w:val="CharSchNo"/>
        </w:rPr>
        <w:t>Appendix H</w:t>
      </w:r>
      <w:bookmarkEnd w:id="199"/>
    </w:p>
    <w:p>
      <w:pPr>
        <w:pStyle w:val="yHeading2"/>
        <w:outlineLvl w:val="9"/>
      </w:pPr>
      <w:bookmarkStart w:id="200" w:name="_Toc389746829"/>
      <w:r>
        <w:rPr>
          <w:rStyle w:val="CharSchText"/>
        </w:rPr>
        <w:t>Schedule 4 substances referred to in regulation 39(1)</w:t>
      </w:r>
      <w:bookmarkEnd w:id="200"/>
    </w:p>
    <w:p>
      <w:pPr>
        <w:pStyle w:val="yFootnoteheading"/>
      </w:pPr>
      <w:r>
        <w:tab/>
        <w:t>[Heading inserted in Gazette 8 Feb 1985 p. 520; amended in Gazette 19 Mar 1996 p. 1239.]</w:t>
      </w:r>
    </w:p>
    <w:p>
      <w:pPr>
        <w:pStyle w:val="yMiscellaneousBody"/>
        <w:spacing w:before="6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outlineLvl w:val="0"/>
      </w:pPr>
      <w:bookmarkStart w:id="201" w:name="_Toc389746830"/>
      <w:r>
        <w:rPr>
          <w:rStyle w:val="CharSchNo"/>
        </w:rPr>
        <w:t>Appendix J</w:t>
      </w:r>
      <w:bookmarkEnd w:id="201"/>
    </w:p>
    <w:p>
      <w:pPr>
        <w:pStyle w:val="yShoulderClause"/>
        <w:rPr>
          <w:snapToGrid w:val="0"/>
        </w:rPr>
      </w:pPr>
      <w:r>
        <w:rPr>
          <w:snapToGrid w:val="0"/>
        </w:rPr>
        <w:t>(reg. 35A)</w:t>
      </w:r>
    </w:p>
    <w:p>
      <w:pPr>
        <w:pStyle w:val="yHeading2"/>
        <w:outlineLvl w:val="0"/>
      </w:pPr>
      <w:bookmarkStart w:id="202" w:name="_Toc389746831"/>
      <w:r>
        <w:rPr>
          <w:rStyle w:val="CharSchText"/>
        </w:rPr>
        <w:t>Schedule 3 poison sales to be recorded</w:t>
      </w:r>
      <w:bookmarkEnd w:id="202"/>
    </w:p>
    <w:p>
      <w:pPr>
        <w:pStyle w:val="yFootnoteheading"/>
        <w:ind w:left="0" w:firstLine="0"/>
      </w:pPr>
      <w:r>
        <w:tab/>
        <w:t>[Heading inserted in Gazette 20 Sep 1985 p. 3743.]</w:t>
      </w:r>
    </w:p>
    <w:p>
      <w:pPr>
        <w:pStyle w:val="yMiscellaneousBody"/>
        <w:spacing w:before="6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outlineLvl w:val="0"/>
      </w:pPr>
      <w:bookmarkStart w:id="203" w:name="_Toc389746832"/>
      <w:r>
        <w:rPr>
          <w:rStyle w:val="CharSchNo"/>
        </w:rPr>
        <w:t>Appendix K</w:t>
      </w:r>
      <w:bookmarkEnd w:id="203"/>
    </w:p>
    <w:p>
      <w:pPr>
        <w:pStyle w:val="yShoulderClause"/>
      </w:pPr>
      <w:r>
        <w:t>[r. 32B]</w:t>
      </w:r>
    </w:p>
    <w:p>
      <w:pPr>
        <w:pStyle w:val="yHeading2"/>
        <w:outlineLvl w:val="0"/>
      </w:pPr>
      <w:bookmarkStart w:id="204" w:name="_Toc389746833"/>
      <w:r>
        <w:rPr>
          <w:rStyle w:val="CharSchText"/>
        </w:rPr>
        <w:t>Criteria for electronic prescribing systems</w:t>
      </w:r>
      <w:bookmarkEnd w:id="204"/>
    </w:p>
    <w:p>
      <w:pPr>
        <w:pStyle w:val="yFootnoteheading"/>
        <w:ind w:left="0" w:firstLine="0"/>
      </w:pPr>
      <w:r>
        <w:tab/>
        <w:t>[Heading inserted in Gazette 7 Nov 2008 p. 4818.]</w:t>
      </w:r>
    </w:p>
    <w:p>
      <w:pPr>
        <w:pStyle w:val="ySubsection"/>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of access to the system, or entries made in the system, during a certain period;</w:t>
      </w:r>
    </w:p>
    <w:p>
      <w:pPr>
        <w:pStyle w:val="yIndenti0"/>
        <w:rPr>
          <w:snapToGrid w:val="0"/>
        </w:rPr>
      </w:pPr>
      <w:r>
        <w:rPr>
          <w:snapToGrid w:val="0"/>
        </w:rPr>
        <w:tab/>
        <w:t>(iii)</w:t>
      </w:r>
      <w:r>
        <w:rPr>
          <w:snapToGrid w:val="0"/>
        </w:rPr>
        <w:tab/>
        <w:t>of entries made in the system during a certain period, sorted according to drug type, strength or dose or according to patient;</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outlineLvl w:val="0"/>
      </w:pPr>
      <w:bookmarkStart w:id="205" w:name="_Toc389746834"/>
      <w:r>
        <w:rPr>
          <w:rStyle w:val="CharSchNo"/>
        </w:rPr>
        <w:t>Appendix L</w:t>
      </w:r>
      <w:bookmarkEnd w:id="205"/>
    </w:p>
    <w:p>
      <w:pPr>
        <w:pStyle w:val="yShoulderClause"/>
        <w:spacing w:before="0"/>
        <w:rPr>
          <w:snapToGrid w:val="0"/>
        </w:rPr>
      </w:pPr>
      <w:r>
        <w:rPr>
          <w:snapToGrid w:val="0"/>
        </w:rPr>
        <w:t>(Regulations 37 and 51)</w:t>
      </w:r>
    </w:p>
    <w:p>
      <w:pPr>
        <w:pStyle w:val="yHeading2"/>
        <w:outlineLvl w:val="9"/>
      </w:pPr>
      <w:bookmarkStart w:id="206" w:name="_Toc389746835"/>
      <w:r>
        <w:rPr>
          <w:rStyle w:val="CharSchText"/>
        </w:rPr>
        <w:t>Specified criteria for the generation of prescriptions by computer</w:t>
      </w:r>
      <w:bookmarkEnd w:id="206"/>
    </w:p>
    <w:p>
      <w:pPr>
        <w:pStyle w:val="yFootnoteheading"/>
        <w:ind w:left="0" w:firstLine="0"/>
      </w:pPr>
      <w:r>
        <w:tab/>
        <w:t>[Heading inserted in Gazette 26 Jul 1991 p. 3855.]</w:t>
      </w:r>
    </w:p>
    <w:p>
      <w:pPr>
        <w:pStyle w:val="ySubsection"/>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ageBreakBefore w:val="0"/>
        <w:outlineLvl w:val="0"/>
      </w:pPr>
      <w:bookmarkStart w:id="207" w:name="_Toc389746836"/>
      <w:r>
        <w:rPr>
          <w:rStyle w:val="CharSchNo"/>
        </w:rPr>
        <w:t>Appendix M</w:t>
      </w:r>
      <w:bookmarkEnd w:id="207"/>
    </w:p>
    <w:p>
      <w:pPr>
        <w:pStyle w:val="yShoulderClause"/>
        <w:spacing w:before="60"/>
        <w:rPr>
          <w:snapToGrid w:val="0"/>
        </w:rPr>
      </w:pPr>
      <w:r>
        <w:rPr>
          <w:snapToGrid w:val="0"/>
        </w:rPr>
        <w:t>[Regulations 56(1) and (2)]</w:t>
      </w:r>
    </w:p>
    <w:p>
      <w:pPr>
        <w:pStyle w:val="yHeading2"/>
        <w:spacing w:before="180"/>
        <w:outlineLvl w:val="0"/>
      </w:pPr>
      <w:bookmarkStart w:id="208" w:name="_Toc389746837"/>
      <w:r>
        <w:rPr>
          <w:rStyle w:val="CharSchText"/>
        </w:rPr>
        <w:t>Safes and additional security for storing drugs of addiction</w:t>
      </w:r>
      <w:bookmarkEnd w:id="208"/>
    </w:p>
    <w:p>
      <w:pPr>
        <w:pStyle w:val="yFootnoteheading"/>
        <w:spacing w:before="60"/>
      </w:pPr>
      <w:r>
        <w:tab/>
        <w:t>[Heading inserted in Gazette 25 Jun 1993 p. 3084.]</w:t>
      </w:r>
    </w:p>
    <w:p>
      <w:pPr>
        <w:pStyle w:val="yHeading5"/>
        <w:spacing w:before="180"/>
        <w:outlineLvl w:val="0"/>
        <w:rPr>
          <w:snapToGrid w:val="0"/>
        </w:rPr>
      </w:pPr>
      <w:bookmarkStart w:id="209" w:name="_Toc389746838"/>
      <w:r>
        <w:rPr>
          <w:rStyle w:val="CharSClsNo"/>
        </w:rPr>
        <w:t>1</w:t>
      </w:r>
      <w:r>
        <w:rPr>
          <w:snapToGrid w:val="0"/>
        </w:rPr>
        <w:t>.</w:t>
      </w:r>
      <w:r>
        <w:rPr>
          <w:snapToGrid w:val="0"/>
        </w:rPr>
        <w:tab/>
        <w:t>Safes</w:t>
      </w:r>
      <w:bookmarkEnd w:id="209"/>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kilograms,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w:t>
      </w:r>
    </w:p>
    <w:p>
      <w:pPr>
        <w:pStyle w:val="yIndenti0"/>
        <w:rPr>
          <w:snapToGrid w:val="0"/>
        </w:rPr>
      </w:pPr>
      <w:r>
        <w:rPr>
          <w:snapToGrid w:val="0"/>
        </w:rPr>
        <w:tab/>
        <w:t>(ii)</w:t>
      </w:r>
      <w:r>
        <w:rPr>
          <w:snapToGrid w:val="0"/>
        </w:rPr>
        <w:tab/>
        <w:t>lockable by means of either a key or a combination lock;</w:t>
      </w:r>
    </w:p>
    <w:p>
      <w:pPr>
        <w:pStyle w:val="yIndenti0"/>
        <w:rPr>
          <w:snapToGrid w:val="0"/>
        </w:rPr>
      </w:pPr>
      <w:r>
        <w:rPr>
          <w:snapToGrid w:val="0"/>
        </w:rPr>
        <w:tab/>
        <w:t>(iii)</w:t>
      </w:r>
      <w:r>
        <w:rPr>
          <w:snapToGrid w:val="0"/>
        </w:rPr>
        <w:tab/>
        <w:t>having a steel plate door at least 12 millimetres thick, with at least 2 locking bolts that are at least 25 millimetres thick; and</w:t>
      </w:r>
    </w:p>
    <w:p>
      <w:pPr>
        <w:pStyle w:val="yIndenti0"/>
        <w:rPr>
          <w:snapToGrid w:val="0"/>
        </w:rPr>
      </w:pPr>
      <w:r>
        <w:rPr>
          <w:snapToGrid w:val="0"/>
        </w:rPr>
        <w:tab/>
        <w:t>(iv)</w:t>
      </w:r>
      <w:r>
        <w:rPr>
          <w:snapToGrid w:val="0"/>
        </w:rPr>
        <w:tab/>
        <w:t xml:space="preserve">having the manufacturer’s recommendation that items with a total value of at least $30,000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w:t>
      </w:r>
    </w:p>
    <w:p>
      <w:pPr>
        <w:pStyle w:val="yIndenti0"/>
        <w:rPr>
          <w:snapToGrid w:val="0"/>
        </w:rPr>
      </w:pPr>
      <w:r>
        <w:rPr>
          <w:snapToGrid w:val="0"/>
        </w:rPr>
        <w:tab/>
        <w:t>(ii)</w:t>
      </w:r>
      <w:r>
        <w:rPr>
          <w:snapToGrid w:val="0"/>
        </w:rPr>
        <w:tab/>
        <w:t>lockable by means of a combination lock;</w:t>
      </w:r>
    </w:p>
    <w:p>
      <w:pPr>
        <w:pStyle w:val="yIndenti0"/>
        <w:rPr>
          <w:snapToGrid w:val="0"/>
        </w:rPr>
      </w:pPr>
      <w:r>
        <w:rPr>
          <w:snapToGrid w:val="0"/>
        </w:rPr>
        <w:tab/>
        <w:t>(iii)</w:t>
      </w:r>
      <w:r>
        <w:rPr>
          <w:snapToGrid w:val="0"/>
        </w:rPr>
        <w:tab/>
        <w:t>having a heavy cast, high tensile steel lid that is secured at least 25 millimetres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outlineLvl w:val="0"/>
        <w:rPr>
          <w:snapToGrid w:val="0"/>
        </w:rPr>
      </w:pPr>
      <w:bookmarkStart w:id="210" w:name="_Toc389746839"/>
      <w:r>
        <w:rPr>
          <w:rStyle w:val="CharSClsNo"/>
        </w:rPr>
        <w:t>2</w:t>
      </w:r>
      <w:r>
        <w:rPr>
          <w:snapToGrid w:val="0"/>
        </w:rPr>
        <w:t>.</w:t>
      </w:r>
      <w:r>
        <w:rPr>
          <w:snapToGrid w:val="0"/>
        </w:rPr>
        <w:tab/>
        <w:t>Additional security requirements</w:t>
      </w:r>
      <w:bookmarkEnd w:id="210"/>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outlineLvl w:val="0"/>
      </w:pPr>
      <w:bookmarkStart w:id="211" w:name="_Toc389746840"/>
      <w:r>
        <w:t>Notes</w:t>
      </w:r>
      <w:bookmarkEnd w:id="211"/>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8</w:t>
      </w:r>
      <w:r>
        <w:rPr>
          <w:snapToGrid w:val="0"/>
        </w:rPr>
        <w:t>.  The table also contains information about any reprint.</w:t>
      </w:r>
    </w:p>
    <w:p>
      <w:pPr>
        <w:pStyle w:val="nHeading3"/>
        <w:rPr>
          <w:snapToGrid w:val="0"/>
        </w:rPr>
      </w:pPr>
      <w:bookmarkStart w:id="212" w:name="_Toc389746841"/>
      <w:r>
        <w:rPr>
          <w:snapToGrid w:val="0"/>
        </w:rPr>
        <w:t>Compilation table</w:t>
      </w:r>
      <w:bookmarkEnd w:id="21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sz w:val="19"/>
                <w:vertAlign w:val="superscript"/>
              </w:rPr>
              <w:t>9</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rPr>
            </w:pPr>
            <w:r>
              <w:rPr>
                <w:sz w:val="19"/>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6090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1995</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19 Jan 1996 p. 267</w:t>
            </w:r>
          </w:p>
        </w:tc>
        <w:tc>
          <w:tcPr>
            <w:tcW w:w="2693" w:type="dxa"/>
          </w:tcPr>
          <w:p>
            <w:pPr>
              <w:pStyle w:val="nTable"/>
              <w:spacing w:after="40"/>
              <w:rPr>
                <w:sz w:val="19"/>
              </w:rPr>
            </w:pPr>
            <w:r>
              <w:rPr>
                <w:sz w:val="19"/>
              </w:rPr>
              <w:t>19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10</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11</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2006</w:t>
            </w:r>
          </w:p>
        </w:tc>
        <w:tc>
          <w:tcPr>
            <w:tcW w:w="1276" w:type="dxa"/>
          </w:tcPr>
          <w:p>
            <w:pPr>
              <w:pStyle w:val="nTable"/>
              <w:spacing w:after="40"/>
              <w:rPr>
                <w:sz w:val="19"/>
              </w:rPr>
            </w:pPr>
            <w:r>
              <w:rPr>
                <w:sz w:val="19"/>
              </w:rPr>
              <w:t>15 Dec 2006 p. 5629-31</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Poisons Amendment Regulations (No. 2) 2007</w:t>
            </w:r>
          </w:p>
        </w:tc>
        <w:tc>
          <w:tcPr>
            <w:tcW w:w="1276" w:type="dxa"/>
          </w:tcPr>
          <w:p>
            <w:pPr>
              <w:pStyle w:val="nTable"/>
              <w:spacing w:after="40"/>
              <w:rPr>
                <w:sz w:val="19"/>
              </w:rPr>
            </w:pPr>
            <w:r>
              <w:rPr>
                <w:sz w:val="19"/>
              </w:rPr>
              <w:t>24 Jul 2007 p. 3663</w:t>
            </w:r>
            <w:r>
              <w:rPr>
                <w:sz w:val="19"/>
              </w:rPr>
              <w:noBreakHyphen/>
              <w:t>5</w:t>
            </w:r>
          </w:p>
        </w:tc>
        <w:tc>
          <w:tcPr>
            <w:tcW w:w="2693" w:type="dxa"/>
          </w:tcPr>
          <w:p>
            <w:pPr>
              <w:pStyle w:val="nTable"/>
              <w:spacing w:after="40"/>
              <w:rPr>
                <w:sz w:val="19"/>
              </w:rPr>
            </w:pPr>
            <w:r>
              <w:rPr>
                <w:snapToGrid w:val="0"/>
                <w:sz w:val="19"/>
              </w:rPr>
              <w:t>r. 1 and 2: 24 Jul 2007 (see r. 2(a));</w:t>
            </w:r>
            <w:r>
              <w:rPr>
                <w:snapToGrid w:val="0"/>
                <w:sz w:val="19"/>
              </w:rPr>
              <w:br/>
              <w:t>Regulations other than r. 1 and 2: 25 Jul 2007 (see r. 2(b))</w:t>
            </w:r>
          </w:p>
        </w:tc>
      </w:tr>
      <w:tr>
        <w:trPr>
          <w:cantSplit/>
        </w:trPr>
        <w:tc>
          <w:tcPr>
            <w:tcW w:w="3118" w:type="dxa"/>
          </w:tcPr>
          <w:p>
            <w:pPr>
              <w:pStyle w:val="nTable"/>
              <w:spacing w:after="40"/>
              <w:ind w:right="113"/>
              <w:rPr>
                <w:i/>
                <w:sz w:val="19"/>
              </w:rPr>
            </w:pPr>
            <w:r>
              <w:rPr>
                <w:i/>
                <w:sz w:val="19"/>
              </w:rPr>
              <w:t>Poisons Amendment Regulations (No. 4) 2007</w:t>
            </w:r>
          </w:p>
        </w:tc>
        <w:tc>
          <w:tcPr>
            <w:tcW w:w="1276" w:type="dxa"/>
          </w:tcPr>
          <w:p>
            <w:pPr>
              <w:pStyle w:val="nTable"/>
              <w:spacing w:after="40"/>
              <w:rPr>
                <w:sz w:val="19"/>
              </w:rPr>
            </w:pPr>
            <w:r>
              <w:rPr>
                <w:sz w:val="19"/>
              </w:rPr>
              <w:t>2 Oct 2007 p. 4964-8</w:t>
            </w:r>
          </w:p>
        </w:tc>
        <w:tc>
          <w:tcPr>
            <w:tcW w:w="2693" w:type="dxa"/>
          </w:tcPr>
          <w:p>
            <w:pPr>
              <w:pStyle w:val="nTable"/>
              <w:spacing w:after="40"/>
              <w:rPr>
                <w:snapToGrid w:val="0"/>
                <w:sz w:val="19"/>
              </w:rPr>
            </w:pPr>
            <w:r>
              <w:rPr>
                <w:spacing w:val="-2"/>
                <w:sz w:val="19"/>
              </w:rPr>
              <w:t>r. 1 and 2: 2 Oct 2007 (see r. 2(a));</w:t>
            </w:r>
            <w:r>
              <w:rPr>
                <w:spacing w:val="-2"/>
                <w:sz w:val="19"/>
              </w:rPr>
              <w:br/>
              <w:t>Regulations other than r. 1 and 2: 3 Oct 2007 (see r. 2(b))</w:t>
            </w:r>
          </w:p>
        </w:tc>
      </w:tr>
      <w:tr>
        <w:trPr>
          <w:cantSplit/>
        </w:trPr>
        <w:tc>
          <w:tcPr>
            <w:tcW w:w="3118" w:type="dxa"/>
          </w:tcPr>
          <w:p>
            <w:pPr>
              <w:pStyle w:val="nTable"/>
              <w:spacing w:after="40"/>
              <w:ind w:right="113"/>
              <w:rPr>
                <w:i/>
                <w:sz w:val="19"/>
              </w:rPr>
            </w:pPr>
            <w:r>
              <w:rPr>
                <w:i/>
                <w:sz w:val="19"/>
              </w:rPr>
              <w:t>Poisons Amendment Regulations (No. 2) 2008</w:t>
            </w:r>
          </w:p>
        </w:tc>
        <w:tc>
          <w:tcPr>
            <w:tcW w:w="1276" w:type="dxa"/>
          </w:tcPr>
          <w:p>
            <w:pPr>
              <w:pStyle w:val="nTable"/>
              <w:spacing w:after="40"/>
              <w:rPr>
                <w:sz w:val="19"/>
              </w:rPr>
            </w:pPr>
            <w:r>
              <w:rPr>
                <w:sz w:val="19"/>
              </w:rPr>
              <w:t>7 Nov 2008 p. 4805</w:t>
            </w:r>
            <w:r>
              <w:rPr>
                <w:sz w:val="19"/>
              </w:rPr>
              <w:noBreakHyphen/>
              <w:t>19</w:t>
            </w:r>
          </w:p>
        </w:tc>
        <w:tc>
          <w:tcPr>
            <w:tcW w:w="2693" w:type="dxa"/>
          </w:tcPr>
          <w:p>
            <w:pPr>
              <w:pStyle w:val="nTable"/>
              <w:spacing w:after="40"/>
              <w:rPr>
                <w:spacing w:val="-2"/>
                <w:sz w:val="19"/>
              </w:rPr>
            </w:pPr>
            <w:r>
              <w:rPr>
                <w:spacing w:val="-2"/>
                <w:sz w:val="19"/>
              </w:rPr>
              <w:t>r. 1 and 2: 7 Nov 2008 (see r. 2(a));</w:t>
            </w:r>
            <w:r>
              <w:rPr>
                <w:spacing w:val="-2"/>
                <w:sz w:val="19"/>
              </w:rPr>
              <w:br/>
              <w:t>Regulations other than r. 1 and 2: 8 Nov 2008 (see r. 2(b))</w:t>
            </w:r>
          </w:p>
        </w:tc>
      </w:tr>
      <w:tr>
        <w:trPr>
          <w:cantSplit/>
        </w:trPr>
        <w:tc>
          <w:tcPr>
            <w:tcW w:w="3118" w:type="dxa"/>
          </w:tcPr>
          <w:p>
            <w:pPr>
              <w:pStyle w:val="nTable"/>
              <w:spacing w:after="40"/>
              <w:ind w:right="113"/>
              <w:rPr>
                <w:i/>
                <w:sz w:val="19"/>
              </w:rPr>
            </w:pPr>
            <w:r>
              <w:rPr>
                <w:i/>
                <w:sz w:val="19"/>
              </w:rPr>
              <w:t>Poisons Amendment Regulations (No. 2) 2009</w:t>
            </w:r>
          </w:p>
        </w:tc>
        <w:tc>
          <w:tcPr>
            <w:tcW w:w="1276" w:type="dxa"/>
          </w:tcPr>
          <w:p>
            <w:pPr>
              <w:pStyle w:val="nTable"/>
              <w:spacing w:after="40"/>
              <w:rPr>
                <w:sz w:val="19"/>
              </w:rPr>
            </w:pPr>
            <w:r>
              <w:rPr>
                <w:sz w:val="19"/>
              </w:rPr>
              <w:t>21 Apr 2009 p. 1359</w:t>
            </w:r>
            <w:r>
              <w:rPr>
                <w:sz w:val="19"/>
              </w:rPr>
              <w:noBreakHyphen/>
              <w:t>67</w:t>
            </w:r>
          </w:p>
        </w:tc>
        <w:tc>
          <w:tcPr>
            <w:tcW w:w="2693" w:type="dxa"/>
          </w:tcPr>
          <w:p>
            <w:pPr>
              <w:pStyle w:val="nTable"/>
              <w:spacing w:after="40"/>
              <w:rPr>
                <w:spacing w:val="-2"/>
                <w:sz w:val="19"/>
              </w:rPr>
            </w:pPr>
            <w:r>
              <w:rPr>
                <w:snapToGrid w:val="0"/>
                <w:spacing w:val="-2"/>
                <w:sz w:val="19"/>
              </w:rPr>
              <w:t>r. 1 and 2: 21 Apr 2009 (see r. 2(a));</w:t>
            </w:r>
            <w:r>
              <w:rPr>
                <w:snapToGrid w:val="0"/>
                <w:spacing w:val="-2"/>
                <w:sz w:val="19"/>
              </w:rPr>
              <w:br/>
              <w:t>Regulations other than r. 1 and 2: 22 Apr 2009 (see r. 2(b))</w:t>
            </w:r>
          </w:p>
        </w:tc>
      </w:tr>
      <w:tr>
        <w:trPr>
          <w:cantSplit/>
        </w:trPr>
        <w:tc>
          <w:tcPr>
            <w:tcW w:w="3118" w:type="dxa"/>
          </w:tcPr>
          <w:p>
            <w:pPr>
              <w:pStyle w:val="nTable"/>
              <w:spacing w:after="40"/>
              <w:ind w:right="113"/>
              <w:rPr>
                <w:i/>
                <w:sz w:val="19"/>
              </w:rPr>
            </w:pPr>
            <w:r>
              <w:rPr>
                <w:i/>
                <w:sz w:val="19"/>
              </w:rPr>
              <w:t>Poisons Amendment Regulations (No. 4) 2009</w:t>
            </w:r>
          </w:p>
        </w:tc>
        <w:tc>
          <w:tcPr>
            <w:tcW w:w="1276" w:type="dxa"/>
          </w:tcPr>
          <w:p>
            <w:pPr>
              <w:pStyle w:val="nTable"/>
              <w:spacing w:after="40"/>
              <w:rPr>
                <w:sz w:val="19"/>
              </w:rPr>
            </w:pPr>
            <w:r>
              <w:rPr>
                <w:sz w:val="19"/>
              </w:rPr>
              <w:t>12 Jun 2009 p. 2109</w:t>
            </w:r>
            <w:r>
              <w:rPr>
                <w:sz w:val="19"/>
              </w:rPr>
              <w:noBreakHyphen/>
              <w:t>14</w:t>
            </w:r>
          </w:p>
        </w:tc>
        <w:tc>
          <w:tcPr>
            <w:tcW w:w="2693" w:type="dxa"/>
          </w:tcPr>
          <w:p>
            <w:pPr>
              <w:pStyle w:val="nTable"/>
              <w:spacing w:after="40"/>
              <w:rPr>
                <w:snapToGrid w:val="0"/>
                <w:spacing w:val="-2"/>
                <w:sz w:val="19"/>
              </w:rPr>
            </w:pPr>
            <w:r>
              <w:rPr>
                <w:snapToGrid w:val="0"/>
                <w:spacing w:val="-2"/>
                <w:sz w:val="19"/>
              </w:rPr>
              <w:t>r. 1 and 2: 12 Jun 2009 (see r. 2(a));</w:t>
            </w:r>
            <w:r>
              <w:rPr>
                <w:snapToGrid w:val="0"/>
                <w:spacing w:val="-2"/>
                <w:sz w:val="19"/>
              </w:rPr>
              <w:br/>
              <w:t>Regulations other than r. 1 and 2: 13 Jun 2009 (see r. 2(b))</w:t>
            </w:r>
          </w:p>
        </w:tc>
      </w:tr>
      <w:tr>
        <w:trPr>
          <w:cantSplit/>
        </w:trPr>
        <w:tc>
          <w:tcPr>
            <w:tcW w:w="3118" w:type="dxa"/>
          </w:tcPr>
          <w:p>
            <w:pPr>
              <w:pStyle w:val="nTable"/>
              <w:spacing w:after="40"/>
              <w:ind w:right="113"/>
              <w:rPr>
                <w:i/>
                <w:sz w:val="19"/>
              </w:rPr>
            </w:pPr>
            <w:r>
              <w:rPr>
                <w:i/>
                <w:sz w:val="19"/>
              </w:rPr>
              <w:t>Poisons Amendment Regulations (No. 5) 2009</w:t>
            </w:r>
          </w:p>
        </w:tc>
        <w:tc>
          <w:tcPr>
            <w:tcW w:w="1276" w:type="dxa"/>
          </w:tcPr>
          <w:p>
            <w:pPr>
              <w:pStyle w:val="nTable"/>
              <w:spacing w:after="40"/>
              <w:rPr>
                <w:sz w:val="19"/>
              </w:rPr>
            </w:pPr>
            <w:r>
              <w:rPr>
                <w:sz w:val="19"/>
              </w:rPr>
              <w:t>28 Jul 2009 p. 2979-80</w:t>
            </w:r>
          </w:p>
        </w:tc>
        <w:tc>
          <w:tcPr>
            <w:tcW w:w="2693" w:type="dxa"/>
          </w:tcPr>
          <w:p>
            <w:pPr>
              <w:pStyle w:val="nTable"/>
              <w:spacing w:after="40"/>
              <w:rPr>
                <w:snapToGrid w:val="0"/>
                <w:spacing w:val="-2"/>
                <w:sz w:val="19"/>
              </w:rPr>
            </w:pPr>
            <w:r>
              <w:rPr>
                <w:snapToGrid w:val="0"/>
                <w:spacing w:val="-2"/>
                <w:sz w:val="19"/>
              </w:rPr>
              <w:t>r. 1 and 2: 28 Jul 2009 (see r. 2(a));</w:t>
            </w:r>
            <w:r>
              <w:rPr>
                <w:snapToGrid w:val="0"/>
                <w:spacing w:val="-2"/>
                <w:sz w:val="19"/>
              </w:rPr>
              <w:br/>
              <w:t>Regulations other than r. 1 and 2: 29 Jul 2009 (see r. 2(b))</w:t>
            </w:r>
          </w:p>
        </w:tc>
      </w:tr>
      <w:tr>
        <w:trPr>
          <w:cantSplit/>
        </w:trPr>
        <w:tc>
          <w:tcPr>
            <w:tcW w:w="3118" w:type="dxa"/>
          </w:tcPr>
          <w:p>
            <w:pPr>
              <w:pStyle w:val="nTable"/>
              <w:spacing w:after="40"/>
              <w:ind w:right="113"/>
              <w:rPr>
                <w:i/>
                <w:sz w:val="19"/>
              </w:rPr>
            </w:pPr>
            <w:r>
              <w:rPr>
                <w:i/>
                <w:sz w:val="19"/>
              </w:rPr>
              <w:t>Poisons Amendment Regulations 2009</w:t>
            </w:r>
          </w:p>
        </w:tc>
        <w:tc>
          <w:tcPr>
            <w:tcW w:w="1276" w:type="dxa"/>
          </w:tcPr>
          <w:p>
            <w:pPr>
              <w:pStyle w:val="nTable"/>
              <w:spacing w:after="40"/>
              <w:rPr>
                <w:sz w:val="19"/>
              </w:rPr>
            </w:pPr>
            <w:r>
              <w:rPr>
                <w:sz w:val="19"/>
              </w:rPr>
              <w:t>15 Sep 2009 p. 3571</w:t>
            </w:r>
            <w:r>
              <w:rPr>
                <w:sz w:val="19"/>
              </w:rPr>
              <w:noBreakHyphen/>
              <w:t>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3) 2009</w:t>
            </w:r>
          </w:p>
        </w:tc>
        <w:tc>
          <w:tcPr>
            <w:tcW w:w="1276" w:type="dxa"/>
          </w:tcPr>
          <w:p>
            <w:pPr>
              <w:pStyle w:val="nTable"/>
              <w:spacing w:after="40"/>
              <w:rPr>
                <w:sz w:val="19"/>
              </w:rPr>
            </w:pPr>
            <w:r>
              <w:rPr>
                <w:sz w:val="19"/>
              </w:rPr>
              <w:t>15 Sep 2009 p. 3573</w:t>
            </w:r>
            <w:r>
              <w:rPr>
                <w:sz w:val="19"/>
              </w:rPr>
              <w:noBreakHyphen/>
              <w:t>82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6) 2009</w:t>
            </w:r>
          </w:p>
        </w:tc>
        <w:tc>
          <w:tcPr>
            <w:tcW w:w="1276" w:type="dxa"/>
          </w:tcPr>
          <w:p>
            <w:pPr>
              <w:pStyle w:val="nTable"/>
              <w:spacing w:after="40"/>
              <w:rPr>
                <w:sz w:val="19"/>
              </w:rPr>
            </w:pPr>
            <w:r>
              <w:rPr>
                <w:sz w:val="19"/>
              </w:rPr>
              <w:t>25 Sep 2009 p. 3746-7</w:t>
            </w:r>
          </w:p>
        </w:tc>
        <w:tc>
          <w:tcPr>
            <w:tcW w:w="2693" w:type="dxa"/>
          </w:tcPr>
          <w:p>
            <w:pPr>
              <w:pStyle w:val="nTable"/>
              <w:spacing w:after="40"/>
              <w:rPr>
                <w:snapToGrid w:val="0"/>
                <w:spacing w:val="-2"/>
                <w:sz w:val="19"/>
              </w:rPr>
            </w:pPr>
            <w:r>
              <w:rPr>
                <w:snapToGrid w:val="0"/>
                <w:spacing w:val="-2"/>
                <w:sz w:val="19"/>
              </w:rPr>
              <w:t>r. 1 and 2: 25 Sep 2009 (see r. 2(a));</w:t>
            </w:r>
            <w:r>
              <w:rPr>
                <w:snapToGrid w:val="0"/>
                <w:spacing w:val="-2"/>
                <w:sz w:val="19"/>
              </w:rPr>
              <w:br/>
              <w:t>Regulations other than r. 1 and 2: 26 Sep 2009 (see r. 2(b))</w:t>
            </w:r>
          </w:p>
        </w:tc>
      </w:tr>
      <w:tr>
        <w:trPr>
          <w:cantSplit/>
        </w:trPr>
        <w:tc>
          <w:tcPr>
            <w:tcW w:w="7087" w:type="dxa"/>
            <w:gridSpan w:val="3"/>
          </w:tcPr>
          <w:p>
            <w:pPr>
              <w:pStyle w:val="nTable"/>
              <w:spacing w:after="40"/>
              <w:rPr>
                <w:snapToGrid w:val="0"/>
                <w:spacing w:val="-2"/>
                <w:sz w:val="19"/>
              </w:rPr>
            </w:pPr>
            <w:r>
              <w:rPr>
                <w:b/>
                <w:sz w:val="19"/>
              </w:rPr>
              <w:t xml:space="preserve">Reprint 9: The </w:t>
            </w:r>
            <w:r>
              <w:rPr>
                <w:b/>
                <w:i/>
                <w:sz w:val="19"/>
              </w:rPr>
              <w:t>Poisons Regulations 1965</w:t>
            </w:r>
            <w:r>
              <w:rPr>
                <w:b/>
                <w:sz w:val="19"/>
              </w:rPr>
              <w:t xml:space="preserve"> as at 13 Nov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2010</w:t>
            </w:r>
          </w:p>
        </w:tc>
        <w:tc>
          <w:tcPr>
            <w:tcW w:w="1276" w:type="dxa"/>
          </w:tcPr>
          <w:p>
            <w:pPr>
              <w:pStyle w:val="nTable"/>
              <w:spacing w:after="40"/>
              <w:rPr>
                <w:sz w:val="19"/>
              </w:rPr>
            </w:pPr>
            <w:r>
              <w:rPr>
                <w:sz w:val="19"/>
              </w:rPr>
              <w:t>5 Mar 2010 p. 845</w:t>
            </w:r>
            <w:r>
              <w:rPr>
                <w:sz w:val="19"/>
              </w:rPr>
              <w:noBreakHyphen/>
              <w:t>7</w:t>
            </w:r>
          </w:p>
        </w:tc>
        <w:tc>
          <w:tcPr>
            <w:tcW w:w="2693" w:type="dxa"/>
          </w:tcPr>
          <w:p>
            <w:pPr>
              <w:pStyle w:val="nTable"/>
              <w:spacing w:after="40"/>
              <w:rPr>
                <w:snapToGrid w:val="0"/>
                <w:spacing w:val="-2"/>
                <w:sz w:val="19"/>
              </w:rPr>
            </w:pPr>
            <w:r>
              <w:rPr>
                <w:snapToGrid w:val="0"/>
                <w:spacing w:val="-2"/>
                <w:sz w:val="19"/>
              </w:rPr>
              <w:t>r. 1 and 2: 5 Mar 2010 (see r. 2(a));</w:t>
            </w:r>
            <w:r>
              <w:rPr>
                <w:snapToGrid w:val="0"/>
                <w:spacing w:val="-2"/>
                <w:sz w:val="19"/>
              </w:rPr>
              <w:br/>
              <w:t>Regulations other than r. 1 and 2: 6 Mar 2010 (see r. 2(b))</w:t>
            </w:r>
          </w:p>
        </w:tc>
      </w:tr>
      <w:tr>
        <w:trPr>
          <w:cantSplit/>
        </w:trPr>
        <w:tc>
          <w:tcPr>
            <w:tcW w:w="3118" w:type="dxa"/>
          </w:tcPr>
          <w:p>
            <w:pPr>
              <w:pStyle w:val="nTable"/>
              <w:spacing w:after="40"/>
              <w:ind w:right="113"/>
              <w:rPr>
                <w:i/>
                <w:sz w:val="19"/>
              </w:rPr>
            </w:pPr>
            <w:r>
              <w:rPr>
                <w:i/>
                <w:sz w:val="19"/>
              </w:rPr>
              <w:t>Poisons Amendment Regulations (No. 3) 2010</w:t>
            </w:r>
          </w:p>
        </w:tc>
        <w:tc>
          <w:tcPr>
            <w:tcW w:w="1276" w:type="dxa"/>
          </w:tcPr>
          <w:p>
            <w:pPr>
              <w:pStyle w:val="nTable"/>
              <w:spacing w:after="40"/>
              <w:rPr>
                <w:sz w:val="19"/>
              </w:rPr>
            </w:pPr>
            <w:r>
              <w:rPr>
                <w:sz w:val="19"/>
              </w:rPr>
              <w:t>26 Mar 2010 p. 1145-8</w:t>
            </w:r>
          </w:p>
        </w:tc>
        <w:tc>
          <w:tcPr>
            <w:tcW w:w="2693" w:type="dxa"/>
          </w:tcPr>
          <w:p>
            <w:pPr>
              <w:pStyle w:val="nTable"/>
              <w:spacing w:after="40"/>
              <w:rPr>
                <w:snapToGrid w:val="0"/>
                <w:spacing w:val="-2"/>
                <w:sz w:val="19"/>
              </w:rPr>
            </w:pPr>
            <w:r>
              <w:rPr>
                <w:snapToGrid w:val="0"/>
                <w:spacing w:val="-2"/>
                <w:sz w:val="19"/>
              </w:rPr>
              <w:t>r. 1 and 2: 26 Mar 2010 (see r. 2(a));</w:t>
            </w:r>
            <w:r>
              <w:rPr>
                <w:snapToGrid w:val="0"/>
                <w:spacing w:val="-2"/>
                <w:sz w:val="19"/>
              </w:rPr>
              <w:br/>
              <w:t>Regulations other than r. 1 and 2: 27 Mar 2010 (see r. 2(b))</w:t>
            </w:r>
          </w:p>
        </w:tc>
      </w:tr>
      <w:tr>
        <w:trPr>
          <w:cantSplit/>
        </w:trPr>
        <w:tc>
          <w:tcPr>
            <w:tcW w:w="3118" w:type="dxa"/>
            <w:tcBorders>
              <w:bottom w:val="single" w:sz="4" w:space="0" w:color="auto"/>
            </w:tcBorders>
          </w:tcPr>
          <w:p>
            <w:pPr>
              <w:pStyle w:val="nTable"/>
              <w:spacing w:after="40"/>
              <w:ind w:right="113"/>
              <w:rPr>
                <w:i/>
                <w:sz w:val="19"/>
              </w:rPr>
            </w:pPr>
            <w:r>
              <w:rPr>
                <w:i/>
                <w:sz w:val="19"/>
              </w:rPr>
              <w:t>Poisons Amendment Regulations 2010</w:t>
            </w:r>
          </w:p>
        </w:tc>
        <w:tc>
          <w:tcPr>
            <w:tcW w:w="1276" w:type="dxa"/>
            <w:tcBorders>
              <w:bottom w:val="single" w:sz="4" w:space="0" w:color="auto"/>
            </w:tcBorders>
          </w:tcPr>
          <w:p>
            <w:pPr>
              <w:pStyle w:val="nTable"/>
              <w:spacing w:after="40"/>
              <w:rPr>
                <w:sz w:val="19"/>
              </w:rPr>
            </w:pPr>
            <w:r>
              <w:rPr>
                <w:sz w:val="19"/>
              </w:rPr>
              <w:t>27 Apr 2010 p. 1583-4</w:t>
            </w:r>
          </w:p>
        </w:tc>
        <w:tc>
          <w:tcPr>
            <w:tcW w:w="2693" w:type="dxa"/>
            <w:tcBorders>
              <w:bottom w:val="single" w:sz="4" w:space="0" w:color="auto"/>
            </w:tcBorders>
          </w:tcPr>
          <w:p>
            <w:pPr>
              <w:pStyle w:val="nTable"/>
              <w:spacing w:after="40"/>
              <w:rPr>
                <w:snapToGrid w:val="0"/>
                <w:spacing w:val="-2"/>
                <w:sz w:val="19"/>
              </w:rPr>
            </w:pPr>
            <w:r>
              <w:rPr>
                <w:snapToGrid w:val="0"/>
                <w:spacing w:val="-2"/>
                <w:sz w:val="19"/>
              </w:rPr>
              <w:t>r. 1 and 2: 27 Apr 2010 (see r. 2(a));</w:t>
            </w:r>
            <w:r>
              <w:rPr>
                <w:snapToGrid w:val="0"/>
                <w:spacing w:val="-2"/>
                <w:sz w:val="19"/>
              </w:rPr>
              <w:br/>
              <w:t>Regulations other than r. 1 and 2: 28 Apr 2010 (see r. 2(b))</w:t>
            </w:r>
          </w:p>
        </w:tc>
      </w:tr>
    </w:tbl>
    <w:p>
      <w:pPr>
        <w:pStyle w:val="nSubsection"/>
        <w:spacing w:before="100"/>
        <w:rPr>
          <w:snapToGrid w:val="0"/>
        </w:rPr>
      </w:pPr>
      <w:r>
        <w:rPr>
          <w:snapToGrid w:val="0"/>
          <w:vertAlign w:val="superscript"/>
        </w:rPr>
        <w:t>2</w:t>
      </w:r>
      <w:r>
        <w:rPr>
          <w:snapToGrid w:val="0"/>
        </w:rPr>
        <w:tab/>
        <w:t xml:space="preserve">Repealed by the </w:t>
      </w:r>
      <w:r>
        <w:rPr>
          <w:i/>
          <w:iCs/>
          <w:snapToGrid w:val="0"/>
        </w:rPr>
        <w:t>Medical Practitioners Act 2008.</w:t>
      </w:r>
    </w:p>
    <w:p>
      <w:pPr>
        <w:pStyle w:val="nSubsection"/>
        <w:spacing w:before="100"/>
        <w:rPr>
          <w:snapToGrid w:val="0"/>
        </w:rPr>
      </w:pPr>
      <w:r>
        <w:rPr>
          <w:snapToGrid w:val="0"/>
          <w:vertAlign w:val="superscript"/>
        </w:rPr>
        <w:t>3</w:t>
      </w:r>
      <w:r>
        <w:rPr>
          <w:snapToGrid w:val="0"/>
        </w:rPr>
        <w:tab/>
        <w:t xml:space="preserve">Repealed by the </w:t>
      </w:r>
      <w:r>
        <w:rPr>
          <w:i/>
          <w:snapToGrid w:val="0"/>
        </w:rPr>
        <w:t>Mental Health Act 1981</w:t>
      </w:r>
      <w:r>
        <w:rPr>
          <w:snapToGrid w:val="0"/>
        </w:rPr>
        <w:t xml:space="preserve"> which was repealed by the </w:t>
      </w:r>
      <w:r>
        <w:rPr>
          <w:i/>
          <w:snapToGrid w:val="0"/>
        </w:rPr>
        <w:t>Mental Health Act 1996</w:t>
      </w:r>
      <w:r>
        <w:rPr>
          <w:snapToGrid w:val="0"/>
        </w:rPr>
        <w:t>.</w:t>
      </w:r>
    </w:p>
    <w:p>
      <w:pPr>
        <w:pStyle w:val="nSubsection"/>
        <w:spacing w:before="100"/>
        <w:rPr>
          <w:snapToGrid w:val="0"/>
        </w:rPr>
      </w:pPr>
      <w:r>
        <w:rPr>
          <w:snapToGrid w:val="0"/>
          <w:vertAlign w:val="superscript"/>
        </w:rPr>
        <w:t>4</w:t>
      </w:r>
      <w:r>
        <w:rPr>
          <w:snapToGrid w:val="0"/>
        </w:rPr>
        <w:tab/>
        <w:t xml:space="preserve">Repealed by the </w:t>
      </w:r>
      <w:r>
        <w:rPr>
          <w:i/>
          <w:color w:val="000000"/>
        </w:rPr>
        <w:t>Nurses and Midwives Act 2006</w:t>
      </w:r>
      <w:r>
        <w:rPr>
          <w:snapToGrid w:val="0"/>
        </w:rPr>
        <w:t>.</w:t>
      </w:r>
    </w:p>
    <w:p>
      <w:pPr>
        <w:pStyle w:val="nSubsection"/>
        <w:spacing w:before="100"/>
        <w:rPr>
          <w:rFonts w:ascii="Arial" w:hAnsi="Arial"/>
        </w:rPr>
      </w:pPr>
      <w:r>
        <w:rPr>
          <w:snapToGrid w:val="0"/>
          <w:vertAlign w:val="superscript"/>
        </w:rPr>
        <w:t>5</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spacing w:before="100"/>
        <w:rPr>
          <w:snapToGrid w:val="0"/>
          <w:spacing w:val="-4"/>
        </w:rPr>
      </w:pPr>
      <w:r>
        <w:rPr>
          <w:snapToGrid w:val="0"/>
          <w:vertAlign w:val="superscript"/>
        </w:rPr>
        <w:t>6</w:t>
      </w:r>
      <w:r>
        <w:rPr>
          <w:snapToGrid w:val="0"/>
        </w:rPr>
        <w:tab/>
      </w:r>
      <w:r>
        <w:rPr>
          <w:snapToGrid w:val="0"/>
          <w:spacing w:val="-4"/>
        </w:rPr>
        <w:t xml:space="preserve">Repealed by the </w:t>
      </w:r>
      <w:r>
        <w:rPr>
          <w:i/>
          <w:snapToGrid w:val="0"/>
          <w:spacing w:val="-4"/>
        </w:rPr>
        <w:t>Security and Related Activities (Control) Act 1996</w:t>
      </w:r>
      <w:r>
        <w:rPr>
          <w:snapToGrid w:val="0"/>
          <w:spacing w:val="-4"/>
        </w:rPr>
        <w:t>.</w:t>
      </w:r>
    </w:p>
    <w:p>
      <w:pPr>
        <w:pStyle w:val="nSubsection"/>
        <w:spacing w:before="100"/>
        <w:rPr>
          <w:rFonts w:ascii="Times" w:hAnsi="Times"/>
          <w:snapToGrid w:val="0"/>
        </w:rPr>
      </w:pPr>
      <w:r>
        <w:rPr>
          <w:snapToGrid w:val="0"/>
          <w:spacing w:val="-4"/>
          <w:vertAlign w:val="superscript"/>
        </w:rPr>
        <w:t>7</w:t>
      </w:r>
      <w:r>
        <w:rPr>
          <w:snapToGrid w:val="0"/>
          <w:spacing w:val="-4"/>
        </w:rPr>
        <w:tab/>
        <w:t>The Standards Association of Australia has changed its corporate status and its name.  It is now Standards Australia International Limited (ACN 087 326 690).  It also trades as Standards</w:t>
      </w:r>
      <w:r>
        <w:t xml:space="preserve"> Australia.</w:t>
      </w:r>
    </w:p>
    <w:p>
      <w:pPr>
        <w:pStyle w:val="nSubsection"/>
        <w:spacing w:before="100"/>
        <w:rPr>
          <w:snapToGrid w:val="0"/>
        </w:rPr>
      </w:pPr>
      <w:r>
        <w:rPr>
          <w:snapToGrid w:val="0"/>
          <w:vertAlign w:val="superscript"/>
        </w:rPr>
        <w:t>8</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spacing w:before="100"/>
      </w:pPr>
      <w:r>
        <w:rPr>
          <w:vertAlign w:val="superscript"/>
        </w:rPr>
        <w:t>9</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Poisons Amendment Regulations (No. 3) 2001</w:t>
      </w:r>
      <w:r>
        <w:rPr>
          <w:snapToGrid w:val="0"/>
        </w:rPr>
        <w:t xml:space="preserve"> r. 4(2) reads as follows:</w:t>
      </w:r>
    </w:p>
    <w:p>
      <w:pPr>
        <w:pStyle w:val="BlankOpen"/>
      </w:pPr>
    </w:p>
    <w:p>
      <w:pPr>
        <w:pStyle w:val="nzSubsection"/>
        <w:spacing w:before="0"/>
      </w:pPr>
      <w:r>
        <w:tab/>
        <w:t>(2)</w:t>
      </w:r>
      <w:r>
        <w:tab/>
        <w:t xml:space="preserve">A licence issued under regulation 4 of the </w:t>
      </w:r>
      <w:r>
        <w:rPr>
          <w:i/>
        </w:rPr>
        <w:t>Poisons Regulations 1965</w:t>
      </w:r>
      <w:r>
        <w:t xml:space="preserve"> and in force immediately before the day on which this regulation commences, continues in force on and after that day, as if it were a licence issued under regulation 3 of those regulations as amended by this regulation.</w:t>
      </w:r>
    </w:p>
    <w:p>
      <w:pPr>
        <w:pStyle w:val="BlankClose"/>
      </w:pPr>
    </w:p>
    <w:p>
      <w:pPr>
        <w:pStyle w:val="nSubsection"/>
      </w:pPr>
      <w:r>
        <w:rPr>
          <w:vertAlign w:val="superscript"/>
        </w:rPr>
        <w:t>11</w:t>
      </w:r>
      <w:r>
        <w:tab/>
        <w:t xml:space="preserve">The </w:t>
      </w:r>
      <w:r>
        <w:rPr>
          <w:i/>
        </w:rPr>
        <w:t>Nurses Amendment Act 2003</w:t>
      </w:r>
      <w:r>
        <w:t xml:space="preserve"> s. 50 reads as follows:</w:t>
      </w:r>
    </w:p>
    <w:p>
      <w:pPr>
        <w:pStyle w:val="BlankOpen"/>
      </w:pPr>
    </w:p>
    <w:p>
      <w:pPr>
        <w:pStyle w:val="nzHeading5"/>
      </w:pPr>
      <w:r>
        <w:rPr>
          <w:rStyle w:val="CharSectno"/>
        </w:rPr>
        <w:t>50</w:t>
      </w:r>
      <w:r>
        <w:t>.</w:t>
      </w:r>
      <w:r>
        <w:tab/>
        <w:t>Existing power to amend regulations unaffected</w:t>
      </w:r>
    </w:p>
    <w:p>
      <w:pPr>
        <w:pStyle w:val="nzSubsection"/>
      </w:pPr>
      <w:r>
        <w:tab/>
      </w:r>
      <w:r>
        <w:tab/>
        <w:t xml:space="preserve">Nothing in this Division prevents any of the </w:t>
      </w:r>
      <w:r>
        <w:rPr>
          <w:i/>
        </w:rPr>
        <w:t>Poisons Regulations 1965</w:t>
      </w:r>
      <w:r>
        <w:t xml:space="preserve"> from being amended in accordance with the </w:t>
      </w:r>
      <w:r>
        <w:rPr>
          <w:i/>
        </w:rPr>
        <w:t>Poisons Act 1964</w:t>
      </w:r>
      <w:r>
        <w:t>.</w:t>
      </w:r>
    </w:p>
    <w:p>
      <w:pPr>
        <w:pStyle w:val="BlankClose"/>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
      <w:pPr>
        <w:pStyle w:val="nHeading2"/>
        <w:rPr>
          <w:sz w:val="28"/>
        </w:rPr>
      </w:pPr>
      <w:bookmarkStart w:id="213" w:name="_Toc389746842"/>
      <w:r>
        <w:rPr>
          <w:sz w:val="28"/>
        </w:rPr>
        <w:t>Defined Terms</w:t>
      </w:r>
      <w:bookmarkEnd w:id="2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4" w:name="DefinedTerms"/>
      <w:bookmarkEnd w:id="214"/>
      <w:r>
        <w:t>access code</w:t>
      </w:r>
      <w:r>
        <w:tab/>
        <w:t>32A(1)</w:t>
      </w:r>
    </w:p>
    <w:p>
      <w:pPr>
        <w:pStyle w:val="DefinedTerms"/>
      </w:pPr>
      <w:r>
        <w:t>animal</w:t>
      </w:r>
      <w:r>
        <w:tab/>
        <w:t>2(1)</w:t>
      </w:r>
    </w:p>
    <w:p>
      <w:pPr>
        <w:pStyle w:val="DefinedTerms"/>
      </w:pPr>
      <w:r>
        <w:t>approved clinic</w:t>
      </w:r>
      <w:r>
        <w:tab/>
        <w:t>51FA</w:t>
      </w:r>
    </w:p>
    <w:p>
      <w:pPr>
        <w:pStyle w:val="DefinedTerms"/>
      </w:pPr>
      <w:r>
        <w:t>approved computer program</w:t>
      </w:r>
      <w:r>
        <w:tab/>
        <w:t>51(1C)</w:t>
      </w:r>
    </w:p>
    <w:p>
      <w:pPr>
        <w:pStyle w:val="DefinedTerms"/>
      </w:pPr>
      <w:r>
        <w:t>approved electronic prescribing system</w:t>
      </w:r>
      <w:r>
        <w:tab/>
        <w:t>2(1)</w:t>
      </w:r>
    </w:p>
    <w:p>
      <w:pPr>
        <w:pStyle w:val="DefinedTerms"/>
      </w:pPr>
      <w:r>
        <w:t>approved health service</w:t>
      </w:r>
      <w:r>
        <w:tab/>
        <w:t>36AA(1)</w:t>
      </w:r>
    </w:p>
    <w:p>
      <w:pPr>
        <w:pStyle w:val="DefinedTerms"/>
      </w:pPr>
      <w:r>
        <w:t>approved name</w:t>
      </w:r>
      <w:r>
        <w:tab/>
        <w:t>35C(4), 36AA(1), 36AAB(1), 64(1)</w:t>
      </w:r>
    </w:p>
    <w:p>
      <w:pPr>
        <w:pStyle w:val="DefinedTerms"/>
      </w:pPr>
      <w:r>
        <w:t>approved needle and syringe programme</w:t>
      </w:r>
      <w:r>
        <w:tab/>
        <w:t>2(1)</w:t>
      </w:r>
    </w:p>
    <w:p>
      <w:pPr>
        <w:pStyle w:val="DefinedTerms"/>
      </w:pPr>
      <w:r>
        <w:t>approved starter pack</w:t>
      </w:r>
      <w:r>
        <w:tab/>
        <w:t>36AA(1)</w:t>
      </w:r>
    </w:p>
    <w:p>
      <w:pPr>
        <w:pStyle w:val="DefinedTerms"/>
      </w:pPr>
      <w:r>
        <w:t>Australian Register of Therapeutic Goods</w:t>
      </w:r>
      <w:r>
        <w:tab/>
        <w:t>35C(4), 64(1)</w:t>
      </w:r>
    </w:p>
    <w:p>
      <w:pPr>
        <w:pStyle w:val="DefinedTerms"/>
      </w:pPr>
      <w:r>
        <w:t>authorised person</w:t>
      </w:r>
      <w:r>
        <w:tab/>
        <w:t>44(1), 44C(1)</w:t>
      </w:r>
    </w:p>
    <w:p>
      <w:pPr>
        <w:pStyle w:val="DefinedTerms"/>
      </w:pPr>
      <w:r>
        <w:t>authorised prescriber</w:t>
      </w:r>
      <w:r>
        <w:tab/>
        <w:t>51A(1)</w:t>
      </w:r>
    </w:p>
    <w:p>
      <w:pPr>
        <w:pStyle w:val="DefinedTerms"/>
      </w:pPr>
      <w:r>
        <w:t>auto-injector</w:t>
      </w:r>
      <w:r>
        <w:tab/>
        <w:t>41D(1)</w:t>
      </w:r>
    </w:p>
    <w:p>
      <w:pPr>
        <w:pStyle w:val="DefinedTerms"/>
      </w:pPr>
      <w:r>
        <w:t>brand</w:t>
      </w:r>
      <w:r>
        <w:tab/>
        <w:t>64(1)</w:t>
      </w:r>
    </w:p>
    <w:p>
      <w:pPr>
        <w:pStyle w:val="DefinedTerms"/>
      </w:pPr>
      <w:r>
        <w:t>brand name</w:t>
      </w:r>
      <w:r>
        <w:tab/>
        <w:t>35C(4), 36AA(1)</w:t>
      </w:r>
    </w:p>
    <w:p>
      <w:pPr>
        <w:pStyle w:val="DefinedTerms"/>
      </w:pPr>
      <w:r>
        <w:t>certificated commercial vessel</w:t>
      </w:r>
      <w:r>
        <w:tab/>
        <w:t>2(1)</w:t>
      </w:r>
    </w:p>
    <w:p>
      <w:pPr>
        <w:pStyle w:val="DefinedTerms"/>
      </w:pPr>
      <w:r>
        <w:t>child</w:t>
      </w:r>
      <w:r>
        <w:tab/>
        <w:t>2(1)</w:t>
      </w:r>
    </w:p>
    <w:p>
      <w:pPr>
        <w:pStyle w:val="DefinedTerms"/>
      </w:pPr>
      <w:r>
        <w:t>child care service</w:t>
      </w:r>
      <w:r>
        <w:tab/>
        <w:t>41D(1)</w:t>
      </w:r>
    </w:p>
    <w:p>
      <w:pPr>
        <w:pStyle w:val="DefinedTerms"/>
      </w:pPr>
      <w:r>
        <w:t>commencement day</w:t>
      </w:r>
      <w:r>
        <w:tab/>
        <w:t>66</w:t>
      </w:r>
    </w:p>
    <w:p>
      <w:pPr>
        <w:pStyle w:val="DefinedTerms"/>
      </w:pPr>
      <w:r>
        <w:t>Commonwealth Schedule</w:t>
      </w:r>
      <w:r>
        <w:tab/>
        <w:t>51H(3)</w:t>
      </w:r>
    </w:p>
    <w:p>
      <w:pPr>
        <w:pStyle w:val="DefinedTerms"/>
      </w:pPr>
      <w:r>
        <w:t>Community Emergency Response Team</w:t>
      </w:r>
      <w:r>
        <w:tab/>
        <w:t>36AAB(1)</w:t>
      </w:r>
    </w:p>
    <w:p>
      <w:pPr>
        <w:pStyle w:val="DefinedTerms"/>
      </w:pPr>
      <w:r>
        <w:t>coordinator</w:t>
      </w:r>
      <w:r>
        <w:tab/>
        <w:t>2(1)</w:t>
      </w:r>
    </w:p>
    <w:p>
      <w:pPr>
        <w:pStyle w:val="DefinedTerms"/>
      </w:pPr>
      <w:r>
        <w:t>co-prescriber</w:t>
      </w:r>
      <w:r>
        <w:tab/>
        <w:t>51FA</w:t>
      </w:r>
    </w:p>
    <w:p>
      <w:pPr>
        <w:pStyle w:val="DefinedTerms"/>
      </w:pPr>
      <w:r>
        <w:t>current clinic</w:t>
      </w:r>
      <w:r>
        <w:tab/>
        <w:t>51FA</w:t>
      </w:r>
    </w:p>
    <w:p>
      <w:pPr>
        <w:pStyle w:val="DefinedTerms"/>
      </w:pPr>
      <w:r>
        <w:t>current clinic prescriber</w:t>
      </w:r>
      <w:r>
        <w:tab/>
        <w:t>51FA</w:t>
      </w:r>
    </w:p>
    <w:p>
      <w:pPr>
        <w:pStyle w:val="DefinedTerms"/>
      </w:pPr>
      <w:r>
        <w:t>current prescriber</w:t>
      </w:r>
      <w:r>
        <w:tab/>
        <w:t>51FA</w:t>
      </w:r>
    </w:p>
    <w:p>
      <w:pPr>
        <w:pStyle w:val="DefinedTerms"/>
      </w:pPr>
      <w:r>
        <w:t>dermatologist</w:t>
      </w:r>
      <w:r>
        <w:tab/>
        <w:t>2(1)</w:t>
      </w:r>
    </w:p>
    <w:p>
      <w:pPr>
        <w:pStyle w:val="DefinedTerms"/>
      </w:pPr>
      <w:r>
        <w:t>direction</w:t>
      </w:r>
      <w:r>
        <w:tab/>
        <w:t>2(1)</w:t>
      </w:r>
    </w:p>
    <w:p>
      <w:pPr>
        <w:pStyle w:val="DefinedTerms"/>
      </w:pPr>
      <w:r>
        <w:t>director of nursing</w:t>
      </w:r>
      <w:r>
        <w:tab/>
        <w:t>2(1)</w:t>
      </w:r>
    </w:p>
    <w:p>
      <w:pPr>
        <w:pStyle w:val="DefinedTerms"/>
      </w:pPr>
      <w:r>
        <w:t>dispense</w:t>
      </w:r>
      <w:r>
        <w:tab/>
        <w:t>2(1)</w:t>
      </w:r>
    </w:p>
    <w:p>
      <w:pPr>
        <w:pStyle w:val="DefinedTerms"/>
      </w:pPr>
      <w:r>
        <w:t>distribute</w:t>
      </w:r>
      <w:r>
        <w:tab/>
        <w:t>2(1)</w:t>
      </w:r>
    </w:p>
    <w:p>
      <w:pPr>
        <w:pStyle w:val="DefinedTerms"/>
      </w:pPr>
      <w:r>
        <w:t>distributor</w:t>
      </w:r>
      <w:r>
        <w:tab/>
        <w:t>2(1)</w:t>
      </w:r>
    </w:p>
    <w:p>
      <w:pPr>
        <w:pStyle w:val="DefinedTerms"/>
      </w:pPr>
      <w:r>
        <w:t>dosage unit</w:t>
      </w:r>
      <w:r>
        <w:tab/>
        <w:t>2(1)</w:t>
      </w:r>
    </w:p>
    <w:p>
      <w:pPr>
        <w:pStyle w:val="DefinedTerms"/>
      </w:pPr>
      <w:r>
        <w:t>drug addict</w:t>
      </w:r>
      <w:r>
        <w:tab/>
        <w:t>51A(1)</w:t>
      </w:r>
    </w:p>
    <w:p>
      <w:pPr>
        <w:pStyle w:val="DefinedTerms"/>
      </w:pPr>
      <w:r>
        <w:t>emergency supplies</w:t>
      </w:r>
      <w:r>
        <w:tab/>
        <w:t>36A(4)</w:t>
      </w:r>
    </w:p>
    <w:p>
      <w:pPr>
        <w:pStyle w:val="DefinedTerms"/>
      </w:pPr>
      <w:r>
        <w:t>entry</w:t>
      </w:r>
      <w:r>
        <w:tab/>
        <w:t>44C(1)</w:t>
      </w:r>
    </w:p>
    <w:p>
      <w:pPr>
        <w:pStyle w:val="DefinedTerms"/>
      </w:pPr>
      <w:r>
        <w:t>experienced person</w:t>
      </w:r>
      <w:r>
        <w:tab/>
        <w:t>2(1)</w:t>
      </w:r>
    </w:p>
    <w:p>
      <w:pPr>
        <w:pStyle w:val="DefinedTerms"/>
      </w:pPr>
      <w:r>
        <w:t>exporter</w:t>
      </w:r>
      <w:r>
        <w:tab/>
        <w:t>39C(5)</w:t>
      </w:r>
    </w:p>
    <w:p>
      <w:pPr>
        <w:pStyle w:val="DefinedTerms"/>
      </w:pPr>
      <w:r>
        <w:t>external</w:t>
      </w:r>
      <w:r>
        <w:tab/>
        <w:t>2(1)</w:t>
      </w:r>
    </w:p>
    <w:p>
      <w:pPr>
        <w:pStyle w:val="DefinedTerms"/>
      </w:pPr>
      <w:r>
        <w:t>former manager</w:t>
      </w:r>
      <w:r>
        <w:tab/>
        <w:t>51FK</w:t>
      </w:r>
    </w:p>
    <w:p>
      <w:pPr>
        <w:pStyle w:val="DefinedTerms"/>
      </w:pPr>
      <w:r>
        <w:t>gynaecologist</w:t>
      </w:r>
      <w:r>
        <w:tab/>
        <w:t>2(1)</w:t>
      </w:r>
    </w:p>
    <w:p>
      <w:pPr>
        <w:pStyle w:val="DefinedTerms"/>
      </w:pPr>
      <w:r>
        <w:t>height</w:t>
      </w:r>
      <w:r>
        <w:tab/>
        <w:t>21A(4)</w:t>
      </w:r>
    </w:p>
    <w:p>
      <w:pPr>
        <w:pStyle w:val="DefinedTerms"/>
      </w:pPr>
      <w:r>
        <w:t>immediate container</w:t>
      </w:r>
      <w:r>
        <w:tab/>
        <w:t>2(1)</w:t>
      </w:r>
    </w:p>
    <w:p>
      <w:pPr>
        <w:pStyle w:val="DefinedTerms"/>
      </w:pPr>
      <w:r>
        <w:t>immediate wrapper</w:t>
      </w:r>
      <w:r>
        <w:tab/>
        <w:t>2(1)</w:t>
      </w:r>
    </w:p>
    <w:p>
      <w:pPr>
        <w:pStyle w:val="DefinedTerms"/>
      </w:pPr>
      <w:r>
        <w:t>inappropriate use</w:t>
      </w:r>
      <w:r>
        <w:tab/>
        <w:t>32A(1)</w:t>
      </w:r>
    </w:p>
    <w:p>
      <w:pPr>
        <w:pStyle w:val="DefinedTerms"/>
      </w:pPr>
      <w:r>
        <w:t>livestock</w:t>
      </w:r>
      <w:r>
        <w:tab/>
        <w:t>39C(5)</w:t>
      </w:r>
    </w:p>
    <w:p>
      <w:pPr>
        <w:pStyle w:val="DefinedTerms"/>
      </w:pPr>
      <w:r>
        <w:t>manager</w:t>
      </w:r>
      <w:r>
        <w:tab/>
        <w:t>51FA</w:t>
      </w:r>
    </w:p>
    <w:p>
      <w:pPr>
        <w:pStyle w:val="DefinedTerms"/>
      </w:pPr>
      <w:r>
        <w:t>manufacture</w:t>
      </w:r>
      <w:r>
        <w:tab/>
        <w:t>2(1)</w:t>
      </w:r>
    </w:p>
    <w:p>
      <w:pPr>
        <w:pStyle w:val="DefinedTerms"/>
      </w:pPr>
      <w:r>
        <w:t>manufacturer</w:t>
      </w:r>
      <w:r>
        <w:tab/>
        <w:t>2(1)</w:t>
      </w:r>
    </w:p>
    <w:p>
      <w:pPr>
        <w:pStyle w:val="DefinedTerms"/>
      </w:pPr>
      <w:r>
        <w:t>master of a ship</w:t>
      </w:r>
      <w:r>
        <w:tab/>
        <w:t>39C(5)</w:t>
      </w:r>
    </w:p>
    <w:p>
      <w:pPr>
        <w:pStyle w:val="DefinedTerms"/>
      </w:pPr>
      <w:r>
        <w:t>Medical Board</w:t>
      </w:r>
      <w:r>
        <w:tab/>
        <w:t>2(1)</w:t>
      </w:r>
    </w:p>
    <w:p>
      <w:pPr>
        <w:pStyle w:val="DefinedTerms"/>
      </w:pPr>
      <w:r>
        <w:t>metropolitan region</w:t>
      </w:r>
      <w:r>
        <w:tab/>
        <w:t>36AAB(1)</w:t>
      </w:r>
    </w:p>
    <w:p>
      <w:pPr>
        <w:pStyle w:val="DefinedTerms"/>
      </w:pPr>
      <w:r>
        <w:t>new manager</w:t>
      </w:r>
      <w:r>
        <w:tab/>
        <w:t>51FK</w:t>
      </w:r>
    </w:p>
    <w:p>
      <w:pPr>
        <w:pStyle w:val="DefinedTerms"/>
      </w:pPr>
      <w:r>
        <w:t>new provisions</w:t>
      </w:r>
      <w:r>
        <w:tab/>
        <w:t>69</w:t>
      </w:r>
    </w:p>
    <w:p>
      <w:pPr>
        <w:pStyle w:val="DefinedTerms"/>
      </w:pPr>
      <w:r>
        <w:t>NIMC</w:t>
      </w:r>
      <w:r>
        <w:tab/>
        <w:t>38A, 51AAA</w:t>
      </w:r>
    </w:p>
    <w:p>
      <w:pPr>
        <w:pStyle w:val="DefinedTerms"/>
      </w:pPr>
      <w:r>
        <w:t>nominated co-prescriber</w:t>
      </w:r>
      <w:r>
        <w:tab/>
        <w:t>51FA</w:t>
      </w:r>
    </w:p>
    <w:p>
      <w:pPr>
        <w:pStyle w:val="DefinedTerms"/>
      </w:pPr>
      <w:r>
        <w:t>obstetrician</w:t>
      </w:r>
      <w:r>
        <w:tab/>
        <w:t>2(1)</w:t>
      </w:r>
    </w:p>
    <w:p>
      <w:pPr>
        <w:pStyle w:val="DefinedTerms"/>
      </w:pPr>
      <w:r>
        <w:t>old authorisation</w:t>
      </w:r>
      <w:r>
        <w:tab/>
        <w:t>67(1)(b), 68(1)(b)</w:t>
      </w:r>
    </w:p>
    <w:p>
      <w:pPr>
        <w:pStyle w:val="DefinedTerms"/>
      </w:pPr>
      <w:r>
        <w:t>permit</w:t>
      </w:r>
      <w:r>
        <w:tab/>
        <w:t>2(1)</w:t>
      </w:r>
    </w:p>
    <w:p>
      <w:pPr>
        <w:pStyle w:val="DefinedTerms"/>
      </w:pPr>
      <w:r>
        <w:t>personal supervision</w:t>
      </w:r>
      <w:r>
        <w:tab/>
        <w:t>2(1)</w:t>
      </w:r>
    </w:p>
    <w:p>
      <w:pPr>
        <w:pStyle w:val="DefinedTerms"/>
      </w:pPr>
      <w:r>
        <w:t>pharmacotherapy</w:t>
      </w:r>
      <w:r>
        <w:tab/>
        <w:t>51A(1)</w:t>
      </w:r>
    </w:p>
    <w:p>
      <w:pPr>
        <w:pStyle w:val="DefinedTerms"/>
      </w:pPr>
      <w:r>
        <w:t>pharmacy</w:t>
      </w:r>
      <w:r>
        <w:tab/>
        <w:t>51A(1)</w:t>
      </w:r>
    </w:p>
    <w:p>
      <w:pPr>
        <w:pStyle w:val="DefinedTerms"/>
      </w:pPr>
      <w:r>
        <w:t>physician</w:t>
      </w:r>
      <w:r>
        <w:tab/>
        <w:t>2(1)</w:t>
      </w:r>
    </w:p>
    <w:p>
      <w:pPr>
        <w:pStyle w:val="DefinedTerms"/>
      </w:pPr>
      <w:r>
        <w:t>poisons cupboard</w:t>
      </w:r>
      <w:r>
        <w:tab/>
        <w:t>2(1)</w:t>
      </w:r>
    </w:p>
    <w:p>
      <w:pPr>
        <w:pStyle w:val="DefinedTerms"/>
      </w:pPr>
      <w:r>
        <w:t>Policies Manual</w:t>
      </w:r>
      <w:r>
        <w:tab/>
        <w:t>51A(1)</w:t>
      </w:r>
    </w:p>
    <w:p>
      <w:pPr>
        <w:pStyle w:val="DefinedTerms"/>
      </w:pPr>
      <w:r>
        <w:t>prescribe</w:t>
      </w:r>
      <w:r>
        <w:tab/>
        <w:t>2(1)</w:t>
      </w:r>
    </w:p>
    <w:p>
      <w:pPr>
        <w:pStyle w:val="DefinedTerms"/>
      </w:pPr>
      <w:r>
        <w:t>prescription</w:t>
      </w:r>
      <w:r>
        <w:tab/>
        <w:t>66</w:t>
      </w:r>
    </w:p>
    <w:p>
      <w:pPr>
        <w:pStyle w:val="DefinedTerms"/>
      </w:pPr>
      <w:r>
        <w:t>proprietary preparation</w:t>
      </w:r>
      <w:r>
        <w:tab/>
        <w:t>8A(16)</w:t>
      </w:r>
    </w:p>
    <w:p>
      <w:pPr>
        <w:pStyle w:val="DefinedTerms"/>
      </w:pPr>
      <w:r>
        <w:t>psychiatric emergency pack</w:t>
      </w:r>
      <w:r>
        <w:tab/>
        <w:t>36AAB(1)</w:t>
      </w:r>
    </w:p>
    <w:p>
      <w:pPr>
        <w:pStyle w:val="DefinedTerms"/>
      </w:pPr>
      <w:r>
        <w:t>psychiatrist</w:t>
      </w:r>
      <w:r>
        <w:tab/>
        <w:t>2(1)</w:t>
      </w:r>
    </w:p>
    <w:p>
      <w:pPr>
        <w:pStyle w:val="DefinedTerms"/>
      </w:pPr>
      <w:r>
        <w:t>public hospital</w:t>
      </w:r>
      <w:r>
        <w:tab/>
        <w:t>2(1)</w:t>
      </w:r>
    </w:p>
    <w:p>
      <w:pPr>
        <w:pStyle w:val="DefinedTerms"/>
      </w:pPr>
      <w:r>
        <w:t>qualified person</w:t>
      </w:r>
      <w:r>
        <w:tab/>
        <w:t>2(1)</w:t>
      </w:r>
    </w:p>
    <w:p>
      <w:pPr>
        <w:pStyle w:val="DefinedTerms"/>
      </w:pPr>
      <w:r>
        <w:t>quarter</w:t>
      </w:r>
      <w:r>
        <w:tab/>
        <w:t>2(1)</w:t>
      </w:r>
    </w:p>
    <w:p>
      <w:pPr>
        <w:pStyle w:val="DefinedTerms"/>
      </w:pPr>
      <w:r>
        <w:t>racing yacht</w:t>
      </w:r>
      <w:r>
        <w:tab/>
        <w:t>2(1)</w:t>
      </w:r>
    </w:p>
    <w:p>
      <w:pPr>
        <w:pStyle w:val="DefinedTerms"/>
      </w:pPr>
      <w:r>
        <w:t>register</w:t>
      </w:r>
      <w:r>
        <w:tab/>
        <w:t>44C(1)</w:t>
      </w:r>
    </w:p>
    <w:p>
      <w:pPr>
        <w:pStyle w:val="DefinedTerms"/>
      </w:pPr>
      <w:r>
        <w:t>registered midwife</w:t>
      </w:r>
      <w:r>
        <w:tab/>
        <w:t>2(1)</w:t>
      </w:r>
    </w:p>
    <w:p>
      <w:pPr>
        <w:pStyle w:val="DefinedTerms"/>
      </w:pPr>
      <w:r>
        <w:t>registered nurse</w:t>
      </w:r>
      <w:r>
        <w:tab/>
        <w:t>2(1)</w:t>
      </w:r>
    </w:p>
    <w:p>
      <w:pPr>
        <w:pStyle w:val="DefinedTerms"/>
      </w:pPr>
      <w:r>
        <w:t>remote area nursing post</w:t>
      </w:r>
      <w:r>
        <w:tab/>
        <w:t>2(1)</w:t>
      </w:r>
    </w:p>
    <w:p>
      <w:pPr>
        <w:pStyle w:val="DefinedTerms"/>
      </w:pPr>
      <w:r>
        <w:t>Rural Community Mental Health Team</w:t>
      </w:r>
      <w:r>
        <w:tab/>
        <w:t>36AAB(1)</w:t>
      </w:r>
    </w:p>
    <w:p>
      <w:pPr>
        <w:pStyle w:val="DefinedTerms"/>
      </w:pPr>
      <w:r>
        <w:t>sale</w:t>
      </w:r>
      <w:r>
        <w:tab/>
        <w:t>2(1)</w:t>
      </w:r>
    </w:p>
    <w:p>
      <w:pPr>
        <w:pStyle w:val="DefinedTerms"/>
      </w:pPr>
      <w:r>
        <w:t>sample</w:t>
      </w:r>
      <w:r>
        <w:tab/>
        <w:t>8A(16)</w:t>
      </w:r>
    </w:p>
    <w:p>
      <w:pPr>
        <w:pStyle w:val="DefinedTerms"/>
      </w:pPr>
      <w:r>
        <w:t>Schedule</w:t>
      </w:r>
      <w:r>
        <w:tab/>
        <w:t>2(1)</w:t>
      </w:r>
    </w:p>
    <w:p>
      <w:pPr>
        <w:pStyle w:val="DefinedTerms"/>
      </w:pPr>
      <w:r>
        <w:t>school</w:t>
      </w:r>
      <w:r>
        <w:tab/>
        <w:t>41D(1)</w:t>
      </w:r>
    </w:p>
    <w:p>
      <w:pPr>
        <w:pStyle w:val="DefinedTerms"/>
      </w:pPr>
      <w:r>
        <w:t>sell</w:t>
      </w:r>
      <w:r>
        <w:tab/>
        <w:t>2(1)</w:t>
      </w:r>
    </w:p>
    <w:p>
      <w:pPr>
        <w:pStyle w:val="DefinedTerms"/>
      </w:pPr>
      <w:r>
        <w:t>specialist prescriber</w:t>
      </w:r>
      <w:r>
        <w:tab/>
        <w:t>51A(1)</w:t>
      </w:r>
    </w:p>
    <w:p>
      <w:pPr>
        <w:pStyle w:val="DefinedTerms"/>
      </w:pPr>
      <w:r>
        <w:t>specified</w:t>
      </w:r>
      <w:r>
        <w:tab/>
        <w:t>3(6)</w:t>
      </w:r>
    </w:p>
    <w:p>
      <w:pPr>
        <w:pStyle w:val="DefinedTerms"/>
      </w:pPr>
      <w:r>
        <w:t>specified drug</w:t>
      </w:r>
      <w:r>
        <w:tab/>
        <w:t>8A(1a)</w:t>
      </w:r>
    </w:p>
    <w:p>
      <w:pPr>
        <w:pStyle w:val="DefinedTerms"/>
      </w:pPr>
      <w:r>
        <w:t>SPN practitioner</w:t>
      </w:r>
      <w:r>
        <w:tab/>
        <w:t>51FA</w:t>
      </w:r>
    </w:p>
    <w:p>
      <w:pPr>
        <w:pStyle w:val="DefinedTerms"/>
      </w:pPr>
      <w:r>
        <w:t>starter pack</w:t>
      </w:r>
      <w:r>
        <w:tab/>
        <w:t>36AA(1)</w:t>
      </w:r>
    </w:p>
    <w:p>
      <w:pPr>
        <w:pStyle w:val="DefinedTerms"/>
      </w:pPr>
      <w:r>
        <w:t>starter pack instruction</w:t>
      </w:r>
      <w:r>
        <w:tab/>
        <w:t>36AA(1)</w:t>
      </w:r>
    </w:p>
    <w:p>
      <w:pPr>
        <w:pStyle w:val="DefinedTerms"/>
      </w:pPr>
      <w:r>
        <w:t>stimulant</w:t>
      </w:r>
      <w:r>
        <w:tab/>
        <w:t>51FA</w:t>
      </w:r>
    </w:p>
    <w:p>
      <w:pPr>
        <w:pStyle w:val="DefinedTerms"/>
      </w:pPr>
      <w:r>
        <w:t>Stimulant Prescribing Code</w:t>
      </w:r>
      <w:r>
        <w:tab/>
        <w:t>51FA</w:t>
      </w:r>
    </w:p>
    <w:p>
      <w:pPr>
        <w:pStyle w:val="DefinedTerms"/>
      </w:pPr>
      <w:r>
        <w:t>supply</w:t>
      </w:r>
      <w:r>
        <w:tab/>
        <w:t>2(1)</w:t>
      </w:r>
    </w:p>
    <w:p>
      <w:pPr>
        <w:pStyle w:val="DefinedTerms"/>
      </w:pPr>
      <w:r>
        <w:t>SUSDP</w:t>
      </w:r>
      <w:r>
        <w:tab/>
        <w:t>2(1)</w:t>
      </w:r>
    </w:p>
    <w:p>
      <w:pPr>
        <w:pStyle w:val="DefinedTerms"/>
      </w:pPr>
      <w:r>
        <w:t>system identifier</w:t>
      </w:r>
      <w:r>
        <w:tab/>
        <w:t>32A(1)</w:t>
      </w:r>
    </w:p>
    <w:p>
      <w:pPr>
        <w:pStyle w:val="DefinedTerms"/>
      </w:pPr>
      <w:r>
        <w:t>team medical practitioner</w:t>
      </w:r>
      <w:r>
        <w:tab/>
        <w:t>36AAB(1)</w:t>
      </w:r>
    </w:p>
    <w:p>
      <w:pPr>
        <w:pStyle w:val="DefinedTerms"/>
      </w:pPr>
      <w:r>
        <w:t>team psychiatrist</w:t>
      </w:r>
      <w:r>
        <w:tab/>
        <w:t>36AAB(1)</w:t>
      </w:r>
    </w:p>
    <w:p>
      <w:pPr>
        <w:pStyle w:val="DefinedTerms"/>
      </w:pPr>
      <w:r>
        <w:t>team registered nurse</w:t>
      </w:r>
      <w:r>
        <w:tab/>
        <w:t>36AAB(1)</w:t>
      </w:r>
    </w:p>
    <w:p>
      <w:pPr>
        <w:pStyle w:val="DefinedTerms"/>
      </w:pPr>
      <w:r>
        <w:t>the Act</w:t>
      </w:r>
      <w:r>
        <w:tab/>
        <w:t>2(1)</w:t>
      </w:r>
    </w:p>
    <w:p>
      <w:pPr>
        <w:pStyle w:val="DefinedTerms"/>
      </w:pPr>
      <w:r>
        <w:t>the HDWA Authorisation No.</w:t>
      </w:r>
      <w:r>
        <w:tab/>
        <w:t>51GB(2)</w:t>
      </w:r>
    </w:p>
    <w:p>
      <w:pPr>
        <w:pStyle w:val="DefinedTerms"/>
      </w:pPr>
      <w:r>
        <w:t>to sell</w:t>
      </w:r>
      <w:r>
        <w:tab/>
        <w:t>2(1)</w:t>
      </w:r>
    </w:p>
    <w:p>
      <w:pPr>
        <w:pStyle w:val="DefinedTerms"/>
      </w:pPr>
    </w:p>
    <w:p/>
    <w:p/>
    <w:p>
      <w:pPr>
        <w:sectPr>
          <w:headerReference w:type="even" r:id="rId36"/>
          <w:headerReference w:type="defaul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Apr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Apr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Apr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Apr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Apr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Apr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Apr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Apr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Apr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tcPr>
        <w:p>
          <w:pPr>
            <w:pStyle w:val="HeaderTextRight"/>
          </w:pPr>
          <w:fldSimple w:instr=" styleref CharSchText ">
            <w:r>
              <w:rPr>
                <w:noProof/>
              </w:rPr>
              <w:t>Specified criteria for the generation of prescriptions by computer</w:t>
            </w:r>
          </w:fldSimple>
        </w:p>
      </w:tc>
      <w:tc>
        <w:tcPr>
          <w:tcW w:w="1445" w:type="dxa"/>
        </w:tcPr>
        <w:p>
          <w:pPr>
            <w:pStyle w:val="HeaderNumberRight"/>
            <w:ind w:right="17"/>
            <w:rPr>
              <w:b w:val="0"/>
            </w:rPr>
          </w:pPr>
          <w:fldSimple w:instr=" styleref CharSchno ">
            <w:r>
              <w:rPr>
                <w:noProof/>
              </w:rPr>
              <w:t>Appendix L</w:t>
            </w:r>
          </w:fldSimple>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rPr>
        <w:trHeight w:val="407"/>
      </w:trP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441"/>
    <w:docVar w:name="WAFER_20140605151837" w:val="RemoveTocBookmarks,RemoveUnusedBookmarks,RemoveLanguageTags,UsedStyles,ResetPageSize"/>
    <w:docVar w:name="WAFER_20140605151837_GUID" w:val="f2b790e5-0263-4a63-94ec-fad658cd3d34"/>
    <w:docVar w:name="WAFER_20140605151852" w:val="RemoveTocBookmarks,RunningHeaders"/>
    <w:docVar w:name="WAFER_20140605151852_GUID" w:val="1595a82e-6e51-4c63-a401-064443deb4c5"/>
    <w:docVar w:name="WAFER_20151208162441" w:val="RemoveTrackChanges"/>
    <w:docVar w:name="WAFER_20151208162441_GUID" w:val="ec6f3fb2-26e1-4ddc-8ffb-a7f754f00c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193</Pages>
  <Words>45159</Words>
  <Characters>227154</Characters>
  <Application>Microsoft Office Word</Application>
  <DocSecurity>0</DocSecurity>
  <Lines>6490</Lines>
  <Paragraphs>3835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268478</CharactersWithSpaces>
  <SharedDoc>false</SharedDoc>
  <HLinks>
    <vt:vector size="12" baseType="variant">
      <vt:variant>
        <vt:i4>5439608</vt:i4>
      </vt:variant>
      <vt:variant>
        <vt:i4>256856</vt:i4>
      </vt:variant>
      <vt:variant>
        <vt:i4>1025</vt:i4>
      </vt:variant>
      <vt:variant>
        <vt:i4>1</vt:i4>
      </vt:variant>
      <vt:variant>
        <vt:lpwstr>A:\dline.gif</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1965 - 09-d0-03</dc:title>
  <dc:subject/>
  <dc:creator/>
  <cp:keywords/>
  <dc:description/>
  <cp:lastModifiedBy>svcMRProcess</cp:lastModifiedBy>
  <cp:revision>4</cp:revision>
  <cp:lastPrinted>2009-11-16T06:22:00Z</cp:lastPrinted>
  <dcterms:created xsi:type="dcterms:W3CDTF">2018-09-15T01:49:00Z</dcterms:created>
  <dcterms:modified xsi:type="dcterms:W3CDTF">2018-09-15T01:50:00Z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20100428</vt:lpwstr>
  </property>
  <property fmtid="{D5CDD505-2E9C-101B-9397-08002B2CF9AE}" pid="4" name="DocumentType">
    <vt:lpwstr>Reg</vt:lpwstr>
  </property>
  <property fmtid="{D5CDD505-2E9C-101B-9397-08002B2CF9AE}" pid="5" name="OwlsUID">
    <vt:i4>4701</vt:i4>
  </property>
  <property fmtid="{D5CDD505-2E9C-101B-9397-08002B2CF9AE}" pid="6" name="AsAtDate">
    <vt:lpwstr>28 Apr 2010</vt:lpwstr>
  </property>
  <property fmtid="{D5CDD505-2E9C-101B-9397-08002B2CF9AE}" pid="7" name="Suffix">
    <vt:lpwstr>09-d0-03</vt:lpwstr>
  </property>
  <property fmtid="{D5CDD505-2E9C-101B-9397-08002B2CF9AE}" pid="8" name="ReprintNo">
    <vt:lpwstr>9</vt:lpwstr>
  </property>
</Properties>
</file>