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69" w:rsidRDefault="00C774A8">
      <w:pPr>
        <w:pStyle w:val="WA"/>
      </w:pPr>
      <w:bookmarkStart w:id="0" w:name="_GoBack"/>
      <w:bookmarkEnd w:id="0"/>
      <w:r>
        <w:t>Western Australia</w:t>
      </w:r>
    </w:p>
    <w:p w:rsidR="00350169" w:rsidRDefault="00C774A8">
      <w:pPr>
        <w:pStyle w:val="NameofActRegPage1"/>
        <w:spacing w:before="3760" w:after="4200"/>
      </w:pPr>
      <w:r>
        <w:fldChar w:fldCharType="begin"/>
      </w:r>
      <w:r>
        <w:instrText xml:space="preserve"> STYLEREF "Name Of Act/Reg"</w:instrText>
      </w:r>
      <w:r>
        <w:fldChar w:fldCharType="separate"/>
      </w:r>
      <w:r w:rsidR="00110FD0">
        <w:rPr>
          <w:noProof/>
        </w:rPr>
        <w:t>Racing and Wagering Western Australia Tax Act 2003</w:t>
      </w:r>
      <w:r>
        <w:fldChar w:fldCharType="end"/>
      </w:r>
    </w:p>
    <w:p w:rsidR="00350169" w:rsidRDefault="00350169">
      <w:pPr>
        <w:jc w:val="center"/>
        <w:rPr>
          <w:b/>
        </w:rPr>
        <w:sectPr w:rsidR="0035016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350169" w:rsidRDefault="00C774A8">
      <w:pPr>
        <w:pStyle w:val="WA"/>
      </w:pPr>
      <w:r>
        <w:lastRenderedPageBreak/>
        <w:t>Western Australia</w:t>
      </w:r>
    </w:p>
    <w:p w:rsidR="00350169" w:rsidRDefault="00C774A8">
      <w:pPr>
        <w:pStyle w:val="NameofActRegPage1"/>
      </w:pPr>
      <w:r>
        <w:fldChar w:fldCharType="begin"/>
      </w:r>
      <w:r>
        <w:instrText xml:space="preserve"> STYLEREF "Name Of Act/Reg"</w:instrText>
      </w:r>
      <w:r>
        <w:fldChar w:fldCharType="separate"/>
      </w:r>
      <w:r w:rsidR="00110FD0">
        <w:rPr>
          <w:noProof/>
        </w:rPr>
        <w:t>Racing and Wagering Western Australia Tax Act 2003</w:t>
      </w:r>
      <w:r>
        <w:fldChar w:fldCharType="end"/>
      </w:r>
    </w:p>
    <w:p w:rsidR="00350169" w:rsidRDefault="00C774A8">
      <w:pPr>
        <w:pStyle w:val="Arrangement"/>
      </w:pPr>
      <w:r>
        <w:t>CONTENTS</w:t>
      </w:r>
    </w:p>
    <w:p w:rsidR="00350169" w:rsidRDefault="00C774A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Short title</w:t>
      </w:r>
      <w:r>
        <w:tab/>
      </w:r>
      <w:r>
        <w:fldChar w:fldCharType="begin"/>
      </w:r>
      <w:r>
        <w:instrText xml:space="preserve"> PAGEREF _Toc163011184 \h </w:instrText>
      </w:r>
      <w:r>
        <w:fldChar w:fldCharType="separate"/>
      </w:r>
      <w:r w:rsidR="00110FD0">
        <w:t>1</w:t>
      </w:r>
      <w:r>
        <w:fldChar w:fldCharType="end"/>
      </w:r>
    </w:p>
    <w:p w:rsidR="00350169" w:rsidRDefault="00C774A8">
      <w:pPr>
        <w:pStyle w:val="TOC8"/>
        <w:rPr>
          <w:sz w:val="24"/>
          <w:szCs w:val="24"/>
        </w:rPr>
      </w:pPr>
      <w:r>
        <w:rPr>
          <w:szCs w:val="24"/>
        </w:rPr>
        <w:t>2.</w:t>
      </w:r>
      <w:r>
        <w:rPr>
          <w:szCs w:val="24"/>
        </w:rPr>
        <w:tab/>
        <w:t>Commencement</w:t>
      </w:r>
      <w:r>
        <w:tab/>
      </w:r>
      <w:r>
        <w:fldChar w:fldCharType="begin"/>
      </w:r>
      <w:r>
        <w:instrText xml:space="preserve"> PAGEREF _Toc163011185 \h </w:instrText>
      </w:r>
      <w:r>
        <w:fldChar w:fldCharType="separate"/>
      </w:r>
      <w:r w:rsidR="00110FD0">
        <w:t>2</w:t>
      </w:r>
      <w:r>
        <w:fldChar w:fldCharType="end"/>
      </w:r>
    </w:p>
    <w:p w:rsidR="00350169" w:rsidRDefault="00C774A8">
      <w:pPr>
        <w:pStyle w:val="TOC8"/>
        <w:rPr>
          <w:sz w:val="24"/>
          <w:szCs w:val="24"/>
        </w:rPr>
      </w:pPr>
      <w:r>
        <w:rPr>
          <w:szCs w:val="24"/>
        </w:rPr>
        <w:t>3.</w:t>
      </w:r>
      <w:r>
        <w:rPr>
          <w:szCs w:val="24"/>
        </w:rPr>
        <w:tab/>
        <w:t>Interpretation</w:t>
      </w:r>
      <w:r>
        <w:tab/>
      </w:r>
      <w:r>
        <w:fldChar w:fldCharType="begin"/>
      </w:r>
      <w:r>
        <w:instrText xml:space="preserve"> PAGEREF _Toc163011186 \h </w:instrText>
      </w:r>
      <w:r>
        <w:fldChar w:fldCharType="separate"/>
      </w:r>
      <w:r w:rsidR="00110FD0">
        <w:t>2</w:t>
      </w:r>
      <w:r>
        <w:fldChar w:fldCharType="end"/>
      </w:r>
    </w:p>
    <w:p w:rsidR="00350169" w:rsidRDefault="00C774A8">
      <w:pPr>
        <w:pStyle w:val="TOC8"/>
        <w:rPr>
          <w:sz w:val="24"/>
          <w:szCs w:val="24"/>
        </w:rPr>
      </w:pPr>
      <w:r>
        <w:rPr>
          <w:szCs w:val="24"/>
        </w:rPr>
        <w:t>4</w:t>
      </w:r>
      <w:r>
        <w:rPr>
          <w:snapToGrid w:val="0"/>
          <w:szCs w:val="24"/>
        </w:rPr>
        <w:t>.</w:t>
      </w:r>
      <w:r>
        <w:rPr>
          <w:snapToGrid w:val="0"/>
          <w:szCs w:val="24"/>
        </w:rPr>
        <w:tab/>
        <w:t>Tax for totalisator wagers</w:t>
      </w:r>
      <w:r>
        <w:tab/>
      </w:r>
      <w:r>
        <w:fldChar w:fldCharType="begin"/>
      </w:r>
      <w:r>
        <w:instrText xml:space="preserve"> PAGEREF _Toc163011187 \h </w:instrText>
      </w:r>
      <w:r>
        <w:fldChar w:fldCharType="separate"/>
      </w:r>
      <w:r w:rsidR="00110FD0">
        <w:t>2</w:t>
      </w:r>
      <w:r>
        <w:fldChar w:fldCharType="end"/>
      </w:r>
    </w:p>
    <w:p w:rsidR="00350169" w:rsidRDefault="00C774A8">
      <w:pPr>
        <w:pStyle w:val="TOC8"/>
        <w:rPr>
          <w:sz w:val="24"/>
          <w:szCs w:val="24"/>
        </w:rPr>
      </w:pPr>
      <w:r>
        <w:rPr>
          <w:szCs w:val="24"/>
        </w:rPr>
        <w:t>5.</w:t>
      </w:r>
      <w:r>
        <w:rPr>
          <w:szCs w:val="24"/>
        </w:rPr>
        <w:tab/>
        <w:t>Tax for fixed odds wagers</w:t>
      </w:r>
      <w:r>
        <w:tab/>
      </w:r>
      <w:r>
        <w:fldChar w:fldCharType="begin"/>
      </w:r>
      <w:r>
        <w:instrText xml:space="preserve"> PAGEREF _Toc163011188 \h </w:instrText>
      </w:r>
      <w:r>
        <w:fldChar w:fldCharType="separate"/>
      </w:r>
      <w:r w:rsidR="00110FD0">
        <w:t>2</w:t>
      </w:r>
      <w:r>
        <w:fldChar w:fldCharType="end"/>
      </w:r>
    </w:p>
    <w:p w:rsidR="00350169" w:rsidRDefault="00C774A8">
      <w:pPr>
        <w:pStyle w:val="TOC2"/>
        <w:tabs>
          <w:tab w:val="right" w:leader="dot" w:pos="7086"/>
        </w:tabs>
        <w:rPr>
          <w:b w:val="0"/>
          <w:sz w:val="24"/>
          <w:szCs w:val="24"/>
        </w:rPr>
      </w:pPr>
      <w:r>
        <w:rPr>
          <w:szCs w:val="26"/>
        </w:rPr>
        <w:t>Notes</w:t>
      </w:r>
    </w:p>
    <w:p w:rsidR="00350169" w:rsidRDefault="00C774A8">
      <w:pPr>
        <w:pStyle w:val="TOC8"/>
        <w:rPr>
          <w:sz w:val="24"/>
          <w:szCs w:val="24"/>
        </w:rPr>
      </w:pPr>
      <w:r>
        <w:rPr>
          <w:snapToGrid w:val="0"/>
          <w:szCs w:val="24"/>
        </w:rPr>
        <w:tab/>
        <w:t>Compilation table</w:t>
      </w:r>
      <w:r>
        <w:tab/>
      </w:r>
      <w:r>
        <w:fldChar w:fldCharType="begin"/>
      </w:r>
      <w:r>
        <w:instrText xml:space="preserve"> PAGEREF _Toc163011190 \h </w:instrText>
      </w:r>
      <w:r>
        <w:fldChar w:fldCharType="separate"/>
      </w:r>
      <w:r w:rsidR="00110FD0">
        <w:t>3</w:t>
      </w:r>
      <w:r>
        <w:fldChar w:fldCharType="end"/>
      </w:r>
    </w:p>
    <w:p w:rsidR="00350169" w:rsidRDefault="00C774A8">
      <w:pPr>
        <w:pStyle w:val="TOC8"/>
        <w:rPr>
          <w:sz w:val="24"/>
        </w:rPr>
      </w:pPr>
      <w:r>
        <w:tab/>
        <w:t>Provisions that have not come into operation</w:t>
      </w:r>
      <w:r>
        <w:tab/>
      </w:r>
      <w:r>
        <w:fldChar w:fldCharType="begin"/>
      </w:r>
      <w:r>
        <w:instrText xml:space="preserve"> PAGEREF _Toc163011191 \h </w:instrText>
      </w:r>
      <w:r>
        <w:fldChar w:fldCharType="separate"/>
      </w:r>
      <w:r w:rsidR="00110FD0">
        <w:t>3</w:t>
      </w:r>
      <w:r>
        <w:fldChar w:fldCharType="end"/>
      </w:r>
    </w:p>
    <w:p w:rsidR="00350169" w:rsidRDefault="00C774A8">
      <w:pPr>
        <w:pStyle w:val="TOC2"/>
      </w:pPr>
      <w:r>
        <w:fldChar w:fldCharType="end"/>
      </w:r>
    </w:p>
    <w:p w:rsidR="00350169" w:rsidRDefault="00C774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50169" w:rsidRDefault="00350169">
      <w:pPr>
        <w:pStyle w:val="NoteHeading"/>
        <w:sectPr w:rsidR="00350169">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350169" w:rsidRDefault="00C774A8">
      <w:pPr>
        <w:pStyle w:val="WA"/>
      </w:pPr>
      <w:r>
        <w:t>Western Australia</w:t>
      </w:r>
    </w:p>
    <w:p w:rsidR="00350169" w:rsidRDefault="00C774A8">
      <w:pPr>
        <w:pStyle w:val="NameofActReg"/>
        <w:suppressLineNumbers/>
      </w:pPr>
      <w:r>
        <w:t>Racing and Wagering Western Australia Tax Act 2003</w:t>
      </w:r>
    </w:p>
    <w:p w:rsidR="00350169" w:rsidRDefault="00C774A8">
      <w:pPr>
        <w:pStyle w:val="LongTitle"/>
        <w:suppressLineNumbers/>
        <w:rPr>
          <w:snapToGrid w:val="0"/>
        </w:rPr>
      </w:pPr>
      <w:r>
        <w:rPr>
          <w:snapToGrid w:val="0"/>
        </w:rPr>
        <w:t>An Act to impose a tax on money paid in respect of wagers made through or with Racing and Wagering Western Australia.</w:t>
      </w:r>
    </w:p>
    <w:p w:rsidR="00350169" w:rsidRDefault="00C774A8">
      <w:pPr>
        <w:pStyle w:val="Heading5"/>
        <w:spacing w:before="320"/>
      </w:pPr>
      <w:bookmarkStart w:id="1" w:name="_Toc44141016"/>
      <w:bookmarkStart w:id="2" w:name="_Toc63486130"/>
      <w:bookmarkStart w:id="3" w:name="_Toc163011184"/>
      <w:r>
        <w:rPr>
          <w:rStyle w:val="CharSectno"/>
        </w:rPr>
        <w:t>1</w:t>
      </w:r>
      <w:r>
        <w:t>.</w:t>
      </w:r>
      <w:r>
        <w:tab/>
        <w:t>Short title</w:t>
      </w:r>
      <w:bookmarkEnd w:id="1"/>
      <w:bookmarkEnd w:id="2"/>
      <w:bookmarkEnd w:id="3"/>
    </w:p>
    <w:p w:rsidR="00350169" w:rsidRDefault="00C774A8">
      <w:pPr>
        <w:pStyle w:val="Subsection"/>
      </w:pPr>
      <w:r>
        <w:rPr>
          <w:snapToGrid w:val="0"/>
        </w:rPr>
        <w:tab/>
      </w:r>
      <w:r>
        <w:rPr>
          <w:snapToGrid w:val="0"/>
        </w:rPr>
        <w:tab/>
      </w:r>
      <w:r>
        <w:t>This</w:t>
      </w:r>
      <w:r>
        <w:rPr>
          <w:snapToGrid w:val="0"/>
        </w:rPr>
        <w:t xml:space="preserve"> Act may be cited as the</w:t>
      </w:r>
      <w:r>
        <w:rPr>
          <w:i/>
          <w:snapToGrid w:val="0"/>
        </w:rPr>
        <w:t xml:space="preserve"> Racing and Wagering Western Australia Tax Act 2003</w:t>
      </w:r>
      <w:r>
        <w:rPr>
          <w:snapToGrid w:val="0"/>
        </w:rPr>
        <w:t>.</w:t>
      </w:r>
    </w:p>
    <w:p w:rsidR="00350169" w:rsidRDefault="00C774A8">
      <w:pPr>
        <w:pStyle w:val="Heading5"/>
        <w:pageBreakBefore/>
      </w:pPr>
      <w:bookmarkStart w:id="4" w:name="_Toc44141017"/>
      <w:bookmarkStart w:id="5" w:name="_Toc63486131"/>
      <w:bookmarkStart w:id="6" w:name="_Toc163011185"/>
      <w:r>
        <w:rPr>
          <w:rStyle w:val="CharSectno"/>
        </w:rPr>
        <w:t>2</w:t>
      </w:r>
      <w:r>
        <w:t>.</w:t>
      </w:r>
      <w:r>
        <w:tab/>
        <w:t>Commencement</w:t>
      </w:r>
      <w:bookmarkEnd w:id="4"/>
      <w:bookmarkEnd w:id="5"/>
      <w:bookmarkEnd w:id="6"/>
    </w:p>
    <w:p w:rsidR="00350169" w:rsidRDefault="00C774A8">
      <w:pPr>
        <w:pStyle w:val="Subsection"/>
      </w:pPr>
      <w:r>
        <w:tab/>
      </w:r>
      <w:r>
        <w:tab/>
        <w:t>This Act comes into operation on a day to be fixed by proclamation.</w:t>
      </w:r>
    </w:p>
    <w:p w:rsidR="00350169" w:rsidRDefault="00C774A8">
      <w:pPr>
        <w:pStyle w:val="Heading5"/>
      </w:pPr>
      <w:bookmarkStart w:id="7" w:name="_Toc63486132"/>
      <w:bookmarkStart w:id="8" w:name="_Toc163011186"/>
      <w:r>
        <w:rPr>
          <w:rStyle w:val="CharSectno"/>
        </w:rPr>
        <w:t>3</w:t>
      </w:r>
      <w:r>
        <w:t>.</w:t>
      </w:r>
      <w:r>
        <w:tab/>
        <w:t>Interpretation</w:t>
      </w:r>
      <w:bookmarkEnd w:id="7"/>
      <w:bookmarkEnd w:id="8"/>
    </w:p>
    <w:p w:rsidR="00350169" w:rsidRDefault="00C774A8">
      <w:pPr>
        <w:pStyle w:val="Subsection"/>
      </w:pPr>
      <w:r>
        <w:tab/>
      </w:r>
      <w:r>
        <w:tab/>
        <w:t xml:space="preserve">In this Act — </w:t>
      </w:r>
    </w:p>
    <w:p w:rsidR="00350169" w:rsidRDefault="00C774A8">
      <w:pPr>
        <w:pStyle w:val="Defstart"/>
      </w:pPr>
      <w:r>
        <w:rPr>
          <w:b/>
        </w:rPr>
        <w:tab/>
        <w:t>“</w:t>
      </w:r>
      <w:r>
        <w:rPr>
          <w:rStyle w:val="CharDefText"/>
        </w:rPr>
        <w:t>fixed odds wager</w:t>
      </w:r>
      <w:r>
        <w:rPr>
          <w:b/>
        </w:rPr>
        <w:t>”</w:t>
      </w:r>
      <w:r>
        <w:t xml:space="preserve"> has the same meaning as in the RWWA Act;</w:t>
      </w:r>
    </w:p>
    <w:p w:rsidR="00350169" w:rsidRDefault="00C774A8">
      <w:pPr>
        <w:pStyle w:val="Defstart"/>
      </w:pPr>
      <w:r>
        <w:rPr>
          <w:b/>
        </w:rPr>
        <w:tab/>
        <w:t>“</w:t>
      </w:r>
      <w:r>
        <w:rPr>
          <w:rStyle w:val="CharDefText"/>
        </w:rPr>
        <w:t>RWWA</w:t>
      </w:r>
      <w:r>
        <w:rPr>
          <w:b/>
        </w:rPr>
        <w:t>”</w:t>
      </w:r>
      <w:r>
        <w:t xml:space="preserve"> means Racing and Wagering Western Australia established under the RWWA Act;</w:t>
      </w:r>
    </w:p>
    <w:p w:rsidR="00350169" w:rsidRDefault="00C774A8">
      <w:pPr>
        <w:pStyle w:val="Defstart"/>
      </w:pPr>
      <w:r>
        <w:rPr>
          <w:b/>
        </w:rPr>
        <w:tab/>
        <w:t>“</w:t>
      </w:r>
      <w:r>
        <w:rPr>
          <w:rStyle w:val="CharDefText"/>
        </w:rPr>
        <w:t>RWWA Act</w:t>
      </w:r>
      <w:r>
        <w:rPr>
          <w:b/>
        </w:rPr>
        <w:t>”</w:t>
      </w:r>
      <w:r>
        <w:t xml:space="preserve"> means the </w:t>
      </w:r>
      <w:r>
        <w:rPr>
          <w:i/>
        </w:rPr>
        <w:t>Racing and Wagering Western Australia Act 2003</w:t>
      </w:r>
      <w:r>
        <w:t>;</w:t>
      </w:r>
    </w:p>
    <w:p w:rsidR="00350169" w:rsidRDefault="00C774A8">
      <w:pPr>
        <w:pStyle w:val="Defstart"/>
      </w:pPr>
      <w:r>
        <w:rPr>
          <w:b/>
        </w:rPr>
        <w:tab/>
        <w:t>“</w:t>
      </w:r>
      <w:r>
        <w:rPr>
          <w:rStyle w:val="CharDefText"/>
        </w:rPr>
        <w:t>totalisator</w:t>
      </w:r>
      <w:r>
        <w:rPr>
          <w:b/>
        </w:rPr>
        <w:t>”</w:t>
      </w:r>
      <w:r>
        <w:t xml:space="preserve"> has the same meaning as in the RWWA Act.</w:t>
      </w:r>
    </w:p>
    <w:p w:rsidR="00350169" w:rsidRDefault="00C774A8">
      <w:pPr>
        <w:pStyle w:val="Heading5"/>
        <w:rPr>
          <w:snapToGrid w:val="0"/>
        </w:rPr>
      </w:pPr>
      <w:bookmarkStart w:id="9" w:name="_Toc63486133"/>
      <w:bookmarkStart w:id="10" w:name="_Toc163011187"/>
      <w:r>
        <w:rPr>
          <w:rStyle w:val="CharSectno"/>
        </w:rPr>
        <w:t>4</w:t>
      </w:r>
      <w:r>
        <w:rPr>
          <w:snapToGrid w:val="0"/>
        </w:rPr>
        <w:t>.</w:t>
      </w:r>
      <w:r>
        <w:rPr>
          <w:snapToGrid w:val="0"/>
        </w:rPr>
        <w:tab/>
        <w:t>Tax for totalisator wagers</w:t>
      </w:r>
      <w:bookmarkEnd w:id="9"/>
      <w:bookmarkEnd w:id="10"/>
    </w:p>
    <w:p w:rsidR="00350169" w:rsidRDefault="00C774A8">
      <w:pPr>
        <w:pStyle w:val="Subsection"/>
      </w:pPr>
      <w:r>
        <w:tab/>
      </w:r>
      <w:r>
        <w:tab/>
        <w:t>The rate of tax imposed by this Act and payable under the RWWA Act in relation to wagers included in a totalisator is 5% of all moneys paid to RWWA in respect of those wagers made through or with RWWA under the RWWA Act.</w:t>
      </w:r>
    </w:p>
    <w:p w:rsidR="00350169" w:rsidRDefault="00C774A8">
      <w:pPr>
        <w:pStyle w:val="Heading5"/>
      </w:pPr>
      <w:bookmarkStart w:id="11" w:name="_Toc63486134"/>
      <w:bookmarkStart w:id="12" w:name="_Toc163011188"/>
      <w:r>
        <w:rPr>
          <w:rStyle w:val="CharSectno"/>
        </w:rPr>
        <w:t>5</w:t>
      </w:r>
      <w:r>
        <w:t>.</w:t>
      </w:r>
      <w:r>
        <w:tab/>
        <w:t>Tax for fixed odds wagers</w:t>
      </w:r>
      <w:bookmarkEnd w:id="11"/>
      <w:bookmarkEnd w:id="12"/>
    </w:p>
    <w:p w:rsidR="00350169" w:rsidRDefault="00C774A8">
      <w:pPr>
        <w:pStyle w:val="Subsection"/>
      </w:pPr>
      <w:r>
        <w:tab/>
      </w:r>
      <w:r>
        <w:tab/>
        <w:t xml:space="preserve">The rate of tax imposed by this Act and payable under the RWWA Act in relation to fixed odds wagers is — </w:t>
      </w:r>
    </w:p>
    <w:p w:rsidR="00350169" w:rsidRDefault="00C774A8">
      <w:pPr>
        <w:pStyle w:val="Indenta"/>
      </w:pPr>
      <w:r>
        <w:tab/>
        <w:t>(a)</w:t>
      </w:r>
      <w:r>
        <w:tab/>
        <w:t>2% of all moneys paid to RWWA in respect of fixed odds wagers made on horse or greyhound races; and</w:t>
      </w:r>
    </w:p>
    <w:p w:rsidR="00350169" w:rsidRDefault="00C774A8">
      <w:pPr>
        <w:pStyle w:val="Indenta"/>
      </w:pPr>
      <w:r>
        <w:tab/>
        <w:t>(b)</w:t>
      </w:r>
      <w:r>
        <w:tab/>
        <w:t>0.5% of all moneys paid to RWWA in respect of fixed odds wagers made on events, including sporting events,</w:t>
      </w:r>
    </w:p>
    <w:p w:rsidR="00350169" w:rsidRDefault="00C774A8">
      <w:pPr>
        <w:pStyle w:val="Subsection"/>
      </w:pPr>
      <w:r>
        <w:tab/>
      </w:r>
      <w:r>
        <w:tab/>
        <w:t>through or with RWWA under the RWWA Act.</w:t>
      </w:r>
    </w:p>
    <w:p w:rsidR="00350169" w:rsidRDefault="00350169">
      <w:pPr>
        <w:rPr>
          <w:rStyle w:val="CharDivText"/>
        </w:rPr>
        <w:sectPr w:rsidR="00350169">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350169" w:rsidRDefault="00C774A8">
      <w:pPr>
        <w:pStyle w:val="nHeading2"/>
      </w:pPr>
      <w:bookmarkStart w:id="13" w:name="_Toc162950190"/>
      <w:bookmarkStart w:id="14" w:name="_Toc162950677"/>
      <w:bookmarkStart w:id="15" w:name="_Toc163011189"/>
      <w:r>
        <w:t>Notes</w:t>
      </w:r>
      <w:bookmarkEnd w:id="13"/>
      <w:bookmarkEnd w:id="14"/>
      <w:bookmarkEnd w:id="15"/>
    </w:p>
    <w:p w:rsidR="00350169" w:rsidRDefault="00C774A8">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Tax Act 2003</w:t>
      </w:r>
      <w:r>
        <w:rPr>
          <w:snapToGrid w:val="0"/>
        </w:rPr>
        <w:t>.  The following table contains information about that Act </w:t>
      </w:r>
      <w:r>
        <w:rPr>
          <w:snapToGrid w:val="0"/>
          <w:vertAlign w:val="superscript"/>
        </w:rPr>
        <w:t>1a</w:t>
      </w:r>
      <w:r>
        <w:rPr>
          <w:snapToGrid w:val="0"/>
        </w:rPr>
        <w:t xml:space="preserve">. </w:t>
      </w:r>
    </w:p>
    <w:p w:rsidR="00350169" w:rsidRDefault="00C774A8">
      <w:pPr>
        <w:pStyle w:val="nHeading3"/>
        <w:rPr>
          <w:snapToGrid w:val="0"/>
        </w:rPr>
      </w:pPr>
      <w:bookmarkStart w:id="16" w:name="_Toc512403484"/>
      <w:bookmarkStart w:id="17" w:name="_Toc512403627"/>
      <w:bookmarkStart w:id="18" w:name="_Toc36369351"/>
      <w:bookmarkStart w:id="19" w:name="_Toc63486135"/>
      <w:bookmarkStart w:id="20" w:name="_Toc163011190"/>
      <w:r>
        <w:rPr>
          <w:snapToGrid w:val="0"/>
        </w:rPr>
        <w:t>Compilation table</w:t>
      </w:r>
      <w:bookmarkEnd w:id="16"/>
      <w:bookmarkEnd w:id="17"/>
      <w:bookmarkEnd w:id="18"/>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50169">
        <w:trPr>
          <w:tblHeader/>
        </w:trPr>
        <w:tc>
          <w:tcPr>
            <w:tcW w:w="2268" w:type="dxa"/>
            <w:tcBorders>
              <w:top w:val="single" w:sz="4" w:space="0" w:color="auto"/>
            </w:tcBorders>
          </w:tcPr>
          <w:p w:rsidR="00350169" w:rsidRDefault="00C774A8">
            <w:pPr>
              <w:pStyle w:val="nTable"/>
              <w:rPr>
                <w:b/>
                <w:sz w:val="19"/>
              </w:rPr>
            </w:pPr>
            <w:r>
              <w:rPr>
                <w:b/>
                <w:sz w:val="19"/>
              </w:rPr>
              <w:t>Short title</w:t>
            </w:r>
          </w:p>
        </w:tc>
        <w:tc>
          <w:tcPr>
            <w:tcW w:w="1134" w:type="dxa"/>
            <w:tcBorders>
              <w:top w:val="single" w:sz="4" w:space="0" w:color="auto"/>
            </w:tcBorders>
          </w:tcPr>
          <w:p w:rsidR="00350169" w:rsidRDefault="00C774A8">
            <w:pPr>
              <w:pStyle w:val="nTable"/>
              <w:rPr>
                <w:b/>
                <w:sz w:val="19"/>
              </w:rPr>
            </w:pPr>
            <w:r>
              <w:rPr>
                <w:b/>
                <w:sz w:val="19"/>
              </w:rPr>
              <w:t>Number and Year</w:t>
            </w:r>
          </w:p>
        </w:tc>
        <w:tc>
          <w:tcPr>
            <w:tcW w:w="1134" w:type="dxa"/>
            <w:tcBorders>
              <w:top w:val="single" w:sz="4" w:space="0" w:color="auto"/>
            </w:tcBorders>
          </w:tcPr>
          <w:p w:rsidR="00350169" w:rsidRDefault="00C774A8">
            <w:pPr>
              <w:pStyle w:val="nTable"/>
              <w:rPr>
                <w:b/>
                <w:sz w:val="19"/>
              </w:rPr>
            </w:pPr>
            <w:r>
              <w:rPr>
                <w:b/>
                <w:sz w:val="19"/>
              </w:rPr>
              <w:t>Assent</w:t>
            </w:r>
          </w:p>
        </w:tc>
        <w:tc>
          <w:tcPr>
            <w:tcW w:w="2552" w:type="dxa"/>
            <w:tcBorders>
              <w:top w:val="single" w:sz="4" w:space="0" w:color="auto"/>
            </w:tcBorders>
          </w:tcPr>
          <w:p w:rsidR="00350169" w:rsidRDefault="00C774A8">
            <w:pPr>
              <w:pStyle w:val="nTable"/>
              <w:rPr>
                <w:b/>
                <w:sz w:val="19"/>
              </w:rPr>
            </w:pPr>
            <w:r>
              <w:rPr>
                <w:b/>
                <w:sz w:val="19"/>
              </w:rPr>
              <w:t>Commencement</w:t>
            </w:r>
          </w:p>
        </w:tc>
      </w:tr>
      <w:tr w:rsidR="00350169">
        <w:tc>
          <w:tcPr>
            <w:tcW w:w="2268" w:type="dxa"/>
            <w:tcBorders>
              <w:top w:val="single" w:sz="4" w:space="0" w:color="auto"/>
              <w:bottom w:val="single" w:sz="4" w:space="0" w:color="auto"/>
            </w:tcBorders>
          </w:tcPr>
          <w:p w:rsidR="00350169" w:rsidRDefault="00C774A8">
            <w:pPr>
              <w:pStyle w:val="nTable"/>
              <w:spacing w:before="100"/>
              <w:rPr>
                <w:sz w:val="19"/>
              </w:rPr>
            </w:pPr>
            <w:r>
              <w:rPr>
                <w:i/>
                <w:sz w:val="19"/>
              </w:rPr>
              <w:t>Racing and Wagering Western Australia Tax Act 2003</w:t>
            </w:r>
            <w:r>
              <w:rPr>
                <w:sz w:val="19"/>
              </w:rPr>
              <w:t xml:space="preserve"> </w:t>
            </w:r>
          </w:p>
        </w:tc>
        <w:tc>
          <w:tcPr>
            <w:tcW w:w="1134" w:type="dxa"/>
            <w:tcBorders>
              <w:top w:val="single" w:sz="4" w:space="0" w:color="auto"/>
              <w:bottom w:val="single" w:sz="4" w:space="0" w:color="auto"/>
            </w:tcBorders>
          </w:tcPr>
          <w:p w:rsidR="00350169" w:rsidRDefault="00C774A8">
            <w:pPr>
              <w:pStyle w:val="nTable"/>
              <w:spacing w:before="100"/>
              <w:rPr>
                <w:sz w:val="19"/>
              </w:rPr>
            </w:pPr>
            <w:r>
              <w:rPr>
                <w:sz w:val="19"/>
              </w:rPr>
              <w:t>37 of 2003</w:t>
            </w:r>
          </w:p>
        </w:tc>
        <w:tc>
          <w:tcPr>
            <w:tcW w:w="1134" w:type="dxa"/>
            <w:tcBorders>
              <w:top w:val="single" w:sz="4" w:space="0" w:color="auto"/>
              <w:bottom w:val="single" w:sz="4" w:space="0" w:color="auto"/>
            </w:tcBorders>
          </w:tcPr>
          <w:p w:rsidR="00350169" w:rsidRDefault="00C774A8">
            <w:pPr>
              <w:pStyle w:val="nTable"/>
              <w:spacing w:before="100"/>
              <w:rPr>
                <w:sz w:val="19"/>
              </w:rPr>
            </w:pPr>
            <w:r>
              <w:rPr>
                <w:sz w:val="19"/>
              </w:rPr>
              <w:t>26 Jun 2003</w:t>
            </w:r>
          </w:p>
        </w:tc>
        <w:tc>
          <w:tcPr>
            <w:tcW w:w="2552" w:type="dxa"/>
            <w:tcBorders>
              <w:top w:val="single" w:sz="4" w:space="0" w:color="auto"/>
              <w:bottom w:val="single" w:sz="4" w:space="0" w:color="auto"/>
            </w:tcBorders>
          </w:tcPr>
          <w:p w:rsidR="00350169" w:rsidRDefault="00C774A8">
            <w:pPr>
              <w:pStyle w:val="nTable"/>
              <w:spacing w:before="100"/>
              <w:rPr>
                <w:sz w:val="19"/>
              </w:rPr>
            </w:pPr>
            <w:r>
              <w:rPr>
                <w:sz w:val="19"/>
              </w:rPr>
              <w:t xml:space="preserve">30 Jan 2004 (see s. 2 and </w:t>
            </w:r>
            <w:r>
              <w:rPr>
                <w:i/>
                <w:sz w:val="19"/>
              </w:rPr>
              <w:t>Gazette</w:t>
            </w:r>
            <w:r>
              <w:rPr>
                <w:sz w:val="19"/>
              </w:rPr>
              <w:t xml:space="preserve"> 30 Jan 2004 p. 397)</w:t>
            </w:r>
          </w:p>
        </w:tc>
      </w:tr>
    </w:tbl>
    <w:p w:rsidR="00350169" w:rsidRDefault="00C774A8">
      <w:pPr>
        <w:pStyle w:val="nSubsection"/>
        <w:keepNext/>
        <w:spacing w:before="200"/>
        <w:rPr>
          <w:snapToGrid w:val="0"/>
        </w:rPr>
      </w:pPr>
      <w:r>
        <w:rPr>
          <w:snapToGrid w:val="0"/>
          <w:vertAlign w:val="superscript"/>
        </w:rPr>
        <w:t>1a</w:t>
      </w:r>
      <w:r>
        <w:rPr>
          <w:b/>
          <w:snapToGrid w:val="0"/>
        </w:rPr>
        <w:tab/>
      </w:r>
      <w:r>
        <w:rPr>
          <w:snapToGrid w:val="0"/>
        </w:rPr>
        <w:t>On the date as at which this compilation was prepared, provisions referred to in the following table had not come into operation and are not included in this compilation.  For the text of the provisions see the endnote referred to after the short title.</w:t>
      </w:r>
    </w:p>
    <w:p w:rsidR="00350169" w:rsidRDefault="00C774A8">
      <w:pPr>
        <w:pStyle w:val="nHeading3"/>
      </w:pPr>
      <w:bookmarkStart w:id="21" w:name="_Toc511102521"/>
      <w:bookmarkStart w:id="22" w:name="_Toc102796713"/>
      <w:bookmarkStart w:id="23" w:name="_Toc153879397"/>
      <w:bookmarkStart w:id="24" w:name="_Toc162949126"/>
      <w:bookmarkStart w:id="25" w:name="_Toc163011191"/>
      <w:r>
        <w:t>Provisions that have not come into operation</w:t>
      </w:r>
      <w:bookmarkEnd w:id="21"/>
      <w:bookmarkEnd w:id="22"/>
      <w:bookmarkEnd w:id="23"/>
      <w:bookmarkEnd w:id="24"/>
      <w:bookmarkEnd w:id="2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rsidR="00350169">
        <w:trPr>
          <w:cantSplit/>
          <w:tblHeader/>
        </w:trPr>
        <w:tc>
          <w:tcPr>
            <w:tcW w:w="2268" w:type="dxa"/>
            <w:tcBorders>
              <w:top w:val="single" w:sz="8" w:space="0" w:color="auto"/>
              <w:bottom w:val="single" w:sz="8" w:space="0" w:color="auto"/>
            </w:tcBorders>
          </w:tcPr>
          <w:p w:rsidR="00350169" w:rsidRDefault="00C774A8">
            <w:pPr>
              <w:pStyle w:val="nTable"/>
              <w:keepNext/>
              <w:spacing w:before="60" w:after="60"/>
              <w:ind w:right="113"/>
              <w:rPr>
                <w:b/>
              </w:rPr>
            </w:pPr>
            <w:r>
              <w:rPr>
                <w:b/>
              </w:rPr>
              <w:t>Short title</w:t>
            </w:r>
          </w:p>
        </w:tc>
        <w:tc>
          <w:tcPr>
            <w:tcW w:w="1134" w:type="dxa"/>
            <w:tcBorders>
              <w:top w:val="single" w:sz="8" w:space="0" w:color="auto"/>
              <w:bottom w:val="single" w:sz="8" w:space="0" w:color="auto"/>
            </w:tcBorders>
          </w:tcPr>
          <w:p w:rsidR="00350169" w:rsidRDefault="00C774A8">
            <w:pPr>
              <w:pStyle w:val="nTable"/>
              <w:keepNext/>
              <w:spacing w:before="60" w:after="60"/>
              <w:rPr>
                <w:b/>
              </w:rPr>
            </w:pPr>
            <w:r>
              <w:rPr>
                <w:b/>
              </w:rPr>
              <w:t>Number and year</w:t>
            </w:r>
          </w:p>
        </w:tc>
        <w:tc>
          <w:tcPr>
            <w:tcW w:w="1134" w:type="dxa"/>
            <w:tcBorders>
              <w:top w:val="single" w:sz="8" w:space="0" w:color="auto"/>
              <w:bottom w:val="single" w:sz="8" w:space="0" w:color="auto"/>
            </w:tcBorders>
          </w:tcPr>
          <w:p w:rsidR="00350169" w:rsidRDefault="00C774A8">
            <w:pPr>
              <w:pStyle w:val="nTable"/>
              <w:keepNext/>
              <w:spacing w:before="60" w:after="60"/>
              <w:rPr>
                <w:b/>
              </w:rPr>
            </w:pPr>
            <w:r>
              <w:rPr>
                <w:b/>
              </w:rPr>
              <w:t>Assent</w:t>
            </w:r>
          </w:p>
        </w:tc>
        <w:tc>
          <w:tcPr>
            <w:tcW w:w="2580" w:type="dxa"/>
            <w:tcBorders>
              <w:top w:val="single" w:sz="8" w:space="0" w:color="auto"/>
              <w:bottom w:val="single" w:sz="8" w:space="0" w:color="auto"/>
            </w:tcBorders>
          </w:tcPr>
          <w:p w:rsidR="00350169" w:rsidRDefault="00C774A8">
            <w:pPr>
              <w:pStyle w:val="nTable"/>
              <w:keepNext/>
              <w:spacing w:before="60" w:after="60"/>
              <w:rPr>
                <w:b/>
              </w:rPr>
            </w:pPr>
            <w:r>
              <w:rPr>
                <w:b/>
              </w:rPr>
              <w:t>Commencement</w:t>
            </w:r>
          </w:p>
        </w:tc>
      </w:tr>
      <w:tr w:rsidR="00350169">
        <w:trPr>
          <w:cantSplit/>
        </w:trPr>
        <w:tc>
          <w:tcPr>
            <w:tcW w:w="2268" w:type="dxa"/>
            <w:tcBorders>
              <w:bottom w:val="single" w:sz="8" w:space="0" w:color="auto"/>
            </w:tcBorders>
          </w:tcPr>
          <w:p w:rsidR="00350169" w:rsidRDefault="00C774A8">
            <w:pPr>
              <w:pStyle w:val="nTable"/>
              <w:spacing w:before="120"/>
              <w:ind w:right="113"/>
              <w:rPr>
                <w:iCs/>
                <w:snapToGrid w:val="0"/>
                <w:sz w:val="19"/>
              </w:rPr>
            </w:pPr>
            <w:r>
              <w:rPr>
                <w:i/>
                <w:snapToGrid w:val="0"/>
                <w:sz w:val="19"/>
              </w:rPr>
              <w:t>Racing and Wagering Western Australia Tax Amendment Act 2007</w:t>
            </w:r>
            <w:r>
              <w:rPr>
                <w:iCs/>
                <w:snapToGrid w:val="0"/>
                <w:sz w:val="19"/>
              </w:rPr>
              <w:t xml:space="preserve"> s. 4 and 5 </w:t>
            </w:r>
            <w:r>
              <w:rPr>
                <w:iCs/>
                <w:snapToGrid w:val="0"/>
                <w:sz w:val="19"/>
                <w:vertAlign w:val="superscript"/>
              </w:rPr>
              <w:t>2</w:t>
            </w:r>
          </w:p>
        </w:tc>
        <w:tc>
          <w:tcPr>
            <w:tcW w:w="1134" w:type="dxa"/>
            <w:tcBorders>
              <w:bottom w:val="single" w:sz="8" w:space="0" w:color="auto"/>
            </w:tcBorders>
          </w:tcPr>
          <w:p w:rsidR="00350169" w:rsidRDefault="00C774A8">
            <w:pPr>
              <w:pStyle w:val="nTable"/>
              <w:keepNext/>
              <w:spacing w:before="120"/>
              <w:rPr>
                <w:sz w:val="19"/>
              </w:rPr>
            </w:pPr>
            <w:r>
              <w:rPr>
                <w:sz w:val="19"/>
              </w:rPr>
              <w:t>3 of 2007</w:t>
            </w:r>
          </w:p>
        </w:tc>
        <w:tc>
          <w:tcPr>
            <w:tcW w:w="1134" w:type="dxa"/>
            <w:tcBorders>
              <w:bottom w:val="single" w:sz="8" w:space="0" w:color="auto"/>
            </w:tcBorders>
          </w:tcPr>
          <w:p w:rsidR="00350169" w:rsidRDefault="00C774A8">
            <w:pPr>
              <w:pStyle w:val="nTable"/>
              <w:keepNext/>
              <w:spacing w:before="120"/>
              <w:rPr>
                <w:sz w:val="19"/>
              </w:rPr>
            </w:pPr>
            <w:r>
              <w:rPr>
                <w:sz w:val="19"/>
              </w:rPr>
              <w:t>28 Mar 2007</w:t>
            </w:r>
          </w:p>
        </w:tc>
        <w:tc>
          <w:tcPr>
            <w:tcW w:w="2580" w:type="dxa"/>
            <w:tcBorders>
              <w:bottom w:val="single" w:sz="8" w:space="0" w:color="auto"/>
            </w:tcBorders>
          </w:tcPr>
          <w:p w:rsidR="00350169" w:rsidRDefault="00C774A8">
            <w:pPr>
              <w:pStyle w:val="nTable"/>
              <w:keepNext/>
              <w:spacing w:before="120"/>
              <w:rPr>
                <w:snapToGrid w:val="0"/>
                <w:sz w:val="19"/>
                <w:lang w:val="en-US"/>
              </w:rPr>
            </w:pPr>
            <w:r>
              <w:rPr>
                <w:snapToGrid w:val="0"/>
                <w:sz w:val="19"/>
                <w:lang w:val="en-US"/>
              </w:rPr>
              <w:t>1 Jul 2007 (see s. 2)</w:t>
            </w:r>
          </w:p>
        </w:tc>
      </w:tr>
    </w:tbl>
    <w:p w:rsidR="00350169" w:rsidRDefault="00C774A8">
      <w:pPr>
        <w:pStyle w:val="nSubsection"/>
      </w:pPr>
      <w:bookmarkStart w:id="26" w:name="UpToHere"/>
      <w:bookmarkEnd w:id="26"/>
      <w:r>
        <w:rPr>
          <w:vertAlign w:val="superscript"/>
        </w:rPr>
        <w:t>2</w:t>
      </w:r>
      <w:r>
        <w:tab/>
        <w:t xml:space="preserve">On the date as at which this compilation was prepared, the </w:t>
      </w:r>
      <w:r>
        <w:rPr>
          <w:i/>
          <w:snapToGrid w:val="0"/>
        </w:rPr>
        <w:t>Racing and Wagering Western Australia Tax Amendment Act 2007</w:t>
      </w:r>
      <w:r>
        <w:rPr>
          <w:iCs/>
          <w:snapToGrid w:val="0"/>
        </w:rPr>
        <w:t xml:space="preserve"> s. 4 and 5</w:t>
      </w:r>
      <w:r>
        <w:t xml:space="preserve"> had not come into operation.  They read as follows:</w:t>
      </w:r>
    </w:p>
    <w:p w:rsidR="00350169" w:rsidRDefault="00C774A8">
      <w:pPr>
        <w:pStyle w:val="MiscOpen"/>
      </w:pPr>
      <w:r>
        <w:t>“</w:t>
      </w:r>
    </w:p>
    <w:p w:rsidR="00350169" w:rsidRDefault="00C774A8">
      <w:pPr>
        <w:pStyle w:val="nzHeading5"/>
      </w:pPr>
      <w:bookmarkStart w:id="27" w:name="_Toc143581025"/>
      <w:bookmarkStart w:id="28" w:name="_Toc162412038"/>
      <w:bookmarkStart w:id="29" w:name="_Toc162943542"/>
      <w:bookmarkStart w:id="30" w:name="_Toc162950014"/>
      <w:r>
        <w:rPr>
          <w:rStyle w:val="CharSectno"/>
        </w:rPr>
        <w:t>4</w:t>
      </w:r>
      <w:r>
        <w:t>.</w:t>
      </w:r>
      <w:r>
        <w:tab/>
        <w:t>Section 3 amended</w:t>
      </w:r>
      <w:bookmarkEnd w:id="27"/>
      <w:bookmarkEnd w:id="28"/>
      <w:bookmarkEnd w:id="29"/>
      <w:bookmarkEnd w:id="30"/>
    </w:p>
    <w:p w:rsidR="00350169" w:rsidRDefault="00C774A8">
      <w:pPr>
        <w:pStyle w:val="nzSubsection"/>
      </w:pPr>
      <w:r>
        <w:tab/>
      </w:r>
      <w:r>
        <w:tab/>
        <w:t xml:space="preserve">Section 3 is amended after the definition of “fixed odds wager” by inserting — </w:t>
      </w:r>
    </w:p>
    <w:p w:rsidR="00350169" w:rsidRDefault="00C774A8">
      <w:pPr>
        <w:pStyle w:val="MiscOpen"/>
        <w:ind w:left="880"/>
      </w:pPr>
      <w:r>
        <w:t xml:space="preserve">“    </w:t>
      </w:r>
    </w:p>
    <w:p w:rsidR="00350169" w:rsidRDefault="00C774A8">
      <w:pPr>
        <w:pStyle w:val="nzDefstart"/>
      </w:pPr>
      <w:r>
        <w:rPr>
          <w:b/>
        </w:rPr>
        <w:tab/>
        <w:t>“</w:t>
      </w:r>
      <w:r>
        <w:rPr>
          <w:rStyle w:val="CharDefText"/>
        </w:rPr>
        <w:t>gross revenue</w:t>
      </w:r>
      <w:r>
        <w:rPr>
          <w:b/>
        </w:rPr>
        <w:t>”</w:t>
      </w:r>
      <w:r>
        <w:rPr>
          <w:bCs/>
        </w:rPr>
        <w:t>, in relation to off</w:t>
      </w:r>
      <w:r>
        <w:rPr>
          <w:bCs/>
        </w:rPr>
        <w:noBreakHyphen/>
        <w:t>course racing wagers,</w:t>
      </w:r>
      <w:r>
        <w:t xml:space="preserve"> means the amount equal to A minus B, where — </w:t>
      </w:r>
    </w:p>
    <w:p w:rsidR="00350169" w:rsidRDefault="00C774A8">
      <w:pPr>
        <w:pStyle w:val="nzDefpara"/>
      </w:pPr>
      <w:r>
        <w:tab/>
        <w:t>(a)</w:t>
      </w:r>
      <w:r>
        <w:tab/>
      </w:r>
      <w:r>
        <w:rPr>
          <w:b/>
        </w:rPr>
        <w:t>“</w:t>
      </w:r>
      <w:r>
        <w:rPr>
          <w:rStyle w:val="CharDefText"/>
        </w:rPr>
        <w:t>A</w:t>
      </w:r>
      <w:r>
        <w:rPr>
          <w:b/>
        </w:rPr>
        <w:t>”</w:t>
      </w:r>
      <w:r>
        <w:t xml:space="preserve"> is the amount of all moneys paid to RWWA in respect of those wagers; and</w:t>
      </w:r>
    </w:p>
    <w:p w:rsidR="00350169" w:rsidRDefault="00C774A8">
      <w:pPr>
        <w:pStyle w:val="nzDefpara"/>
      </w:pPr>
      <w:r>
        <w:tab/>
        <w:t>(b)</w:t>
      </w:r>
      <w:r>
        <w:tab/>
      </w:r>
      <w:r>
        <w:rPr>
          <w:b/>
        </w:rPr>
        <w:t>“</w:t>
      </w:r>
      <w:r>
        <w:rPr>
          <w:rStyle w:val="CharDefText"/>
        </w:rPr>
        <w:t>B</w:t>
      </w:r>
      <w:r>
        <w:rPr>
          <w:b/>
        </w:rPr>
        <w:t>”</w:t>
      </w:r>
      <w:r>
        <w:t xml:space="preserve"> is the amount of all moneys paid by RWWA by way of winnings in respect of those wagers;</w:t>
      </w:r>
    </w:p>
    <w:p w:rsidR="00350169" w:rsidRDefault="00C774A8">
      <w:pPr>
        <w:pStyle w:val="nzDefstart"/>
      </w:pPr>
      <w:r>
        <w:rPr>
          <w:b/>
        </w:rPr>
        <w:tab/>
        <w:t>“</w:t>
      </w:r>
      <w:r>
        <w:rPr>
          <w:rStyle w:val="CharDefText"/>
        </w:rPr>
        <w:t>off</w:t>
      </w:r>
      <w:r>
        <w:rPr>
          <w:rStyle w:val="CharDefText"/>
        </w:rPr>
        <w:noBreakHyphen/>
        <w:t>course racing wager</w:t>
      </w:r>
      <w:r>
        <w:rPr>
          <w:b/>
        </w:rPr>
        <w:t>”</w:t>
      </w:r>
      <w:r>
        <w:t xml:space="preserve"> has the same meaning as in the RWWA Act section 102;</w:t>
      </w:r>
    </w:p>
    <w:p w:rsidR="00350169" w:rsidRDefault="00C774A8">
      <w:pPr>
        <w:pStyle w:val="MiscClose"/>
        <w:ind w:right="150"/>
      </w:pPr>
      <w:r>
        <w:t xml:space="preserve">    ”.</w:t>
      </w:r>
    </w:p>
    <w:p w:rsidR="00350169" w:rsidRDefault="00C774A8">
      <w:pPr>
        <w:pStyle w:val="nzHeading5"/>
      </w:pPr>
      <w:bookmarkStart w:id="31" w:name="_Toc143581026"/>
      <w:bookmarkStart w:id="32" w:name="_Toc162412039"/>
      <w:bookmarkStart w:id="33" w:name="_Toc162943543"/>
      <w:bookmarkStart w:id="34" w:name="_Toc162950015"/>
      <w:r>
        <w:rPr>
          <w:rStyle w:val="CharSectno"/>
        </w:rPr>
        <w:t>5</w:t>
      </w:r>
      <w:r>
        <w:t>.</w:t>
      </w:r>
      <w:r>
        <w:tab/>
        <w:t>Section 4 amended</w:t>
      </w:r>
      <w:bookmarkEnd w:id="31"/>
      <w:bookmarkEnd w:id="32"/>
      <w:bookmarkEnd w:id="33"/>
      <w:bookmarkEnd w:id="34"/>
    </w:p>
    <w:p w:rsidR="00350169" w:rsidRDefault="00C774A8">
      <w:pPr>
        <w:pStyle w:val="nzSubsection"/>
      </w:pPr>
      <w:r>
        <w:tab/>
        <w:t>(1)</w:t>
      </w:r>
      <w:r>
        <w:tab/>
        <w:t xml:space="preserve">Section 4 is amended by deleting “The” and inserting instead — </w:t>
      </w:r>
    </w:p>
    <w:p w:rsidR="00350169" w:rsidRDefault="00C774A8">
      <w:pPr>
        <w:pStyle w:val="MiscOpen"/>
        <w:ind w:left="600"/>
      </w:pPr>
      <w:r>
        <w:t xml:space="preserve">“    </w:t>
      </w:r>
    </w:p>
    <w:p w:rsidR="00350169" w:rsidRDefault="00C774A8">
      <w:pPr>
        <w:pStyle w:val="nzSubsection"/>
        <w:ind w:right="150"/>
      </w:pPr>
      <w:r>
        <w:tab/>
        <w:t>(1)</w:t>
      </w:r>
      <w:r>
        <w:tab/>
        <w:t>Subject to subsection (2), the</w:t>
      </w:r>
    </w:p>
    <w:p w:rsidR="00350169" w:rsidRDefault="00C774A8">
      <w:pPr>
        <w:pStyle w:val="MiscClose"/>
        <w:ind w:right="150"/>
      </w:pPr>
      <w:r>
        <w:t xml:space="preserve">    ”.</w:t>
      </w:r>
    </w:p>
    <w:p w:rsidR="00350169" w:rsidRDefault="00C774A8">
      <w:pPr>
        <w:pStyle w:val="nzSubsection"/>
      </w:pPr>
      <w:r>
        <w:tab/>
        <w:t>(2)</w:t>
      </w:r>
      <w:r>
        <w:tab/>
        <w:t xml:space="preserve">At the end of section 4 the following subsection is inserted — </w:t>
      </w:r>
    </w:p>
    <w:p w:rsidR="00350169" w:rsidRDefault="00C774A8">
      <w:pPr>
        <w:pStyle w:val="MiscOpen"/>
        <w:ind w:left="600"/>
      </w:pPr>
      <w:r>
        <w:t xml:space="preserve">“    </w:t>
      </w:r>
    </w:p>
    <w:p w:rsidR="00350169" w:rsidRDefault="00C774A8">
      <w:pPr>
        <w:pStyle w:val="nzSubsection"/>
      </w:pPr>
      <w:r>
        <w:tab/>
        <w:t>(2)</w:t>
      </w:r>
      <w:r>
        <w:tab/>
        <w:t>The rate of tax imposed by this Act and payable under the RWWA Act in relation to off</w:t>
      </w:r>
      <w:r>
        <w:noBreakHyphen/>
        <w:t>course racing wagers is 11.91% of the gross revenue received by RWWA in respect of those wagers.</w:t>
      </w:r>
    </w:p>
    <w:p w:rsidR="00350169" w:rsidRDefault="00C774A8">
      <w:pPr>
        <w:pStyle w:val="MiscClose"/>
        <w:ind w:right="150"/>
      </w:pPr>
      <w:r>
        <w:t xml:space="preserve">    ”.</w:t>
      </w:r>
    </w:p>
    <w:p w:rsidR="00350169" w:rsidRDefault="00C774A8">
      <w:pPr>
        <w:pStyle w:val="MiscClose"/>
      </w:pPr>
      <w:r>
        <w:t>”.</w:t>
      </w:r>
    </w:p>
    <w:p w:rsidR="00350169" w:rsidRDefault="00350169">
      <w:pPr>
        <w:sectPr w:rsidR="00350169">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350169" w:rsidRDefault="00350169"/>
    <w:sectPr w:rsidR="00350169">
      <w:headerReference w:type="even" r:id="rId28"/>
      <w:headerReference w:type="default" r:id="rId29"/>
      <w:headerReference w:type="firs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169" w:rsidRDefault="00C774A8">
      <w:pPr>
        <w:rPr>
          <w:b/>
          <w:sz w:val="28"/>
        </w:rPr>
      </w:pPr>
      <w:r>
        <w:rPr>
          <w:b/>
          <w:sz w:val="28"/>
        </w:rPr>
        <w:t>Endnotes</w:t>
      </w:r>
    </w:p>
    <w:p w:rsidR="00350169" w:rsidRDefault="00C774A8">
      <w:pPr>
        <w:spacing w:after="240"/>
        <w:rPr>
          <w:rFonts w:ascii="Times" w:hAnsi="Times"/>
          <w:sz w:val="18"/>
        </w:rPr>
      </w:pPr>
      <w:r>
        <w:rPr>
          <w:sz w:val="20"/>
        </w:rPr>
        <w:t>[For ease of reference detach these notes and read them alongside the draft.]</w:t>
      </w:r>
    </w:p>
  </w:endnote>
  <w:endnote w:type="continuationSeparator" w:id="0">
    <w:p w:rsidR="00350169" w:rsidRDefault="00350169">
      <w:pPr>
        <w:pStyle w:val="Footer"/>
      </w:pPr>
    </w:p>
  </w:endnote>
  <w:endnote w:type="continuationNotice" w:id="1">
    <w:p w:rsidR="00350169" w:rsidRDefault="0035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p>
  <w:p w:rsidR="00350169" w:rsidRDefault="00C774A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50169" w:rsidRDefault="00C774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350169" w:rsidRDefault="00C774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p>
  <w:p w:rsidR="00350169" w:rsidRDefault="00C774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50169" w:rsidRDefault="00C774A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10FD0">
      <w:rPr>
        <w:rStyle w:val="PageNumber"/>
        <w:rFonts w:ascii="Arial" w:hAnsi="Arial" w:cs="Arial"/>
        <w:noProof/>
      </w:rPr>
      <w:t>i</w:t>
    </w:r>
    <w:r>
      <w:rPr>
        <w:rStyle w:val="PageNumber"/>
        <w:rFonts w:ascii="Arial" w:hAnsi="Arial" w:cs="Arial"/>
      </w:rPr>
      <w:fldChar w:fldCharType="end"/>
    </w:r>
  </w:p>
  <w:p w:rsidR="00350169" w:rsidRDefault="00C774A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FD0">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rsidR="00350169" w:rsidRDefault="00C774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FD0">
      <w:rPr>
        <w:rStyle w:val="CharPageNo"/>
        <w:rFonts w:ascii="Arial" w:hAnsi="Arial"/>
        <w:noProof/>
      </w:rPr>
      <w:t>3</w:t>
    </w:r>
    <w:r>
      <w:rPr>
        <w:rStyle w:val="CharPageNo"/>
        <w:rFonts w:ascii="Arial" w:hAnsi="Arial"/>
      </w:rPr>
      <w:fldChar w:fldCharType="end"/>
    </w:r>
  </w:p>
  <w:p w:rsidR="00350169" w:rsidRDefault="00C774A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Footer"/>
      <w:tabs>
        <w:tab w:val="clear" w:pos="4153"/>
        <w:tab w:val="right" w:pos="7088"/>
      </w:tabs>
      <w:rPr>
        <w:rStyle w:val="PageNumber"/>
      </w:rPr>
    </w:pPr>
  </w:p>
  <w:p w:rsidR="00350169" w:rsidRDefault="00C774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10FD0">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10FD0">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10FD0">
      <w:rPr>
        <w:rStyle w:val="CharPageNo"/>
        <w:rFonts w:ascii="Arial" w:hAnsi="Arial"/>
        <w:noProof/>
      </w:rPr>
      <w:t>1</w:t>
    </w:r>
    <w:r>
      <w:rPr>
        <w:rStyle w:val="CharPageNo"/>
        <w:rFonts w:ascii="Arial" w:hAnsi="Arial"/>
      </w:rPr>
      <w:fldChar w:fldCharType="end"/>
    </w:r>
  </w:p>
  <w:p w:rsidR="00350169" w:rsidRDefault="00C774A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169" w:rsidRDefault="00C774A8">
      <w:r>
        <w:separator/>
      </w:r>
    </w:p>
  </w:footnote>
  <w:footnote w:type="continuationSeparator" w:id="0">
    <w:p w:rsidR="00350169" w:rsidRDefault="00C77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C774A8">
    <w:pPr>
      <w:pStyle w:val="headerpartodd"/>
      <w:ind w:left="0" w:firstLine="0"/>
      <w:rPr>
        <w:i/>
      </w:rPr>
    </w:pPr>
    <w:r>
      <w:rPr>
        <w:i/>
      </w:rPr>
      <w:fldChar w:fldCharType="begin"/>
    </w:r>
    <w:r>
      <w:rPr>
        <w:i/>
      </w:rPr>
      <w:instrText xml:space="preserve"> Styleref "Name of Act/Reg" </w:instrText>
    </w:r>
    <w:r>
      <w:rPr>
        <w:i/>
      </w:rPr>
      <w:fldChar w:fldCharType="separate"/>
    </w:r>
    <w:r w:rsidR="00110FD0">
      <w:rPr>
        <w:i/>
        <w:noProof/>
      </w:rPr>
      <w:t>Racing and Wagering Western Australia Tax Act 2003</w:t>
    </w:r>
    <w:r>
      <w:rPr>
        <w:i/>
      </w:rPr>
      <w:fldChar w:fldCharType="end"/>
    </w:r>
  </w:p>
  <w:p w:rsidR="00350169" w:rsidRDefault="00C774A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50169" w:rsidRDefault="00C774A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50169" w:rsidRDefault="00350169">
    <w:pPr>
      <w:pStyle w:val="headerpart"/>
    </w:pPr>
  </w:p>
  <w:p w:rsidR="00350169" w:rsidRDefault="00350169">
    <w:pPr>
      <w:pBdr>
        <w:bottom w:val="single" w:sz="6" w:space="1" w:color="auto"/>
      </w:pBdr>
      <w:rPr>
        <w:b/>
      </w:rPr>
    </w:pPr>
  </w:p>
  <w:p w:rsidR="00350169" w:rsidRDefault="003501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50169">
      <w:trPr>
        <w:cantSplit/>
      </w:trPr>
      <w:tc>
        <w:tcPr>
          <w:tcW w:w="7160" w:type="dxa"/>
          <w:gridSpan w:val="2"/>
        </w:tcPr>
        <w:p w:rsidR="00350169" w:rsidRDefault="00C774A8">
          <w:pPr>
            <w:pStyle w:val="HeaderActNameRight"/>
          </w:pPr>
          <w:fldSimple w:instr=" Styleref &quot;Name of Act/Reg&quot; ">
            <w:r w:rsidR="00110FD0">
              <w:rPr>
                <w:noProof/>
              </w:rPr>
              <w:t>Racing and Wagering Western Australia Tax Act 2003</w:t>
            </w:r>
          </w:fldSimple>
        </w:p>
      </w:tc>
    </w:tr>
    <w:tr w:rsidR="00350169">
      <w:tc>
        <w:tcPr>
          <w:tcW w:w="5760" w:type="dxa"/>
        </w:tcPr>
        <w:p w:rsidR="00350169" w:rsidRDefault="00350169">
          <w:pPr>
            <w:pStyle w:val="HeaderTextRight"/>
          </w:pPr>
        </w:p>
      </w:tc>
      <w:tc>
        <w:tcPr>
          <w:tcW w:w="1400" w:type="dxa"/>
        </w:tcPr>
        <w:p w:rsidR="00350169" w:rsidRDefault="00350169">
          <w:pPr>
            <w:pStyle w:val="HeaderNumberRight"/>
          </w:pPr>
        </w:p>
      </w:tc>
    </w:tr>
    <w:tr w:rsidR="00350169">
      <w:tc>
        <w:tcPr>
          <w:tcW w:w="5760" w:type="dxa"/>
        </w:tcPr>
        <w:p w:rsidR="00350169" w:rsidRDefault="00350169">
          <w:pPr>
            <w:pStyle w:val="HeaderTextRight"/>
          </w:pPr>
        </w:p>
      </w:tc>
      <w:tc>
        <w:tcPr>
          <w:tcW w:w="1400" w:type="dxa"/>
        </w:tcPr>
        <w:p w:rsidR="00350169" w:rsidRDefault="00350169">
          <w:pPr>
            <w:pStyle w:val="HeaderNumberRight"/>
          </w:pPr>
        </w:p>
      </w:tc>
    </w:tr>
    <w:tr w:rsidR="00350169">
      <w:trPr>
        <w:cantSplit/>
      </w:trPr>
      <w:tc>
        <w:tcPr>
          <w:tcW w:w="7160" w:type="dxa"/>
          <w:gridSpan w:val="2"/>
        </w:tcPr>
        <w:p w:rsidR="00350169" w:rsidRDefault="00350169">
          <w:pPr>
            <w:pStyle w:val="HeaderSectionRight"/>
          </w:pPr>
        </w:p>
      </w:tc>
    </w:tr>
  </w:tbl>
  <w:p w:rsidR="00350169" w:rsidRDefault="0035016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C774A8">
    <w:pPr>
      <w:pStyle w:val="headerpartodd"/>
      <w:ind w:left="0" w:firstLine="0"/>
      <w:rPr>
        <w:i/>
      </w:rPr>
    </w:pPr>
    <w:r>
      <w:rPr>
        <w:i/>
      </w:rPr>
      <w:fldChar w:fldCharType="begin"/>
    </w:r>
    <w:r>
      <w:rPr>
        <w:i/>
      </w:rPr>
      <w:instrText xml:space="preserve"> Styleref "Name of Act/Reg" </w:instrText>
    </w:r>
    <w:r>
      <w:rPr>
        <w:i/>
      </w:rPr>
      <w:fldChar w:fldCharType="separate"/>
    </w:r>
    <w:r w:rsidR="00110FD0">
      <w:rPr>
        <w:i/>
        <w:noProof/>
      </w:rPr>
      <w:t>Racing and Wagering Western Australia Tax Act 2003</w:t>
    </w:r>
    <w:r>
      <w:rPr>
        <w:i/>
      </w:rPr>
      <w:fldChar w:fldCharType="end"/>
    </w:r>
  </w:p>
  <w:p w:rsidR="00350169" w:rsidRDefault="00350169">
    <w:pPr>
      <w:pStyle w:val="headerpartodd"/>
      <w:ind w:left="0" w:firstLine="0"/>
      <w:rPr>
        <w:b w:val="0"/>
        <w:i/>
      </w:rPr>
    </w:pPr>
  </w:p>
  <w:p w:rsidR="00350169" w:rsidRDefault="00350169">
    <w:pPr>
      <w:pStyle w:val="headerpart"/>
    </w:pPr>
  </w:p>
  <w:p w:rsidR="00350169" w:rsidRDefault="00350169">
    <w:pPr>
      <w:pStyle w:val="headerpart"/>
    </w:pPr>
  </w:p>
  <w:p w:rsidR="00350169" w:rsidRDefault="00350169">
    <w:pPr>
      <w:pBdr>
        <w:bottom w:val="single" w:sz="6" w:space="1" w:color="auto"/>
      </w:pBdr>
      <w:rPr>
        <w:b/>
      </w:rPr>
    </w:pPr>
  </w:p>
  <w:p w:rsidR="00350169" w:rsidRDefault="0035016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C774A8">
    <w:pPr>
      <w:pStyle w:val="headerpartodd"/>
      <w:ind w:left="0" w:firstLine="0"/>
      <w:jc w:val="right"/>
      <w:rPr>
        <w:i/>
      </w:rPr>
    </w:pPr>
    <w:r>
      <w:rPr>
        <w:i/>
      </w:rPr>
      <w:fldChar w:fldCharType="begin"/>
    </w:r>
    <w:r>
      <w:rPr>
        <w:i/>
      </w:rPr>
      <w:instrText xml:space="preserve"> Styleref "Name of Act/Reg" </w:instrText>
    </w:r>
    <w:r>
      <w:rPr>
        <w:i/>
      </w:rPr>
      <w:fldChar w:fldCharType="separate"/>
    </w:r>
    <w:r w:rsidR="00110FD0">
      <w:rPr>
        <w:i/>
        <w:noProof/>
      </w:rPr>
      <w:t>Racing and Wagering Western Australia Tax Act 2003</w:t>
    </w:r>
    <w:r>
      <w:rPr>
        <w:i/>
      </w:rPr>
      <w:fldChar w:fldCharType="end"/>
    </w:r>
  </w:p>
  <w:p w:rsidR="00350169" w:rsidRDefault="00350169">
    <w:pPr>
      <w:pStyle w:val="headerpartodd"/>
      <w:ind w:left="0" w:firstLine="0"/>
      <w:jc w:val="right"/>
      <w:rPr>
        <w:b w:val="0"/>
        <w:i/>
      </w:rPr>
    </w:pPr>
  </w:p>
  <w:p w:rsidR="00350169" w:rsidRDefault="00350169">
    <w:pPr>
      <w:pStyle w:val="headerpart"/>
      <w:jc w:val="right"/>
    </w:pPr>
  </w:p>
  <w:p w:rsidR="00350169" w:rsidRDefault="00350169">
    <w:pPr>
      <w:pStyle w:val="headerpart"/>
      <w:jc w:val="right"/>
    </w:pPr>
  </w:p>
  <w:p w:rsidR="00350169" w:rsidRDefault="00350169">
    <w:pPr>
      <w:pBdr>
        <w:bottom w:val="single" w:sz="6" w:space="1" w:color="auto"/>
      </w:pBdr>
      <w:jc w:val="right"/>
      <w:rPr>
        <w:b/>
      </w:rPr>
    </w:pPr>
  </w:p>
  <w:p w:rsidR="00350169" w:rsidRDefault="00350169">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0169">
      <w:trPr>
        <w:cantSplit/>
      </w:trPr>
      <w:tc>
        <w:tcPr>
          <w:tcW w:w="7258" w:type="dxa"/>
          <w:gridSpan w:val="2"/>
        </w:tcPr>
        <w:p w:rsidR="00350169" w:rsidRDefault="00C774A8">
          <w:pPr>
            <w:pStyle w:val="HeaderActNameLeft"/>
          </w:pPr>
          <w:fldSimple w:instr=" Styleref &quot;Name of Act/Reg&quot; ">
            <w:r w:rsidR="00110FD0">
              <w:rPr>
                <w:noProof/>
              </w:rPr>
              <w:t>Racing and Wagering Western Australia Tax Act 2003</w:t>
            </w:r>
          </w:fldSimple>
        </w:p>
      </w:tc>
    </w:tr>
    <w:tr w:rsidR="00350169">
      <w:tc>
        <w:tcPr>
          <w:tcW w:w="1548" w:type="dxa"/>
        </w:tcPr>
        <w:p w:rsidR="00350169" w:rsidRDefault="00350169">
          <w:pPr>
            <w:pStyle w:val="HeaderNumberLeft"/>
          </w:pPr>
        </w:p>
      </w:tc>
      <w:tc>
        <w:tcPr>
          <w:tcW w:w="5715" w:type="dxa"/>
        </w:tcPr>
        <w:p w:rsidR="00350169" w:rsidRDefault="00350169">
          <w:pPr>
            <w:pStyle w:val="HeaderTextLeft"/>
          </w:pPr>
        </w:p>
      </w:tc>
    </w:tr>
    <w:tr w:rsidR="00350169">
      <w:tc>
        <w:tcPr>
          <w:tcW w:w="1548" w:type="dxa"/>
        </w:tcPr>
        <w:p w:rsidR="00350169" w:rsidRDefault="00350169">
          <w:pPr>
            <w:pStyle w:val="HeaderNumberLeft"/>
          </w:pPr>
        </w:p>
      </w:tc>
      <w:tc>
        <w:tcPr>
          <w:tcW w:w="5715" w:type="dxa"/>
        </w:tcPr>
        <w:p w:rsidR="00350169" w:rsidRDefault="00350169">
          <w:pPr>
            <w:pStyle w:val="HeaderTextLeft"/>
          </w:pPr>
        </w:p>
      </w:tc>
    </w:tr>
    <w:tr w:rsidR="00350169">
      <w:trPr>
        <w:cantSplit/>
      </w:trPr>
      <w:tc>
        <w:tcPr>
          <w:tcW w:w="7258" w:type="dxa"/>
          <w:gridSpan w:val="2"/>
        </w:tcPr>
        <w:p w:rsidR="00350169" w:rsidRDefault="00C774A8">
          <w:pPr>
            <w:pStyle w:val="HeaderSectionLeft"/>
            <w:rPr>
              <w:b w:val="0"/>
            </w:rPr>
          </w:pPr>
          <w:r>
            <w:rPr>
              <w:b w:val="0"/>
            </w:rPr>
            <w:t>Contents</w:t>
          </w:r>
        </w:p>
      </w:tc>
    </w:tr>
  </w:tbl>
  <w:p w:rsidR="00350169" w:rsidRDefault="0035016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0169">
      <w:trPr>
        <w:cantSplit/>
      </w:trPr>
      <w:tc>
        <w:tcPr>
          <w:tcW w:w="7258" w:type="dxa"/>
          <w:gridSpan w:val="2"/>
        </w:tcPr>
        <w:p w:rsidR="00350169" w:rsidRDefault="00C774A8">
          <w:pPr>
            <w:pStyle w:val="HeaderActNameRight"/>
            <w:ind w:right="17"/>
          </w:pPr>
          <w:fldSimple w:instr=" Styleref &quot;Name of Act/Reg&quot; ">
            <w:r w:rsidR="00110FD0">
              <w:rPr>
                <w:noProof/>
              </w:rPr>
              <w:t>Racing and Wagering Western Australia Tax Act 2003</w:t>
            </w:r>
          </w:fldSimple>
        </w:p>
      </w:tc>
    </w:tr>
    <w:tr w:rsidR="00350169">
      <w:tc>
        <w:tcPr>
          <w:tcW w:w="5715" w:type="dxa"/>
        </w:tcPr>
        <w:p w:rsidR="00350169" w:rsidRDefault="00350169">
          <w:pPr>
            <w:pStyle w:val="HeaderTextRight"/>
          </w:pPr>
        </w:p>
      </w:tc>
      <w:tc>
        <w:tcPr>
          <w:tcW w:w="1548" w:type="dxa"/>
        </w:tcPr>
        <w:p w:rsidR="00350169" w:rsidRDefault="00350169">
          <w:pPr>
            <w:pStyle w:val="HeaderNumberRight"/>
            <w:ind w:right="17"/>
          </w:pPr>
        </w:p>
      </w:tc>
    </w:tr>
    <w:tr w:rsidR="00350169">
      <w:tc>
        <w:tcPr>
          <w:tcW w:w="5715" w:type="dxa"/>
        </w:tcPr>
        <w:p w:rsidR="00350169" w:rsidRDefault="00350169">
          <w:pPr>
            <w:pStyle w:val="HeaderTextRight"/>
          </w:pPr>
        </w:p>
      </w:tc>
      <w:tc>
        <w:tcPr>
          <w:tcW w:w="1548" w:type="dxa"/>
        </w:tcPr>
        <w:p w:rsidR="00350169" w:rsidRDefault="00350169">
          <w:pPr>
            <w:pStyle w:val="HeaderNumberRight"/>
            <w:ind w:right="17"/>
          </w:pPr>
        </w:p>
      </w:tc>
    </w:tr>
    <w:tr w:rsidR="00350169">
      <w:trPr>
        <w:cantSplit/>
      </w:trPr>
      <w:tc>
        <w:tcPr>
          <w:tcW w:w="7258" w:type="dxa"/>
          <w:gridSpan w:val="2"/>
        </w:tcPr>
        <w:p w:rsidR="00350169" w:rsidRDefault="00C774A8">
          <w:pPr>
            <w:pStyle w:val="HeaderSectionRight"/>
            <w:ind w:right="17"/>
            <w:rPr>
              <w:b w:val="0"/>
            </w:rPr>
          </w:pPr>
          <w:r>
            <w:rPr>
              <w:b w:val="0"/>
            </w:rPr>
            <w:t>Contents</w:t>
          </w:r>
        </w:p>
      </w:tc>
    </w:tr>
  </w:tbl>
  <w:p w:rsidR="00350169" w:rsidRDefault="0035016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50169">
      <w:trPr>
        <w:cantSplit/>
      </w:trPr>
      <w:tc>
        <w:tcPr>
          <w:tcW w:w="7263" w:type="dxa"/>
          <w:gridSpan w:val="2"/>
        </w:tcPr>
        <w:p w:rsidR="00350169" w:rsidRDefault="00C774A8">
          <w:pPr>
            <w:pStyle w:val="HeaderActNameLeft"/>
          </w:pPr>
          <w:fldSimple w:instr=" Styleref &quot;Name of Act/Reg&quot; ">
            <w:r w:rsidR="00110FD0">
              <w:rPr>
                <w:noProof/>
              </w:rPr>
              <w:t>Racing and Wagering Western Australia Tax Act 2003</w:t>
            </w:r>
          </w:fldSimple>
        </w:p>
      </w:tc>
    </w:tr>
    <w:tr w:rsidR="00350169">
      <w:tc>
        <w:tcPr>
          <w:tcW w:w="1548" w:type="dxa"/>
        </w:tcPr>
        <w:p w:rsidR="00350169" w:rsidRDefault="00C774A8">
          <w:pPr>
            <w:pStyle w:val="HeaderNumberLeft"/>
          </w:pPr>
          <w:r>
            <w:fldChar w:fldCharType="begin"/>
          </w:r>
          <w:r>
            <w:instrText xml:space="preserve"> styleref CharPartNo </w:instrText>
          </w:r>
          <w:r>
            <w:fldChar w:fldCharType="end"/>
          </w:r>
        </w:p>
      </w:tc>
      <w:tc>
        <w:tcPr>
          <w:tcW w:w="5715" w:type="dxa"/>
        </w:tcPr>
        <w:p w:rsidR="00350169" w:rsidRDefault="00C774A8">
          <w:pPr>
            <w:pStyle w:val="HeaderTextLeft"/>
          </w:pPr>
          <w:r>
            <w:fldChar w:fldCharType="begin"/>
          </w:r>
          <w:r>
            <w:instrText xml:space="preserve"> styleref CharPartText </w:instrText>
          </w:r>
          <w:r>
            <w:fldChar w:fldCharType="end"/>
          </w:r>
        </w:p>
      </w:tc>
    </w:tr>
    <w:tr w:rsidR="00350169">
      <w:tc>
        <w:tcPr>
          <w:tcW w:w="1548" w:type="dxa"/>
        </w:tcPr>
        <w:p w:rsidR="00350169" w:rsidRDefault="00C774A8">
          <w:pPr>
            <w:pStyle w:val="HeaderNumberLeft"/>
          </w:pPr>
          <w:r>
            <w:fldChar w:fldCharType="begin"/>
          </w:r>
          <w:r>
            <w:instrText xml:space="preserve"> styleref CharDivNo </w:instrText>
          </w:r>
          <w:r>
            <w:fldChar w:fldCharType="end"/>
          </w:r>
        </w:p>
      </w:tc>
      <w:tc>
        <w:tcPr>
          <w:tcW w:w="5715" w:type="dxa"/>
        </w:tcPr>
        <w:p w:rsidR="00350169" w:rsidRDefault="00C774A8">
          <w:pPr>
            <w:pStyle w:val="HeaderTextLeft"/>
          </w:pPr>
          <w:r>
            <w:fldChar w:fldCharType="begin"/>
          </w:r>
          <w:r>
            <w:instrText xml:space="preserve"> styleref CharDivText </w:instrText>
          </w:r>
          <w:r>
            <w:fldChar w:fldCharType="end"/>
          </w:r>
        </w:p>
      </w:tc>
    </w:tr>
    <w:tr w:rsidR="00350169">
      <w:trPr>
        <w:cantSplit/>
      </w:trPr>
      <w:tc>
        <w:tcPr>
          <w:tcW w:w="7263" w:type="dxa"/>
          <w:gridSpan w:val="2"/>
        </w:tcPr>
        <w:p w:rsidR="00350169" w:rsidRDefault="00C774A8">
          <w:pPr>
            <w:pStyle w:val="HeaderSectionLeft"/>
          </w:pPr>
          <w:r>
            <w:t xml:space="preserve">s. </w:t>
          </w:r>
          <w:fldSimple w:instr=" styleref CharSectno ">
            <w:r w:rsidR="00110FD0">
              <w:rPr>
                <w:noProof/>
              </w:rPr>
              <w:t>1</w:t>
            </w:r>
          </w:fldSimple>
        </w:p>
      </w:tc>
    </w:tr>
  </w:tbl>
  <w:p w:rsidR="00350169" w:rsidRDefault="0035016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50169">
      <w:trPr>
        <w:cantSplit/>
      </w:trPr>
      <w:tc>
        <w:tcPr>
          <w:tcW w:w="7258" w:type="dxa"/>
          <w:gridSpan w:val="2"/>
        </w:tcPr>
        <w:p w:rsidR="00350169" w:rsidRDefault="00C774A8">
          <w:pPr>
            <w:pStyle w:val="HeaderActNameRight"/>
            <w:ind w:right="17"/>
          </w:pPr>
          <w:fldSimple w:instr=" Styleref &quot;Name of Act/Reg&quot; ">
            <w:r w:rsidR="00110FD0">
              <w:rPr>
                <w:noProof/>
              </w:rPr>
              <w:t>Racing and Wagering Western Australia Tax Act 2003</w:t>
            </w:r>
          </w:fldSimple>
        </w:p>
      </w:tc>
    </w:tr>
    <w:tr w:rsidR="00350169">
      <w:tc>
        <w:tcPr>
          <w:tcW w:w="5715" w:type="dxa"/>
        </w:tcPr>
        <w:p w:rsidR="00350169" w:rsidRDefault="00C774A8">
          <w:pPr>
            <w:pStyle w:val="HeaderTextRight"/>
          </w:pPr>
          <w:r>
            <w:fldChar w:fldCharType="begin"/>
          </w:r>
          <w:r>
            <w:instrText xml:space="preserve"> styleref CharPartText </w:instrText>
          </w:r>
          <w:r>
            <w:fldChar w:fldCharType="end"/>
          </w:r>
        </w:p>
      </w:tc>
      <w:tc>
        <w:tcPr>
          <w:tcW w:w="1548" w:type="dxa"/>
        </w:tcPr>
        <w:p w:rsidR="00350169" w:rsidRDefault="00C774A8">
          <w:pPr>
            <w:pStyle w:val="HeaderNumberRight"/>
            <w:ind w:right="17"/>
          </w:pPr>
          <w:r>
            <w:fldChar w:fldCharType="begin"/>
          </w:r>
          <w:r>
            <w:instrText xml:space="preserve"> styleref CharPartNo </w:instrText>
          </w:r>
          <w:r>
            <w:fldChar w:fldCharType="end"/>
          </w:r>
        </w:p>
      </w:tc>
    </w:tr>
    <w:tr w:rsidR="00350169">
      <w:tc>
        <w:tcPr>
          <w:tcW w:w="5715" w:type="dxa"/>
        </w:tcPr>
        <w:p w:rsidR="00350169" w:rsidRDefault="00C774A8">
          <w:pPr>
            <w:pStyle w:val="HeaderTextRight"/>
          </w:pPr>
          <w:r>
            <w:fldChar w:fldCharType="begin"/>
          </w:r>
          <w:r>
            <w:instrText xml:space="preserve"> styleref CharDivText </w:instrText>
          </w:r>
          <w:r>
            <w:fldChar w:fldCharType="end"/>
          </w:r>
        </w:p>
      </w:tc>
      <w:tc>
        <w:tcPr>
          <w:tcW w:w="1548" w:type="dxa"/>
        </w:tcPr>
        <w:p w:rsidR="00350169" w:rsidRDefault="00C774A8">
          <w:pPr>
            <w:pStyle w:val="HeaderNumberRight"/>
            <w:ind w:right="17"/>
          </w:pPr>
          <w:r>
            <w:fldChar w:fldCharType="begin"/>
          </w:r>
          <w:r>
            <w:instrText xml:space="preserve"> styleref CharDivNo </w:instrText>
          </w:r>
          <w:r>
            <w:fldChar w:fldCharType="end"/>
          </w:r>
        </w:p>
      </w:tc>
    </w:tr>
    <w:tr w:rsidR="00350169">
      <w:trPr>
        <w:cantSplit/>
      </w:trPr>
      <w:tc>
        <w:tcPr>
          <w:tcW w:w="7258" w:type="dxa"/>
          <w:gridSpan w:val="2"/>
        </w:tcPr>
        <w:p w:rsidR="00350169" w:rsidRDefault="00C774A8">
          <w:pPr>
            <w:pStyle w:val="HeaderSectionRight"/>
            <w:ind w:right="17"/>
          </w:pPr>
          <w:r>
            <w:t xml:space="preserve">s. </w:t>
          </w:r>
          <w:fldSimple w:instr=" styleref CharSectno ">
            <w:r w:rsidR="00110FD0">
              <w:rPr>
                <w:noProof/>
              </w:rPr>
              <w:t>1</w:t>
            </w:r>
          </w:fldSimple>
        </w:p>
      </w:tc>
    </w:tr>
  </w:tbl>
  <w:p w:rsidR="00350169" w:rsidRDefault="0035016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69" w:rsidRDefault="0035016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50169">
      <w:trPr>
        <w:cantSplit/>
      </w:trPr>
      <w:tc>
        <w:tcPr>
          <w:tcW w:w="7160" w:type="dxa"/>
          <w:gridSpan w:val="2"/>
        </w:tcPr>
        <w:p w:rsidR="00350169" w:rsidRDefault="00C774A8">
          <w:pPr>
            <w:pStyle w:val="HeaderActNameLeft"/>
          </w:pPr>
          <w:fldSimple w:instr=" Styleref &quot;Name of Act/Reg&quot; ">
            <w:r w:rsidR="00110FD0">
              <w:rPr>
                <w:noProof/>
              </w:rPr>
              <w:t>Racing and Wagering Western Australia Tax Act 2003</w:t>
            </w:r>
          </w:fldSimple>
        </w:p>
      </w:tc>
    </w:tr>
    <w:tr w:rsidR="00350169">
      <w:tc>
        <w:tcPr>
          <w:tcW w:w="1548" w:type="dxa"/>
        </w:tcPr>
        <w:p w:rsidR="00350169" w:rsidRDefault="00350169">
          <w:pPr>
            <w:pStyle w:val="HeaderNumberLeft"/>
          </w:pPr>
        </w:p>
      </w:tc>
      <w:tc>
        <w:tcPr>
          <w:tcW w:w="5612" w:type="dxa"/>
        </w:tcPr>
        <w:p w:rsidR="00350169" w:rsidRDefault="00350169">
          <w:pPr>
            <w:pStyle w:val="HeaderTextLeft"/>
          </w:pPr>
        </w:p>
      </w:tc>
    </w:tr>
    <w:tr w:rsidR="00350169">
      <w:tc>
        <w:tcPr>
          <w:tcW w:w="1548" w:type="dxa"/>
        </w:tcPr>
        <w:p w:rsidR="00350169" w:rsidRDefault="00350169">
          <w:pPr>
            <w:pStyle w:val="HeaderNumberLeft"/>
          </w:pPr>
        </w:p>
      </w:tc>
      <w:tc>
        <w:tcPr>
          <w:tcW w:w="5612" w:type="dxa"/>
        </w:tcPr>
        <w:p w:rsidR="00350169" w:rsidRDefault="00350169">
          <w:pPr>
            <w:pStyle w:val="HeaderTextLeft"/>
          </w:pPr>
        </w:p>
      </w:tc>
    </w:tr>
    <w:tr w:rsidR="00350169">
      <w:trPr>
        <w:cantSplit/>
      </w:trPr>
      <w:tc>
        <w:tcPr>
          <w:tcW w:w="7160" w:type="dxa"/>
          <w:gridSpan w:val="2"/>
        </w:tcPr>
        <w:p w:rsidR="00350169" w:rsidRDefault="00350169">
          <w:pPr>
            <w:pStyle w:val="HeaderSectionLeft"/>
          </w:pPr>
        </w:p>
      </w:tc>
    </w:tr>
  </w:tbl>
  <w:p w:rsidR="00350169" w:rsidRDefault="0035016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E890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98DA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271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5812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540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4470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85E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FCF2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B08C14"/>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47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1FEC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99082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A8"/>
    <w:rsid w:val="00110FD0"/>
    <w:rsid w:val="00143EA4"/>
    <w:rsid w:val="00350169"/>
    <w:rsid w:val="00C774A8"/>
    <w:rsid w:val="00E15B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3404</Characters>
  <Application>Microsoft Office Word</Application>
  <DocSecurity>0</DocSecurity>
  <Lines>141</Lines>
  <Paragraphs>106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(Bills)</vt:lpstr>
      <vt:lpstr>    Notes</vt:lpstr>
    </vt:vector>
  </TitlesOfParts>
  <Manager/>
  <Company>Parliamentary Counsel's Office</Company>
  <LinksUpToDate>false</LinksUpToDate>
  <CharactersWithSpaces>4059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Tax Act 2003 - 00-b0-02</dc:title>
  <dc:subject>Bills and Amendments</dc:subject>
  <dc:creator>svcMRProcess</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2003-07-31T04:24:00Z</cp:lastPrinted>
  <dcterms:created xsi:type="dcterms:W3CDTF">2013-02-20T05:45:00Z</dcterms:created>
  <dcterms:modified xsi:type="dcterms:W3CDTF">2013-02-20T05:45:00Z</dcterms:modified>
  <cp:category>FB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2003</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6492</vt:i4>
  </property>
  <property fmtid="{D5CDD505-2E9C-101B-9397-08002B2CF9AE}" pid="6" name="AsAtDate">
    <vt:lpwstr>28 Mar 2007</vt:lpwstr>
  </property>
  <property fmtid="{D5CDD505-2E9C-101B-9397-08002B2CF9AE}" pid="7" name="Suffix">
    <vt:lpwstr>00-b0-02</vt:lpwstr>
  </property>
</Properties>
</file>