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Discontinuance Act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Discontinuance Act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_Toc435024191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_Toc435024192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this Act</w:t>
      </w:r>
      <w:r>
        <w:tab/>
      </w:r>
      <w:r>
        <w:fldChar w:fldCharType="begin"/>
      </w:r>
      <w:r>
        <w:instrText xml:space="preserve"> PAGEREF _Toc435024193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Discontinuance of scheduled railways, and incidental matters</w:t>
      </w:r>
      <w:r>
        <w:tab/>
      </w:r>
      <w:r>
        <w:fldChar w:fldCharType="begin"/>
      </w:r>
      <w:r>
        <w:instrText xml:space="preserve"> PAGEREF _Toc435024194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Disposition of land</w:t>
      </w:r>
      <w:r>
        <w:tab/>
      </w:r>
      <w:r>
        <w:fldChar w:fldCharType="begin"/>
      </w:r>
      <w:r>
        <w:instrText xml:space="preserve"> PAGEREF _Toc435024195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Power of Authority to deal with land</w:t>
      </w:r>
      <w:r>
        <w:tab/>
      </w:r>
      <w:r>
        <w:fldChar w:fldCharType="begin"/>
      </w:r>
      <w:r>
        <w:instrText xml:space="preserve"> PAGEREF _Toc435024196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Scheduled land (Fremantle</w:t>
      </w:r>
      <w:r>
        <w:noBreakHyphen/>
        <w:t>Kwinana Railway)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Scheduled land (Midland Junction</w:t>
      </w:r>
      <w:r>
        <w:noBreakHyphen/>
        <w:t>Welshpool Railway)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_Toc435024200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>Railway Discontinuance Act 2006</w:t>
      </w:r>
    </w:p>
    <w:p>
      <w:pPr>
        <w:pStyle w:val="LongTitle"/>
        <w:suppressLineNumbers/>
      </w:pPr>
      <w:r>
        <w:rPr>
          <w:snapToGrid w:val="0"/>
        </w:rPr>
        <w:t xml:space="preserve">An Act to </w:t>
      </w:r>
      <w:r>
        <w:t>provide for the discontinuance of certain portions of railway and to authorise the disposition of certain material and land, and for related purposes.</w:t>
      </w:r>
    </w:p>
    <w:p>
      <w:pPr>
        <w:pStyle w:val="Enactment"/>
      </w:pPr>
      <w:r>
        <w:t>The Parliament of Western Australia enacts as follows:</w:t>
      </w:r>
    </w:p>
    <w:p>
      <w:pPr>
        <w:pStyle w:val="Heading5"/>
        <w:pageBreakBefore/>
        <w:rPr>
          <w:snapToGrid w:val="0"/>
        </w:rPr>
      </w:pPr>
      <w:bookmarkStart w:id="3" w:name="_Toc378668046"/>
      <w:bookmarkStart w:id="4" w:name="_Toc43502419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Railway Discontinuance Act 2006</w:t>
      </w:r>
      <w:r>
        <w:rPr>
          <w:snapToGrid w:val="0"/>
        </w:rPr>
        <w:t xml:space="preserve">. </w:t>
      </w:r>
    </w:p>
    <w:p>
      <w:pPr>
        <w:pStyle w:val="Heading5"/>
      </w:pPr>
      <w:bookmarkStart w:id="5" w:name="_Toc378668047"/>
      <w:bookmarkStart w:id="6" w:name="_Toc435024192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>comes into operation on the day on which it receives the Royal Assent</w:t>
      </w:r>
      <w:r>
        <w:rPr>
          <w:rFonts w:ascii="Times" w:hAnsi="Times"/>
        </w:rPr>
        <w:t>.</w:t>
      </w:r>
    </w:p>
    <w:p>
      <w:pPr>
        <w:pStyle w:val="Heading5"/>
      </w:pPr>
      <w:bookmarkStart w:id="7" w:name="_Toc378668048"/>
      <w:bookmarkStart w:id="8" w:name="_Toc435024193"/>
      <w:r>
        <w:rPr>
          <w:rStyle w:val="CharSectno"/>
        </w:rPr>
        <w:t>3</w:t>
      </w:r>
      <w:r>
        <w:t>.</w:t>
      </w:r>
      <w:r>
        <w:tab/>
        <w:t>Terms used in this Act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Authority</w:t>
      </w:r>
      <w:r>
        <w:t xml:space="preserve"> means the Public Transport Authority of Western Australia established by the </w:t>
      </w:r>
      <w:r>
        <w:rPr>
          <w:i/>
        </w:rPr>
        <w:t>Public Transport Authority Act 2003</w:t>
      </w:r>
      <w:r>
        <w:t xml:space="preserve"> section 5;</w:t>
      </w:r>
    </w:p>
    <w:p>
      <w:pPr>
        <w:pStyle w:val="Defstart"/>
      </w:pPr>
      <w:r>
        <w:tab/>
      </w:r>
      <w:r>
        <w:rPr>
          <w:rStyle w:val="CharDefText"/>
        </w:rPr>
        <w:t>Minister for Lands</w:t>
      </w:r>
      <w:r>
        <w:t xml:space="preserve"> means the Minister to whom the administration of the </w:t>
      </w:r>
      <w:r>
        <w:rPr>
          <w:i/>
        </w:rPr>
        <w:t>Land Administration Act 1997</w:t>
      </w:r>
      <w:r>
        <w:t xml:space="preserve"> is for the time being committed by the Governor;</w:t>
      </w:r>
    </w:p>
    <w:p>
      <w:pPr>
        <w:pStyle w:val="Defstart"/>
      </w:pPr>
      <w:r>
        <w:tab/>
      </w:r>
      <w:r>
        <w:rPr>
          <w:rStyle w:val="CharDefText"/>
        </w:rPr>
        <w:t>scheduled land</w:t>
      </w:r>
      <w:r>
        <w:t xml:space="preserve"> means the land described in Schedule 1 and Schedule 2;</w:t>
      </w:r>
    </w:p>
    <w:p>
      <w:pPr>
        <w:pStyle w:val="Defstart"/>
      </w:pPr>
      <w:r>
        <w:tab/>
      </w:r>
      <w:r>
        <w:rPr>
          <w:rStyle w:val="CharDefText"/>
        </w:rPr>
        <w:t>scheduled railways</w:t>
      </w:r>
      <w:r>
        <w:t xml:space="preserve"> means the portions of railway constructed on the scheduled land.</w:t>
      </w:r>
    </w:p>
    <w:p>
      <w:pPr>
        <w:pStyle w:val="Heading5"/>
      </w:pPr>
      <w:bookmarkStart w:id="9" w:name="_Toc378668049"/>
      <w:bookmarkStart w:id="10" w:name="_Toc435024194"/>
      <w:r>
        <w:rPr>
          <w:rStyle w:val="CharSectno"/>
        </w:rPr>
        <w:t>4</w:t>
      </w:r>
      <w:r>
        <w:t>.</w:t>
      </w:r>
      <w:r>
        <w:tab/>
        <w:t>Discontinuance of scheduled railways, and incidental matters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The scheduled railways are discontinued.</w:t>
      </w:r>
    </w:p>
    <w:p>
      <w:pPr>
        <w:pStyle w:val="Subsection"/>
      </w:pPr>
      <w:r>
        <w:tab/>
        <w:t>(2)</w:t>
      </w:r>
      <w:r>
        <w:tab/>
        <w:t xml:space="preserve">The material comprising the scheduled railways, or any portion of that material, may be — </w:t>
      </w:r>
    </w:p>
    <w:p>
      <w:pPr>
        <w:pStyle w:val="Indenta"/>
      </w:pPr>
      <w:r>
        <w:tab/>
        <w:t>(a)</w:t>
      </w:r>
      <w:r>
        <w:tab/>
        <w:t xml:space="preserve">used in the construction or maintenance of any Government railway, as defined in the </w:t>
      </w:r>
      <w:r>
        <w:rPr>
          <w:i/>
        </w:rPr>
        <w:t>Government Railways Act 1904</w:t>
      </w:r>
      <w:r>
        <w:t xml:space="preserve"> section 2;</w:t>
      </w:r>
    </w:p>
    <w:p>
      <w:pPr>
        <w:pStyle w:val="Indenta"/>
      </w:pPr>
      <w:r>
        <w:tab/>
        <w:t>(b)</w:t>
      </w:r>
      <w:r>
        <w:tab/>
        <w:t>used in the construction of any railway authorised to be constructed under any other Act; or</w:t>
      </w:r>
    </w:p>
    <w:p>
      <w:pPr>
        <w:pStyle w:val="Indenta"/>
      </w:pPr>
      <w:r>
        <w:tab/>
        <w:t>(c)</w:t>
      </w:r>
      <w:r>
        <w:tab/>
        <w:t>sold, disposed of, or otherwise dealt with.</w:t>
      </w:r>
    </w:p>
    <w:p>
      <w:pPr>
        <w:pStyle w:val="Heading5"/>
      </w:pPr>
      <w:bookmarkStart w:id="11" w:name="_Toc378668050"/>
      <w:bookmarkStart w:id="12" w:name="_Toc435024195"/>
      <w:r>
        <w:rPr>
          <w:rStyle w:val="CharSectno"/>
        </w:rPr>
        <w:t>5</w:t>
      </w:r>
      <w:r>
        <w:t>.</w:t>
      </w:r>
      <w:r>
        <w:tab/>
        <w:t>Disposition of land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The Minister for Lands is to transfer to the Authority in fee simple, under the </w:t>
      </w:r>
      <w:r>
        <w:rPr>
          <w:i/>
        </w:rPr>
        <w:t>Land Administration Act 1997</w:t>
      </w:r>
      <w:r>
        <w:t xml:space="preserve">, any land that becomes Crown land by the operation of section 4 of this Act and the </w:t>
      </w:r>
      <w:r>
        <w:rPr>
          <w:i/>
        </w:rPr>
        <w:t>Land Administration Act 1997</w:t>
      </w:r>
      <w:r>
        <w:t xml:space="preserve"> section 266.</w:t>
      </w:r>
    </w:p>
    <w:p>
      <w:pPr>
        <w:pStyle w:val="Subsection"/>
      </w:pPr>
      <w:r>
        <w:tab/>
        <w:t>(2)</w:t>
      </w:r>
      <w:r>
        <w:tab/>
        <w:t>The Minister for Lands is to transfer land under subsection (1) without requiring the payment of any consideration in respect of that transfer.</w:t>
      </w:r>
    </w:p>
    <w:p>
      <w:pPr>
        <w:pStyle w:val="Heading5"/>
      </w:pPr>
      <w:bookmarkStart w:id="13" w:name="_Toc378668051"/>
      <w:bookmarkStart w:id="14" w:name="_Toc435024196"/>
      <w:r>
        <w:rPr>
          <w:rStyle w:val="CharSectno"/>
        </w:rPr>
        <w:t>6</w:t>
      </w:r>
      <w:r>
        <w:t>.</w:t>
      </w:r>
      <w:r>
        <w:tab/>
        <w:t>Power of Authority to deal with land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With the approval of the Minister to whom the administration of the </w:t>
      </w:r>
      <w:r>
        <w:rPr>
          <w:i/>
        </w:rPr>
        <w:t xml:space="preserve">Government Railways Act 1904 </w:t>
      </w:r>
      <w:r>
        <w:rPr>
          <w:iCs/>
        </w:rPr>
        <w:t>is for the time being committed by the Governor</w:t>
      </w:r>
      <w:r>
        <w:t>, the Authority may sell or otherwise dispose of any land transferred to it under section 5.</w:t>
      </w:r>
    </w:p>
    <w:p>
      <w:pPr>
        <w:pStyle w:val="Subsection"/>
      </w:pPr>
      <w:r>
        <w:tab/>
        <w:t>(2)</w:t>
      </w:r>
      <w:r>
        <w:tab/>
        <w:t xml:space="preserve">The Authority is to credit the proceeds of any sale or disposal of land under subsection (1) to the Public Transport Authority Account referred to in the </w:t>
      </w:r>
      <w:r>
        <w:rPr>
          <w:i/>
        </w:rPr>
        <w:t>Public Transport Authority Act 2003</w:t>
      </w:r>
      <w:r>
        <w:t xml:space="preserve"> section 32.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" w:name="_Toc378668034"/>
      <w:bookmarkStart w:id="16" w:name="_Toc378668052"/>
      <w:bookmarkStart w:id="17" w:name="_Toc424292936"/>
      <w:bookmarkStart w:id="18" w:name="_Toc43502419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Scheduled land (Fremantle</w:t>
      </w:r>
      <w:r>
        <w:rPr>
          <w:rStyle w:val="CharSchText"/>
        </w:rPr>
        <w:noBreakHyphen/>
        <w:t>Kwinana Railway)</w:t>
      </w:r>
      <w:bookmarkEnd w:id="15"/>
      <w:bookmarkEnd w:id="16"/>
      <w:bookmarkEnd w:id="17"/>
      <w:bookmarkEnd w:id="18"/>
    </w:p>
    <w:p>
      <w:pPr>
        <w:pStyle w:val="yShoulderClause"/>
      </w:pPr>
      <w:r>
        <w:t>[s. 3]</w:t>
      </w:r>
    </w:p>
    <w:p>
      <w:pPr>
        <w:pStyle w:val="ySubsection"/>
      </w:pPr>
      <w:r>
        <w:tab/>
      </w:r>
      <w:r>
        <w:tab/>
        <w:t>That portion of the land acquired for the purpose of the Fremantle</w:t>
      </w:r>
      <w:r>
        <w:noBreakHyphen/>
        <w:t xml:space="preserve">Kwinana Railway under authorisation of the </w:t>
      </w:r>
      <w:r>
        <w:rPr>
          <w:i/>
          <w:iCs/>
        </w:rPr>
        <w:t>Robb’s Jetty</w:t>
      </w:r>
      <w:r>
        <w:rPr>
          <w:i/>
          <w:iCs/>
        </w:rPr>
        <w:noBreakHyphen/>
        <w:t>Woodman’s Point Railway Act 1902</w:t>
      </w:r>
      <w:r>
        <w:t xml:space="preserve"> and the </w:t>
      </w:r>
      <w:r>
        <w:rPr>
          <w:i/>
          <w:iCs/>
        </w:rPr>
        <w:t>Coogee</w:t>
      </w:r>
      <w:r>
        <w:rPr>
          <w:i/>
          <w:iCs/>
        </w:rPr>
        <w:noBreakHyphen/>
        <w:t>Kwinana Railway Act 1952</w:t>
      </w:r>
      <w:r>
        <w:t xml:space="preserve">, more particularly being that portion of land, maintaining the integrity of the East Perth to Cockburn North section of railway, commencing in Spearwood at a line formed by the easterly projection of the southern boundary of Lot 3 on Plan 17373 and proceeding southerly for a distance of about 2.7 km, terminating at the northern extent of the discontinuance authorised under the </w:t>
      </w:r>
      <w:r>
        <w:rPr>
          <w:i/>
          <w:iCs/>
        </w:rPr>
        <w:t>Railway (Coogee</w:t>
      </w:r>
      <w:r>
        <w:rPr>
          <w:i/>
          <w:iCs/>
        </w:rPr>
        <w:noBreakHyphen/>
        <w:t>Kwinana Railway) Discontinuance Act 1973</w:t>
      </w:r>
      <w:r>
        <w:t>, which was 16 miles 70 chains by rail from Perth via Fremantle and is approximately 350 m north of Fairbairn Road, Coogee.</w:t>
      </w:r>
    </w:p>
    <w:p>
      <w:pPr>
        <w:pStyle w:val="yScheduleHeading"/>
      </w:pPr>
      <w:bookmarkStart w:id="19" w:name="_Toc378668035"/>
      <w:bookmarkStart w:id="20" w:name="_Toc378668053"/>
      <w:bookmarkStart w:id="21" w:name="_Toc424292937"/>
      <w:bookmarkStart w:id="22" w:name="_Toc435024198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Scheduled land (Midland Junction</w:t>
      </w:r>
      <w:r>
        <w:rPr>
          <w:rStyle w:val="CharSchText"/>
        </w:rPr>
        <w:noBreakHyphen/>
        <w:t>Welshpool Railway)</w:t>
      </w:r>
      <w:bookmarkEnd w:id="19"/>
      <w:bookmarkEnd w:id="20"/>
      <w:bookmarkEnd w:id="21"/>
      <w:bookmarkEnd w:id="22"/>
    </w:p>
    <w:p>
      <w:pPr>
        <w:pStyle w:val="yShoulderClause"/>
      </w:pPr>
      <w:r>
        <w:t>[s. 3]</w:t>
      </w:r>
    </w:p>
    <w:p>
      <w:pPr>
        <w:pStyle w:val="ySubsection"/>
      </w:pPr>
      <w:r>
        <w:tab/>
      </w:r>
      <w:r>
        <w:tab/>
        <w:t xml:space="preserve">That portion of land acquired for the purpose of the Midland Junction Railway under authorisation of the </w:t>
      </w:r>
      <w:r>
        <w:rPr>
          <w:i/>
          <w:iCs/>
        </w:rPr>
        <w:t>Midland Junction-Welshpool Railway Act 1957</w:t>
      </w:r>
      <w:r>
        <w:t xml:space="preserve"> commencing at the intersection of the north</w:t>
      </w:r>
      <w:r>
        <w:noBreakHyphen/>
        <w:t>western side boundary of Pilbara Street, Welshpool with the southern boundary of Lot 451 on Plan 9521, from there proceeding westerly and southerly for a distance of about 2.9 km, terminating at the north</w:t>
      </w:r>
      <w:r>
        <w:noBreakHyphen/>
        <w:t>eastern boundary of Railway Parade, Welshpool where it adjoins the land in Diagram 34950.</w:t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4" w:name="_Toc378668036"/>
      <w:bookmarkStart w:id="25" w:name="_Toc378668054"/>
      <w:bookmarkStart w:id="26" w:name="_Toc424292938"/>
      <w:bookmarkStart w:id="27" w:name="_Toc435024199"/>
      <w:r>
        <w:t>Notes</w:t>
      </w:r>
      <w:bookmarkEnd w:id="24"/>
      <w:bookmarkEnd w:id="25"/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Railway Discontinuance Act 2006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28" w:name="_Toc378668055"/>
      <w:bookmarkStart w:id="29" w:name="_Toc435024200"/>
      <w:r>
        <w:rPr>
          <w:snapToGrid w:val="0"/>
        </w:rPr>
        <w:t>Compilation table</w:t>
      </w:r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</w:rPr>
              <w:t>Railway Discontinuance Act 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2 of 2006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30 Mar 2006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30 Mar 2006 (see s. 2)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1" w:name="_Toc435024201"/>
      <w:r>
        <w:rPr>
          <w:sz w:val="28"/>
        </w:rPr>
        <w:t>Defined terms</w:t>
      </w:r>
      <w:bookmarkEnd w:id="3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3</w:t>
      </w:r>
    </w:p>
    <w:p>
      <w:pPr>
        <w:pStyle w:val="DefinedTerms"/>
      </w:pPr>
      <w:r>
        <w:t>Minister for Lands</w:t>
      </w:r>
      <w:r>
        <w:tab/>
        <w:t>3</w:t>
      </w:r>
    </w:p>
    <w:p>
      <w:pPr>
        <w:pStyle w:val="DefinedTerms"/>
      </w:pPr>
      <w:r>
        <w:t>scheduled land</w:t>
      </w:r>
      <w:r>
        <w:tab/>
        <w:t>3</w:t>
      </w:r>
    </w:p>
    <w:p>
      <w:pPr>
        <w:pStyle w:val="DefinedTerms"/>
      </w:pPr>
      <w:r>
        <w:t>scheduled railways</w:t>
      </w:r>
      <w:r>
        <w:tab/>
        <w:t>3</w:t>
      </w:r>
    </w:p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Mar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Mar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Mar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Mar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Mar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Mar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2" w:name="DefinedTerms"/>
    <w:bookmarkEnd w:id="32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Discontinuance Act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1696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6031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34D4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2D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A060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4CF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A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12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8F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84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1488D9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1162623"/>
    <w:docVar w:name="WAFER_20140124161357" w:val="RemoveTocBookmarks,RemoveUnusedBookmarks,RemoveLanguageTags,UsedStyles,ResetPageSize,UpdateArrangement"/>
    <w:docVar w:name="WAFER_20140124161357_GUID" w:val="972c5eba-4ac0-491d-826c-bfab51ce8bf0"/>
    <w:docVar w:name="WAFER_20140124172147" w:val="RemoveTocBookmarks,RunningHeaders"/>
    <w:docVar w:name="WAFER_20140124172147_GUID" w:val="11e555cd-beb0-4e69-8360-fd735c67ff43"/>
    <w:docVar w:name="WAFER_20150710114133" w:val="ResetPageSize,UpdateArrangement,UpdateNTable"/>
    <w:docVar w:name="WAFER_20150710114133_GUID" w:val="7b70aa66-b5c2-4b81-ab65-0b33bda879ea"/>
    <w:docVar w:name="WAFER_20151111162623" w:val="UpdateStyles,UsedStyles"/>
    <w:docVar w:name="WAFER_20151111162623_GUID" w:val="5f820d00-4a2d-47a5-87bc-1ac0c436b3c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842</Words>
  <Characters>4407</Characters>
  <Application>Microsoft Office Word</Application>
  <DocSecurity>0</DocSecurity>
  <Lines>146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(Bills)</vt:lpstr>
      <vt:lpstr>    Schedule 1 — Scheduled land (Fremantle-Kwinana Railway)</vt:lpstr>
      <vt:lpstr>    Schedule 2 — Scheduled land (Midland Junction-Welshpool Railway)</vt:lpstr>
      <vt:lpstr>    Notes</vt:lpstr>
    </vt:vector>
  </TitlesOfParts>
  <Manager/>
  <Company/>
  <LinksUpToDate>false</LinksUpToDate>
  <CharactersWithSpaces>5161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Discontinuance Act 2006 - 00-a0-09</dc:title>
  <dc:subject/>
  <dc:creator/>
  <cp:keywords/>
  <dc:description/>
  <cp:lastModifiedBy>svcMRProcess</cp:lastModifiedBy>
  <cp:revision>4</cp:revision>
  <cp:lastPrinted>2006-03-31T03:50:00Z</cp:lastPrinted>
  <dcterms:created xsi:type="dcterms:W3CDTF">2019-01-29T06:44:00Z</dcterms:created>
  <dcterms:modified xsi:type="dcterms:W3CDTF">2019-01-29T06:44:00Z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 of 2006</vt:lpwstr>
  </property>
  <property fmtid="{D5CDD505-2E9C-101B-9397-08002B2CF9AE}" pid="3" name="CommencementDate">
    <vt:lpwstr>20060330</vt:lpwstr>
  </property>
  <property fmtid="{D5CDD505-2E9C-101B-9397-08002B2CF9AE}" pid="4" name="DocumentType">
    <vt:lpwstr>Act</vt:lpwstr>
  </property>
  <property fmtid="{D5CDD505-2E9C-101B-9397-08002B2CF9AE}" pid="5" name="OwlsUID">
    <vt:i4>143204</vt:i4>
  </property>
  <property fmtid="{D5CDD505-2E9C-101B-9397-08002B2CF9AE}" pid="6" name="AsAtDate">
    <vt:lpwstr>30 Mar 2006</vt:lpwstr>
  </property>
  <property fmtid="{D5CDD505-2E9C-101B-9397-08002B2CF9AE}" pid="7" name="Suffix">
    <vt:lpwstr>00-a0-09</vt:lpwstr>
  </property>
</Properties>
</file>