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4200"/>
        <w:outlineLvl w:val="0"/>
      </w:pPr>
      <w:r>
        <w:fldChar w:fldCharType="begin"/>
      </w:r>
      <w:r>
        <w:instrText xml:space="preserve"> STYLEREF "Name Of Act/Reg"</w:instrText>
      </w:r>
      <w:r>
        <w:fldChar w:fldCharType="separate"/>
      </w:r>
      <w:r>
        <w:rPr>
          <w:noProof/>
        </w:rPr>
        <w:t>Railway (Jandakot to Perth) Act 2002</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Railway (Jandakot to Perth) Act 2002</w:t>
      </w:r>
      <w:r>
        <w:fldChar w:fldCharType="end"/>
      </w:r>
    </w:p>
    <w:p>
      <w:pPr>
        <w:pStyle w:val="Arrangement"/>
      </w:pPr>
      <w:r>
        <w:t>Contents</w:t>
      </w:r>
    </w:p>
    <w:p>
      <w:pPr>
        <w:pStyle w:val="TOC8"/>
        <w:rPr>
          <w:rFonts w:asciiTheme="minorHAnsi" w:eastAsiaTheme="minorEastAsia" w:hAnsiTheme="minorHAnsi" w:cstheme="minorBidi"/>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1</w:t>
      </w:r>
      <w:r>
        <w:rPr>
          <w:snapToGrid w:val="0"/>
        </w:rPr>
        <w:t>.</w:t>
      </w:r>
      <w:r>
        <w:rPr>
          <w:snapToGrid w:val="0"/>
        </w:rPr>
        <w:tab/>
        <w:t>Short title</w:t>
      </w:r>
      <w:r>
        <w:tab/>
      </w:r>
      <w:r>
        <w:fldChar w:fldCharType="begin"/>
      </w:r>
      <w:r>
        <w:instrText xml:space="preserve"> PAGEREF _Toc435023608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_Toc435023609 \h </w:instrText>
      </w:r>
      <w:r>
        <w:fldChar w:fldCharType="separate"/>
      </w:r>
      <w:r>
        <w:t>2</w:t>
      </w:r>
      <w:r>
        <w:fldChar w:fldCharType="end"/>
      </w:r>
    </w:p>
    <w:p>
      <w:pPr>
        <w:pStyle w:val="TOC8"/>
        <w:rPr>
          <w:rFonts w:asciiTheme="minorHAnsi" w:eastAsiaTheme="minorEastAsia" w:hAnsiTheme="minorHAnsi" w:cstheme="minorBidi"/>
          <w:szCs w:val="22"/>
        </w:rPr>
      </w:pPr>
      <w:r>
        <w:t>3.</w:t>
      </w:r>
      <w:r>
        <w:tab/>
        <w:t>Authority to construct Jandakot to Perth railway</w:t>
      </w:r>
      <w:r>
        <w:tab/>
      </w:r>
      <w:r>
        <w:fldChar w:fldCharType="begin"/>
      </w:r>
      <w:r>
        <w:instrText xml:space="preserve"> PAGEREF _Toc435023610 \h </w:instrText>
      </w:r>
      <w:r>
        <w:fldChar w:fldCharType="separate"/>
      </w:r>
      <w:r>
        <w:t>2</w:t>
      </w:r>
      <w:r>
        <w:fldChar w:fldCharType="end"/>
      </w:r>
    </w:p>
    <w:p>
      <w:pPr>
        <w:pStyle w:val="TOC8"/>
        <w:rPr>
          <w:rFonts w:asciiTheme="minorHAnsi" w:eastAsiaTheme="minorEastAsia" w:hAnsiTheme="minorHAnsi" w:cstheme="minorBidi"/>
          <w:szCs w:val="22"/>
        </w:rPr>
      </w:pPr>
      <w:r>
        <w:t>4.</w:t>
      </w:r>
      <w:r>
        <w:tab/>
        <w:t>Deviation to be limited</w:t>
      </w:r>
      <w:r>
        <w:tab/>
      </w:r>
      <w:r>
        <w:fldChar w:fldCharType="begin"/>
      </w:r>
      <w:r>
        <w:instrText xml:space="preserve"> PAGEREF _Toc435023611 \h </w:instrText>
      </w:r>
      <w:r>
        <w:fldChar w:fldCharType="separate"/>
      </w:r>
      <w:r>
        <w:t>2</w:t>
      </w:r>
      <w:r>
        <w:fldChar w:fldCharType="end"/>
      </w:r>
    </w:p>
    <w:p>
      <w:pPr>
        <w:pStyle w:val="TOC8"/>
        <w:rPr>
          <w:rFonts w:asciiTheme="minorHAnsi" w:eastAsiaTheme="minorEastAsia" w:hAnsiTheme="minorHAnsi" w:cstheme="minorBidi"/>
          <w:szCs w:val="22"/>
        </w:rPr>
      </w:pPr>
      <w:r>
        <w:t>5.</w:t>
      </w:r>
      <w:r>
        <w:tab/>
        <w:t>Right to compensation not limited by Special Act of Parliament</w:t>
      </w:r>
      <w:r>
        <w:tab/>
      </w:r>
      <w:r>
        <w:fldChar w:fldCharType="begin"/>
      </w:r>
      <w:r>
        <w:instrText xml:space="preserve"> PAGEREF _Toc435023612 \h </w:instrText>
      </w:r>
      <w:r>
        <w:fldChar w:fldCharType="separate"/>
      </w:r>
      <w:r>
        <w:t>2</w:t>
      </w:r>
      <w:r>
        <w:fldChar w:fldCharType="end"/>
      </w:r>
    </w:p>
    <w:p>
      <w:pPr>
        <w:pStyle w:val="TOC2"/>
        <w:tabs>
          <w:tab w:val="right" w:leader="dot" w:pos="7077"/>
        </w:tabs>
        <w:rPr>
          <w:rFonts w:asciiTheme="minorHAnsi" w:eastAsiaTheme="minorEastAsia" w:hAnsiTheme="minorHAnsi" w:cstheme="minorBidi"/>
          <w:b w:val="0"/>
          <w:sz w:val="22"/>
          <w:szCs w:val="22"/>
        </w:rPr>
      </w:pPr>
      <w:r>
        <w:t>Schedule 1 — Line of Jandakot to Perth Railway</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rPr>
          <w:snapToGrid w:val="0"/>
        </w:rPr>
        <w:tab/>
        <w:t>Compilation table</w:t>
      </w:r>
      <w:r>
        <w:tab/>
      </w:r>
      <w:r>
        <w:fldChar w:fldCharType="begin"/>
      </w:r>
      <w:r>
        <w:instrText xml:space="preserve"> PAGEREF _Toc435023615 \h </w:instrText>
      </w:r>
      <w:r>
        <w:fldChar w:fldCharType="separate"/>
      </w:r>
      <w:r>
        <w:t>4</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NameofActReg"/>
        <w:suppressLineNumbers/>
      </w:pPr>
      <w:r>
        <w:t>Railway (Jandakot to Perth) Act 2002</w:t>
      </w:r>
    </w:p>
    <w:p>
      <w:pPr>
        <w:pStyle w:val="LongTitle"/>
        <w:suppressLineNumbers/>
        <w:spacing w:after="240"/>
      </w:pPr>
      <w:bookmarkStart w:id="3" w:name="BillCited"/>
      <w:bookmarkEnd w:id="3"/>
      <w:r>
        <w:rPr>
          <w:snapToGrid w:val="0"/>
        </w:rPr>
        <w:t>An Act to authorise the construction of a railway from Jandakot to Perth</w:t>
      </w:r>
      <w:r>
        <w:t>.</w:t>
      </w:r>
    </w:p>
    <w:p>
      <w:pPr>
        <w:pStyle w:val="Heading5"/>
        <w:rPr>
          <w:snapToGrid w:val="0"/>
        </w:rPr>
      </w:pPr>
      <w:bookmarkStart w:id="4" w:name="_Toc378667886"/>
      <w:bookmarkStart w:id="5" w:name="_Toc435023608"/>
      <w:r>
        <w:rPr>
          <w:rStyle w:val="CharSectno"/>
        </w:rPr>
        <w:t>1</w:t>
      </w:r>
      <w:r>
        <w:rPr>
          <w:snapToGrid w:val="0"/>
        </w:rPr>
        <w:t>.</w:t>
      </w:r>
      <w:r>
        <w:rPr>
          <w:snapToGrid w:val="0"/>
        </w:rPr>
        <w:tab/>
        <w:t>Short title</w:t>
      </w:r>
      <w:bookmarkEnd w:id="4"/>
      <w:bookmarkEnd w:id="5"/>
    </w:p>
    <w:p>
      <w:pPr>
        <w:pStyle w:val="Subsection"/>
        <w:suppressLineNumbers/>
        <w:ind w:right="567"/>
        <w:rPr>
          <w:snapToGrid w:val="0"/>
        </w:rPr>
      </w:pPr>
      <w:r>
        <w:rPr>
          <w:snapToGrid w:val="0"/>
        </w:rPr>
        <w:tab/>
      </w:r>
      <w:r>
        <w:rPr>
          <w:snapToGrid w:val="0"/>
        </w:rPr>
        <w:tab/>
        <w:t>This Act may be cited as the</w:t>
      </w:r>
      <w:r>
        <w:rPr>
          <w:i/>
          <w:snapToGrid w:val="0"/>
        </w:rPr>
        <w:t xml:space="preserve"> Railway (Jandakot to Perth) Act 2002</w:t>
      </w:r>
      <w:r>
        <w:rPr>
          <w:snapToGrid w:val="0"/>
        </w:rPr>
        <w:t>.</w:t>
      </w:r>
    </w:p>
    <w:p>
      <w:pPr>
        <w:pStyle w:val="Heading5"/>
        <w:pageBreakBefore/>
        <w:rPr>
          <w:snapToGrid w:val="0"/>
        </w:rPr>
      </w:pPr>
      <w:bookmarkStart w:id="6" w:name="Start_Cursor"/>
      <w:bookmarkStart w:id="7" w:name="_Toc378667887"/>
      <w:bookmarkStart w:id="8" w:name="_Toc435023609"/>
      <w:bookmarkEnd w:id="6"/>
      <w:r>
        <w:rPr>
          <w:rStyle w:val="CharSectno"/>
        </w:rPr>
        <w:t>2</w:t>
      </w:r>
      <w:r>
        <w:rPr>
          <w:snapToGrid w:val="0"/>
        </w:rPr>
        <w:t>.</w:t>
      </w:r>
      <w:r>
        <w:rPr>
          <w:snapToGrid w:val="0"/>
        </w:rPr>
        <w:tab/>
        <w:t>Commencement</w:t>
      </w:r>
      <w:bookmarkEnd w:id="7"/>
      <w:bookmarkEnd w:id="8"/>
    </w:p>
    <w:p>
      <w:pPr>
        <w:pStyle w:val="Subsection"/>
      </w:pPr>
      <w:r>
        <w:tab/>
      </w:r>
      <w:r>
        <w:tab/>
        <w:t>This Act comes into operation on the day on which it receives the Royal Assent.</w:t>
      </w:r>
    </w:p>
    <w:p>
      <w:pPr>
        <w:pStyle w:val="Heading5"/>
      </w:pPr>
      <w:bookmarkStart w:id="9" w:name="_Toc378667888"/>
      <w:bookmarkStart w:id="10" w:name="_Toc435023610"/>
      <w:r>
        <w:rPr>
          <w:rStyle w:val="CharSectno"/>
        </w:rPr>
        <w:t>3</w:t>
      </w:r>
      <w:r>
        <w:t>.</w:t>
      </w:r>
      <w:r>
        <w:tab/>
        <w:t>Authority to construct Jandakot to Perth railway</w:t>
      </w:r>
      <w:bookmarkEnd w:id="9"/>
      <w:bookmarkEnd w:id="10"/>
    </w:p>
    <w:p>
      <w:pPr>
        <w:pStyle w:val="Subsection"/>
      </w:pPr>
      <w:r>
        <w:tab/>
      </w:r>
      <w:r>
        <w:tab/>
        <w:t>A railway, and all necessary, proper and usual works and facilities in connection with the railway, may be constructed and maintained along the line described in Schedule 1.</w:t>
      </w:r>
    </w:p>
    <w:p>
      <w:pPr>
        <w:pStyle w:val="Heading5"/>
      </w:pPr>
      <w:bookmarkStart w:id="11" w:name="_Toc378667889"/>
      <w:bookmarkStart w:id="12" w:name="_Toc435023611"/>
      <w:r>
        <w:rPr>
          <w:rStyle w:val="CharSectno"/>
        </w:rPr>
        <w:t>4</w:t>
      </w:r>
      <w:r>
        <w:t>.</w:t>
      </w:r>
      <w:r>
        <w:tab/>
        <w:t>Deviation to be limited</w:t>
      </w:r>
      <w:bookmarkEnd w:id="11"/>
      <w:bookmarkEnd w:id="12"/>
    </w:p>
    <w:p>
      <w:pPr>
        <w:pStyle w:val="Subsection"/>
      </w:pPr>
      <w:r>
        <w:tab/>
      </w:r>
      <w:r>
        <w:tab/>
        <w:t xml:space="preserve">For the purposes of subsection 96(1) of the </w:t>
      </w:r>
      <w:r>
        <w:rPr>
          <w:i/>
        </w:rPr>
        <w:t>Public Works Act 1902</w:t>
      </w:r>
      <w:r>
        <w:t>, 200 metres is set as the distance for which it shall be lawful to deviate from the line of the railway set out in Schedule 1 and the map referred to in Schedule 1.</w:t>
      </w:r>
    </w:p>
    <w:p>
      <w:pPr>
        <w:pStyle w:val="Heading5"/>
      </w:pPr>
      <w:bookmarkStart w:id="13" w:name="_Toc378667890"/>
      <w:bookmarkStart w:id="14" w:name="_Toc435023612"/>
      <w:r>
        <w:rPr>
          <w:rStyle w:val="CharSectno"/>
        </w:rPr>
        <w:t>5</w:t>
      </w:r>
      <w:r>
        <w:t>.</w:t>
      </w:r>
      <w:r>
        <w:tab/>
        <w:t>Right to compensation not limited by Special Act of Parliament</w:t>
      </w:r>
      <w:bookmarkEnd w:id="13"/>
      <w:bookmarkEnd w:id="14"/>
    </w:p>
    <w:p>
      <w:pPr>
        <w:pStyle w:val="Subsection"/>
      </w:pPr>
      <w:r>
        <w:tab/>
      </w:r>
      <w:r>
        <w:tab/>
        <w:t>Despite the specific authorisation of this Act, a person who is the owner of or interested in any land which is injured or damaged by any works carried out by reason of the authority of this Act shall not be deprived of any right to recover damages with respect to that injury or damage to that land that the owner might otherwise have had but for this Act.</w:t>
      </w:r>
    </w:p>
    <w:p>
      <w:pPr>
        <w:rPr>
          <w:rStyle w:val="CharDivText"/>
        </w:rPr>
        <w:sectPr>
          <w:headerReference w:type="even" r:id="rId21"/>
          <w:headerReference w:type="default" r:id="rId22"/>
          <w:headerReference w:type="first" r:id="rId23"/>
          <w:pgSz w:w="11907" w:h="16840" w:code="9"/>
          <w:pgMar w:top="2376" w:right="2405" w:bottom="3542" w:left="2405" w:header="706" w:footer="3380" w:gutter="0"/>
          <w:pgNumType w:start="1"/>
          <w:cols w:space="720"/>
          <w:noEndnote/>
          <w:titlePg/>
          <w:docGrid w:linePitch="326"/>
        </w:sectPr>
      </w:pPr>
    </w:p>
    <w:p>
      <w:pPr>
        <w:pStyle w:val="yScheduleHeading"/>
      </w:pPr>
      <w:bookmarkStart w:id="15" w:name="_Toc378667891"/>
      <w:bookmarkStart w:id="16" w:name="_Toc424292682"/>
      <w:bookmarkStart w:id="17" w:name="_Toc435023613"/>
      <w:r>
        <w:rPr>
          <w:rStyle w:val="CharSchNo"/>
        </w:rPr>
        <w:t>Schedule 1</w:t>
      </w:r>
      <w:r>
        <w:t> — </w:t>
      </w:r>
      <w:r>
        <w:rPr>
          <w:rStyle w:val="CharSchText"/>
        </w:rPr>
        <w:t>Line of Jandakot to Perth Railway</w:t>
      </w:r>
      <w:bookmarkEnd w:id="15"/>
      <w:bookmarkEnd w:id="16"/>
      <w:bookmarkEnd w:id="17"/>
    </w:p>
    <w:p>
      <w:pPr>
        <w:pStyle w:val="yShoulderClause"/>
      </w:pPr>
      <w:r>
        <w:t>[s. 3]</w:t>
      </w:r>
    </w:p>
    <w:p>
      <w:pPr>
        <w:pStyle w:val="ySubsection"/>
      </w:pPr>
      <w:r>
        <w:tab/>
      </w:r>
      <w:r>
        <w:tab/>
        <w:t xml:space="preserve">The line of the railway commences at a point near Perth Coastal Grid coordinates 53081, 247630 about 29.7 kilometres along the Kewdale to Kwinana railway line, as described in the Fourth Schedule to the </w:t>
      </w:r>
      <w:r>
        <w:rPr>
          <w:i/>
        </w:rPr>
        <w:t>Railways (Standard Gauge) Construction Act 1961</w:t>
      </w:r>
      <w:r>
        <w:t>, and proceeds in a generally northerly direction along the median strip of the Kwinana Freeway and then the Mitchell Freeway to a point about 400 metres north of the Narrows Bridge, then, leaving the Mitchell Freeway, in a generally easterly direction to a point about 100 metres east of the Mitchell Freeway, then underground in a generally easterly direction to a southerly projection of William Street, Perth, then generally under that street in a northerly direction to a point near Perth Coastal Grid coordinates 53943, 263562, then underground in a generally north</w:t>
      </w:r>
      <w:r>
        <w:noBreakHyphen/>
        <w:t xml:space="preserve">westerly direction, and terminates at a point near Perth Coastal Grid coordinates 53293, 264015 about 0.9 kilometres along the Perth to Joondalup railway line, as described in the Schedule to the </w:t>
      </w:r>
      <w:r>
        <w:rPr>
          <w:i/>
        </w:rPr>
        <w:t>Perth</w:t>
      </w:r>
      <w:r>
        <w:rPr>
          <w:i/>
        </w:rPr>
        <w:noBreakHyphen/>
        <w:t>Joondalup Railway Act 1989.</w:t>
      </w:r>
    </w:p>
    <w:p>
      <w:pPr>
        <w:pStyle w:val="ySubsection"/>
      </w:pPr>
      <w:r>
        <w:tab/>
      </w:r>
      <w:r>
        <w:tab/>
        <w:t>The course to be taken by the railway is shown as a red line on Perth Urban Rail Development Plan 09C000004 Rev A.</w:t>
      </w:r>
    </w:p>
    <w:p>
      <w:pPr>
        <w:sectPr>
          <w:headerReference w:type="even" r:id="rId24"/>
          <w:headerReference w:type="default" r:id="rId25"/>
          <w:headerReference w:type="first" r:id="rId26"/>
          <w:pgSz w:w="11907" w:h="16840" w:code="9"/>
          <w:pgMar w:top="2376" w:right="2405" w:bottom="3542" w:left="2405" w:header="706" w:footer="3380" w:gutter="0"/>
          <w:cols w:space="720"/>
          <w:noEndnote/>
          <w:docGrid w:linePitch="326"/>
        </w:sectPr>
      </w:pPr>
    </w:p>
    <w:p>
      <w:pPr>
        <w:pStyle w:val="nHeading2"/>
      </w:pPr>
      <w:bookmarkStart w:id="19" w:name="_Toc378667881"/>
      <w:bookmarkStart w:id="20" w:name="_Toc378667892"/>
      <w:bookmarkStart w:id="21" w:name="_Toc424292683"/>
      <w:bookmarkStart w:id="22" w:name="_Toc435023614"/>
      <w:r>
        <w:t>Notes</w:t>
      </w:r>
      <w:bookmarkEnd w:id="19"/>
      <w:bookmarkEnd w:id="20"/>
      <w:bookmarkEnd w:id="21"/>
      <w:bookmarkEnd w:id="22"/>
    </w:p>
    <w:p>
      <w:pPr>
        <w:pStyle w:val="nSubsection"/>
        <w:rPr>
          <w:snapToGrid w:val="0"/>
        </w:rPr>
      </w:pPr>
      <w:r>
        <w:rPr>
          <w:snapToGrid w:val="0"/>
          <w:vertAlign w:val="superscript"/>
        </w:rPr>
        <w:t>1</w:t>
      </w:r>
      <w:r>
        <w:rPr>
          <w:snapToGrid w:val="0"/>
        </w:rPr>
        <w:tab/>
        <w:t xml:space="preserve">This is a compilation of the </w:t>
      </w:r>
      <w:r>
        <w:rPr>
          <w:i/>
          <w:snapToGrid w:val="0"/>
        </w:rPr>
        <w:t>Railway (Jandakot to Perth) Act 2002</w:t>
      </w:r>
      <w:r>
        <w:rPr>
          <w:snapToGrid w:val="0"/>
        </w:rPr>
        <w:t>.  The following table contains information about that Act.</w:t>
      </w:r>
    </w:p>
    <w:p>
      <w:pPr>
        <w:pStyle w:val="nHeading3"/>
        <w:outlineLvl w:val="2"/>
        <w:rPr>
          <w:snapToGrid w:val="0"/>
        </w:rPr>
      </w:pPr>
      <w:bookmarkStart w:id="23" w:name="_Toc378667893"/>
      <w:bookmarkStart w:id="24" w:name="_Toc435023615"/>
      <w:r>
        <w:rPr>
          <w:snapToGrid w:val="0"/>
        </w:rPr>
        <w:t>Compilation table</w:t>
      </w:r>
      <w:bookmarkEnd w:id="23"/>
      <w:bookmarkEnd w:id="24"/>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4" w:space="0" w:color="auto"/>
            </w:tcBorders>
          </w:tcPr>
          <w:p>
            <w:pPr>
              <w:pStyle w:val="nTable"/>
              <w:rPr>
                <w:b/>
              </w:rPr>
            </w:pPr>
            <w:r>
              <w:rPr>
                <w:b/>
              </w:rPr>
              <w:t>Short title</w:t>
            </w:r>
          </w:p>
        </w:tc>
        <w:tc>
          <w:tcPr>
            <w:tcW w:w="1134" w:type="dxa"/>
            <w:tcBorders>
              <w:top w:val="single" w:sz="4" w:space="0" w:color="auto"/>
            </w:tcBorders>
          </w:tcPr>
          <w:p>
            <w:pPr>
              <w:pStyle w:val="nTable"/>
              <w:rPr>
                <w:b/>
              </w:rPr>
            </w:pPr>
            <w:r>
              <w:rPr>
                <w:b/>
              </w:rPr>
              <w:t>Number and Year</w:t>
            </w:r>
          </w:p>
        </w:tc>
        <w:tc>
          <w:tcPr>
            <w:tcW w:w="1134" w:type="dxa"/>
            <w:tcBorders>
              <w:top w:val="single" w:sz="4" w:space="0" w:color="auto"/>
            </w:tcBorders>
          </w:tcPr>
          <w:p>
            <w:pPr>
              <w:pStyle w:val="nTable"/>
              <w:rPr>
                <w:b/>
              </w:rPr>
            </w:pPr>
            <w:r>
              <w:rPr>
                <w:b/>
              </w:rPr>
              <w:t>Assent</w:t>
            </w:r>
          </w:p>
        </w:tc>
        <w:tc>
          <w:tcPr>
            <w:tcW w:w="2552" w:type="dxa"/>
            <w:tcBorders>
              <w:top w:val="single" w:sz="4" w:space="0" w:color="auto"/>
            </w:tcBorders>
          </w:tcPr>
          <w:p>
            <w:pPr>
              <w:pStyle w:val="nTable"/>
              <w:rPr>
                <w:b/>
              </w:rPr>
            </w:pPr>
            <w:r>
              <w:rPr>
                <w:b/>
              </w:rPr>
              <w:t>Commencement</w:t>
            </w:r>
          </w:p>
        </w:tc>
      </w:tr>
      <w:tr>
        <w:tc>
          <w:tcPr>
            <w:tcW w:w="2268" w:type="dxa"/>
            <w:tcBorders>
              <w:top w:val="single" w:sz="4" w:space="0" w:color="auto"/>
              <w:bottom w:val="single" w:sz="4" w:space="0" w:color="auto"/>
            </w:tcBorders>
          </w:tcPr>
          <w:p>
            <w:pPr>
              <w:pStyle w:val="nTable"/>
              <w:spacing w:before="100"/>
            </w:pPr>
            <w:r>
              <w:rPr>
                <w:i/>
                <w:snapToGrid w:val="0"/>
              </w:rPr>
              <w:t>Railway (Jandakot to Perth) Act 2002</w:t>
            </w:r>
          </w:p>
        </w:tc>
        <w:tc>
          <w:tcPr>
            <w:tcW w:w="1134" w:type="dxa"/>
            <w:tcBorders>
              <w:top w:val="single" w:sz="4" w:space="0" w:color="auto"/>
              <w:bottom w:val="single" w:sz="4" w:space="0" w:color="auto"/>
            </w:tcBorders>
          </w:tcPr>
          <w:p>
            <w:pPr>
              <w:pStyle w:val="nTable"/>
              <w:spacing w:before="100"/>
            </w:pPr>
            <w:r>
              <w:t>40 of 2002</w:t>
            </w:r>
          </w:p>
        </w:tc>
        <w:tc>
          <w:tcPr>
            <w:tcW w:w="1134" w:type="dxa"/>
            <w:tcBorders>
              <w:top w:val="single" w:sz="4" w:space="0" w:color="auto"/>
              <w:bottom w:val="single" w:sz="4" w:space="0" w:color="auto"/>
            </w:tcBorders>
          </w:tcPr>
          <w:p>
            <w:pPr>
              <w:pStyle w:val="nTable"/>
              <w:spacing w:before="100"/>
            </w:pPr>
            <w:r>
              <w:t>5 Dec 2002</w:t>
            </w:r>
          </w:p>
        </w:tc>
        <w:tc>
          <w:tcPr>
            <w:tcW w:w="2552" w:type="dxa"/>
            <w:tcBorders>
              <w:top w:val="single" w:sz="4" w:space="0" w:color="auto"/>
              <w:bottom w:val="single" w:sz="4" w:space="0" w:color="auto"/>
            </w:tcBorders>
          </w:tcPr>
          <w:p>
            <w:pPr>
              <w:pStyle w:val="nTable"/>
              <w:spacing w:before="100"/>
            </w:pPr>
            <w:r>
              <w:t>5 Dec 2002 (see s. 2)</w:t>
            </w:r>
          </w:p>
        </w:tc>
      </w:tr>
    </w:tbl>
    <w:p/>
    <w:p>
      <w:pPr>
        <w:sectPr>
          <w:headerReference w:type="even" r:id="rId27"/>
          <w:headerReference w:type="default" r:id="rId28"/>
          <w:headerReference w:type="first" r:id="rId29"/>
          <w:pgSz w:w="11907" w:h="16840" w:code="9"/>
          <w:pgMar w:top="2376" w:right="2405" w:bottom="3542" w:left="2405" w:header="706" w:footer="3380" w:gutter="0"/>
          <w:cols w:space="720"/>
          <w:noEndnote/>
          <w:docGrid w:linePitch="326"/>
        </w:sectPr>
      </w:pPr>
    </w:p>
    <w:p/>
    <w:sectPr>
      <w:headerReference w:type="even" r:id="rId30"/>
      <w:headerReference w:type="default" r:id="rId31"/>
      <w:footerReference w:type="even" r:id="rId32"/>
      <w:footerReference w:type="default" r:id="rId33"/>
      <w:headerReference w:type="first" r:id="rId34"/>
      <w:footerReference w:type="first" r:id="rId35"/>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6CCE4E45-09F4-4D86-A91E-548E08F80D3B}"/>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2" w:fontKey="{0A1B79BA-42D2-48C6-85C3-1278392AC2FB}"/>
  </w:font>
  <w:font w:name="Cambria">
    <w:panose1 w:val="02040503050406030204"/>
    <w:charset w:val="00"/>
    <w:family w:val="roman"/>
    <w:pitch w:val="variable"/>
    <w:sig w:usb0="E00002FF" w:usb1="400004FF" w:usb2="00000000" w:usb3="00000000" w:csb0="0000019F" w:csb1="00000000"/>
    <w:embedRegular r:id="rId3" w:fontKey="{21C9E32E-962F-48CF-B245-F6D019B422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00-a0-11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05 Dec 2002</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05 Dec 2002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00-a0-11</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05 Dec 2002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00-a0-11</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00-a0-11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05 Dec 2002</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05 Dec 2002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00-a0-11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05 Dec 2002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00-a0-11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Railway (Jandakot to Perth) Act 2002</w:t>
          </w:r>
          <w:r>
            <w:rPr>
              <w:b/>
              <w:i/>
            </w:rPr>
            <w:fldChar w:fldCharType="end"/>
          </w:r>
        </w:p>
      </w:tc>
    </w:tr>
    <w:tr>
      <w:tc>
        <w:tcPr>
          <w:tcW w:w="1490" w:type="dxa"/>
        </w:tcPr>
        <w:p>
          <w:pPr>
            <w:pStyle w:val="Header"/>
            <w:spacing w:before="40"/>
          </w:pPr>
        </w:p>
      </w:tc>
      <w:tc>
        <w:tcPr>
          <w:tcW w:w="5773" w:type="dxa"/>
        </w:tcPr>
        <w:p>
          <w:pPr>
            <w:pStyle w:val="Header"/>
            <w:spacing w:before="40"/>
          </w:pP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r>
            <w:rPr>
              <w:b/>
            </w:rPr>
            <w:fldChar w:fldCharType="begin"/>
          </w:r>
          <w:r>
            <w:rPr>
              <w:b/>
            </w:rPr>
            <w:instrText xml:space="preserve"> STYLEREF CharSchNo </w:instrText>
          </w:r>
          <w:r>
            <w:rPr>
              <w:b/>
            </w:rPr>
            <w:fldChar w:fldCharType="end"/>
          </w:r>
        </w:p>
      </w:tc>
      <w:tc>
        <w:tcPr>
          <w:tcW w:w="5768" w:type="dxa"/>
        </w:tcPr>
        <w:p>
          <w:pPr>
            <w:pStyle w:val="Header"/>
            <w:spacing w:before="40"/>
          </w:pPr>
          <w:r>
            <w:fldChar w:fldCharType="begin"/>
          </w:r>
          <w:r>
            <w:instrText xml:space="preserve"> STYLEREF CharSchText </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Railway (Jandakot to Perth) Act 2002</w:t>
          </w:r>
          <w:r>
            <w:rPr>
              <w:b/>
              <w:i/>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r>
            <w:fldChar w:fldCharType="begin"/>
          </w:r>
          <w:r>
            <w:instrText>STYLEREF CharSchText</w:instrText>
          </w:r>
          <w:r>
            <w:fldChar w:fldCharType="end"/>
          </w:r>
        </w:p>
      </w:tc>
      <w:tc>
        <w:tcPr>
          <w:tcW w:w="1516" w:type="dxa"/>
        </w:tcPr>
        <w:p>
          <w:pPr>
            <w:pStyle w:val="Header"/>
            <w:spacing w:before="40"/>
            <w:ind w:right="17"/>
            <w:jc w:val="right"/>
          </w:pPr>
          <w:r>
            <w:rPr>
              <w:b/>
            </w:rPr>
            <w:fldChar w:fldCharType="begin"/>
          </w:r>
          <w:r>
            <w:rPr>
              <w:b/>
            </w:rPr>
            <w:instrText>STYLEREF CharSchNo</w:instrText>
          </w:r>
          <w:r>
            <w:rPr>
              <w:b/>
            </w:rPr>
            <w:fldChar w:fldCharType="end"/>
          </w:r>
        </w:p>
      </w:tc>
    </w:tr>
  </w:tbl>
  <w:p>
    <w:pPr>
      <w:pStyle w:val="Header"/>
      <w:pBdr>
        <w:top w:val="single" w:sz="4" w:space="1" w:color="auto"/>
      </w:pBdr>
    </w:pPr>
    <w:bookmarkStart w:id="18" w:name="Schedule"/>
    <w:bookmarkEnd w:id="18"/>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
          </w:pPr>
          <w:r>
            <w:rPr>
              <w:b/>
              <w:i/>
            </w:rPr>
            <w:fldChar w:fldCharType="begin"/>
          </w:r>
          <w:r>
            <w:rPr>
              <w:b/>
              <w:i/>
            </w:rPr>
            <w:instrText>Styleref "Name of Act/Reg"</w:instrText>
          </w:r>
          <w:r>
            <w:rPr>
              <w:b/>
              <w:i/>
            </w:rPr>
            <w:fldChar w:fldCharType="separate"/>
          </w:r>
          <w:r>
            <w:rPr>
              <w:b/>
              <w:i/>
            </w:rPr>
            <w:t>Railway (Jandakot to Perth) Act 2002</w:t>
          </w:r>
          <w:r>
            <w:rPr>
              <w:b/>
              <w:i/>
            </w:rPr>
            <w:fldChar w:fldCharType="end"/>
          </w:r>
        </w:p>
      </w:tc>
    </w:tr>
    <w:tr>
      <w:tc>
        <w:tcPr>
          <w:tcW w:w="1548" w:type="dxa"/>
        </w:tcPr>
        <w:p>
          <w:pPr>
            <w:pStyle w:val="Header"/>
            <w:spacing w:before="40"/>
          </w:pPr>
        </w:p>
      </w:tc>
      <w:tc>
        <w:tcPr>
          <w:tcW w:w="5612" w:type="dxa"/>
        </w:tcPr>
        <w:p>
          <w:pPr>
            <w:pStyle w:val="Header"/>
            <w:spacing w:before="40"/>
          </w:pPr>
        </w:p>
      </w:tc>
    </w:tr>
    <w:tr>
      <w:tc>
        <w:tcPr>
          <w:tcW w:w="1548" w:type="dxa"/>
        </w:tcPr>
        <w:p>
          <w:pPr>
            <w:pStyle w:val="Header"/>
            <w:spacing w:before="40"/>
          </w:pPr>
        </w:p>
      </w:tc>
      <w:tc>
        <w:tcPr>
          <w:tcW w:w="5612" w:type="dxa"/>
        </w:tcPr>
        <w:p>
          <w:pPr>
            <w:pStyle w:val="Header"/>
            <w:spacing w:before="40"/>
          </w:pPr>
        </w:p>
      </w:tc>
    </w:tr>
    <w:tr>
      <w:trPr>
        <w:cantSplit/>
      </w:trPr>
      <w:tc>
        <w:tcPr>
          <w:tcW w:w="7160"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Railway (Jandakot to Perth) Act 2002</w:t>
          </w:r>
          <w:r>
            <w:rPr>
              <w:b/>
              <w:i/>
            </w:rPr>
            <w:fldChar w:fldCharType="end"/>
          </w:r>
        </w:p>
      </w:tc>
    </w:tr>
    <w:tr>
      <w:tc>
        <w:tcPr>
          <w:tcW w:w="5760" w:type="dxa"/>
        </w:tcPr>
        <w:p>
          <w:pPr>
            <w:pStyle w:val="Header"/>
            <w:spacing w:before="40"/>
            <w:jc w:val="right"/>
          </w:pPr>
        </w:p>
      </w:tc>
      <w:tc>
        <w:tcPr>
          <w:tcW w:w="1400" w:type="dxa"/>
        </w:tcPr>
        <w:p>
          <w:pPr>
            <w:pStyle w:val="Header"/>
            <w:spacing w:before="40"/>
            <w:ind w:right="17"/>
            <w:jc w:val="right"/>
          </w:pPr>
        </w:p>
      </w:tc>
    </w:tr>
    <w:tr>
      <w:tc>
        <w:tcPr>
          <w:tcW w:w="5760" w:type="dxa"/>
        </w:tcPr>
        <w:p>
          <w:pPr>
            <w:pStyle w:val="Header"/>
            <w:spacing w:before="40"/>
            <w:jc w:val="right"/>
          </w:pPr>
        </w:p>
      </w:tc>
      <w:tc>
        <w:tcPr>
          <w:tcW w:w="1400" w:type="dxa"/>
        </w:tcPr>
        <w:p>
          <w:pPr>
            <w:pStyle w:val="Header"/>
            <w:spacing w:before="40"/>
            <w:ind w:right="17"/>
            <w:jc w:val="right"/>
          </w:pPr>
        </w:p>
      </w:tc>
    </w:tr>
    <w:tr>
      <w:trPr>
        <w:cantSplit/>
      </w:trPr>
      <w:tc>
        <w:tcPr>
          <w:tcW w:w="7160" w:type="dxa"/>
          <w:gridSpan w:val="2"/>
        </w:tcPr>
        <w:p>
          <w:pPr>
            <w:pStyle w:val="Header"/>
            <w:spacing w:before="40"/>
            <w:ind w:right="17"/>
            <w:jc w:val="right"/>
          </w:pPr>
        </w:p>
      </w:tc>
    </w:tr>
  </w:tbl>
  <w:p>
    <w:pPr>
      <w:pStyle w:val="Header"/>
      <w:pBdr>
        <w:top w:val="single" w:sz="4" w:space="1" w:color="auto"/>
      </w:pBdr>
    </w:pPr>
    <w:bookmarkStart w:id="25" w:name="Compilation"/>
    <w:bookmarkEnd w:id="25"/>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6" w:name="Coversheet"/>
    <w:bookmarkEnd w:id="26"/>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Railway (Jandakot to Perth) Act 2002</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Railway (Jandakot to Perth) Act 2002</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Railway (Jandakot to Perth) Act 2002</w:t>
          </w:r>
          <w:r>
            <w:rPr>
              <w:b/>
              <w:i/>
            </w:rPr>
            <w:fldChar w:fldCharType="end"/>
          </w:r>
        </w:p>
      </w:tc>
    </w:tr>
    <w:tr>
      <w:tc>
        <w:tcPr>
          <w:tcW w:w="1548" w:type="dxa"/>
        </w:tcPr>
        <w:p>
          <w:pPr>
            <w:pStyle w:val="Header"/>
            <w:spacing w:before="40"/>
          </w:pPr>
          <w:r>
            <w:rPr>
              <w:b/>
            </w:rPr>
            <w:fldChar w:fldCharType="begin"/>
          </w:r>
          <w:r>
            <w:rPr>
              <w:b/>
            </w:rPr>
            <w:instrText xml:space="preserve"> styleref CharPartNo </w:instrText>
          </w:r>
          <w:r>
            <w:rPr>
              <w:b/>
            </w:rPr>
            <w:fldChar w:fldCharType="end"/>
          </w:r>
        </w:p>
      </w:tc>
      <w:tc>
        <w:tcPr>
          <w:tcW w:w="5715" w:type="dxa"/>
        </w:tcPr>
        <w:p>
          <w:pPr>
            <w:pStyle w:val="Header"/>
            <w:spacing w:before="40"/>
          </w:pPr>
          <w:r>
            <w:fldChar w:fldCharType="begin"/>
          </w:r>
          <w:r>
            <w:instrText xml:space="preserve"> styleref CharPartText </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s.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Railway (Jandakot to Perth) Act 2002</w:t>
          </w:r>
          <w:r>
            <w:rPr>
              <w:b/>
              <w:i/>
            </w:rPr>
            <w:fldChar w:fldCharType="end"/>
          </w:r>
        </w:p>
      </w:tc>
    </w:tr>
    <w:tr>
      <w:tc>
        <w:tcPr>
          <w:tcW w:w="5715" w:type="dxa"/>
        </w:tcPr>
        <w:p>
          <w:pPr>
            <w:pStyle w:val="Header"/>
            <w:spacing w:before="40"/>
            <w:jc w:val="right"/>
          </w:pPr>
          <w:r>
            <w:fldChar w:fldCharType="begin"/>
          </w:r>
          <w:r>
            <w:instrText xml:space="preserve"> styleref CharPartText </w:instrText>
          </w:r>
          <w:r>
            <w:fldChar w:fldCharType="end"/>
          </w:r>
        </w:p>
      </w:tc>
      <w:tc>
        <w:tcPr>
          <w:tcW w:w="1548"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s.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16967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760315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034D4A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D82D514"/>
    <w:lvl w:ilvl="0">
      <w:start w:val="1"/>
      <w:numFmt w:val="decimal"/>
      <w:pStyle w:val="ListNumber2"/>
      <w:lvlText w:val="%1."/>
      <w:lvlJc w:val="left"/>
      <w:pPr>
        <w:tabs>
          <w:tab w:val="num" w:pos="720"/>
        </w:tabs>
        <w:ind w:left="720" w:hanging="360"/>
      </w:pPr>
    </w:lvl>
  </w:abstractNum>
  <w:abstractNum w:abstractNumId="4">
    <w:nsid w:val="FFFFFF80"/>
    <w:multiLevelType w:val="singleLevel"/>
    <w:tmpl w:val="66A060A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774CF4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8A40A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788C12E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9E8FF40"/>
    <w:lvl w:ilvl="0">
      <w:start w:val="1"/>
      <w:numFmt w:val="decimal"/>
      <w:pStyle w:val="ListNumber"/>
      <w:lvlText w:val="%1."/>
      <w:lvlJc w:val="left"/>
      <w:pPr>
        <w:tabs>
          <w:tab w:val="num" w:pos="360"/>
        </w:tabs>
        <w:ind w:left="360" w:hanging="360"/>
      </w:pPr>
    </w:lvl>
  </w:abstractNum>
  <w:abstractNum w:abstractNumId="9">
    <w:nsid w:val="FFFFFF89"/>
    <w:multiLevelType w:val="singleLevel"/>
    <w:tmpl w:val="A0984F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3C2808C0"/>
    <w:multiLevelType w:val="singleLevel"/>
    <w:tmpl w:val="51488D92"/>
    <w:lvl w:ilvl="0">
      <w:start w:val="1"/>
      <w:numFmt w:val="bullet"/>
      <w:lvlText w:val=""/>
      <w:lvlJc w:val="left"/>
      <w:pPr>
        <w:tabs>
          <w:tab w:val="num" w:pos="1446"/>
        </w:tabs>
        <w:ind w:left="1446" w:hanging="567"/>
      </w:pPr>
      <w:rPr>
        <w:rFonts w:ascii="Symbol" w:hAnsi="Symbol" w:hint="default"/>
      </w:rPr>
    </w:lvl>
  </w:abstractNum>
  <w:abstractNum w:abstractNumId="16">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embedTrueTypeFonts/>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11162525"/>
    <w:docVar w:name="WAFER_20140124161239" w:val="RemoveTocBookmarks,RemoveUnusedBookmarks,RemoveLanguageTags,UsedStyles,ResetPageSize,UpdateArrangement"/>
    <w:docVar w:name="WAFER_20140124161239_GUID" w:val="ad25542e-0632-45c8-ac07-6c71f38d35cd"/>
    <w:docVar w:name="WAFER_20140124171944" w:val="RemoveTocBookmarks,RunningHeaders"/>
    <w:docVar w:name="WAFER_20140124171944_GUID" w:val="62a7100e-af7a-4add-ac28-1f22183a3170"/>
    <w:docVar w:name="WAFER_20150710114043" w:val="ResetPageSize,UpdateArrangement,UpdateNTable"/>
    <w:docVar w:name="WAFER_20150710114043_GUID" w:val="f1c771b6-ba40-434f-97a5-df081e9d94c1"/>
    <w:docVar w:name="WAFER_20151111162525" w:val="UpdateStyles,UsedStyles"/>
    <w:docVar w:name="WAFER_20151111162525_GUID" w:val="a10fbb42-274d-436a-8887-f206404b631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39"/>
    <w:lsdException w:name="toc 9" w:uiPriority="0"/>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pPr>
      <w:keepNext/>
      <w:spacing w:before="60" w:after="20"/>
      <w:ind w:left="1985" w:right="1134" w:hanging="567"/>
    </w:pPr>
    <w:rPr>
      <w:rFonts w:ascii="Times New Roman" w:hAnsi="Times New Roman"/>
      <w:b/>
      <w:noProof/>
      <w:sz w:val="22"/>
    </w:rPr>
  </w:style>
  <w:style w:type="paragraph" w:styleId="TOC5">
    <w:name w:val="toc 5"/>
    <w:next w:val="Normal"/>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New Roman" w:hAnsi="Times New Roman"/>
      <w:sz w:val="24"/>
    </w:rPr>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pPr>
      <w:shd w:val="clear" w:color="808080" w:fill="auto"/>
    </w:pPr>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160" w:line="260" w:lineRule="atLeast"/>
      <w:ind w:left="2608" w:hanging="2608"/>
    </w:pPr>
    <w:rPr>
      <w:rFonts w:ascii="Times New Roman" w:hAnsi="Times New Roman"/>
      <w:sz w:val="24"/>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paragraph" w:customStyle="1" w:styleId="TableAm">
    <w:name w:val="TableAm"/>
    <w:basedOn w:val="Normal"/>
    <w:pPr>
      <w:spacing w:before="120"/>
    </w:pPr>
  </w:style>
  <w:style w:type="paragraph" w:customStyle="1" w:styleId="TableAmNote">
    <w:name w:val="TableAmNote"/>
    <w:pPr>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PrincipalActRegPage1">
    <w:name w:val="PrincipalAct_Reg(Page 1)"/>
    <w:pPr>
      <w:spacing w:before="2600"/>
      <w:jc w:val="center"/>
    </w:pPr>
    <w:rPr>
      <w:sz w:val="24"/>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ReprintNo">
    <w:name w:val="ReprintNo"/>
    <w:rPr>
      <w:b/>
      <w:noProof/>
      <w:sz w:val="28"/>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defitem">
    <w:name w:val="yEdnote(defitem)"/>
    <w:basedOn w:val="yDefitem"/>
    <w:rPr>
      <w:i/>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39"/>
    <w:lsdException w:name="toc 9" w:uiPriority="0"/>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pPr>
      <w:keepNext/>
      <w:spacing w:before="60" w:after="20"/>
      <w:ind w:left="1985" w:right="1134" w:hanging="567"/>
    </w:pPr>
    <w:rPr>
      <w:rFonts w:ascii="Times New Roman" w:hAnsi="Times New Roman"/>
      <w:b/>
      <w:noProof/>
      <w:sz w:val="22"/>
    </w:rPr>
  </w:style>
  <w:style w:type="paragraph" w:styleId="TOC5">
    <w:name w:val="toc 5"/>
    <w:next w:val="Normal"/>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New Roman" w:hAnsi="Times New Roman"/>
      <w:sz w:val="24"/>
    </w:rPr>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pPr>
      <w:shd w:val="clear" w:color="808080" w:fill="auto"/>
    </w:pPr>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160" w:line="260" w:lineRule="atLeast"/>
      <w:ind w:left="2608" w:hanging="2608"/>
    </w:pPr>
    <w:rPr>
      <w:rFonts w:ascii="Times New Roman" w:hAnsi="Times New Roman"/>
      <w:sz w:val="24"/>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paragraph" w:customStyle="1" w:styleId="TableAm">
    <w:name w:val="TableAm"/>
    <w:basedOn w:val="Normal"/>
    <w:pPr>
      <w:spacing w:before="120"/>
    </w:pPr>
  </w:style>
  <w:style w:type="paragraph" w:customStyle="1" w:styleId="TableAmNote">
    <w:name w:val="TableAmNote"/>
    <w:pPr>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PrincipalActRegPage1">
    <w:name w:val="PrincipalAct_Reg(Page 1)"/>
    <w:pPr>
      <w:spacing w:before="2600"/>
      <w:jc w:val="center"/>
    </w:pPr>
    <w:rPr>
      <w:sz w:val="24"/>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ReprintNo">
    <w:name w:val="ReprintNo"/>
    <w:rPr>
      <w:b/>
      <w:noProof/>
      <w:sz w:val="28"/>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defitem">
    <w:name w:val="yEdnote(defitem)"/>
    <w:basedOn w:val="yDefitem"/>
    <w:rPr>
      <w:i/>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633</Words>
  <Characters>3054</Characters>
  <Application>Microsoft Office Word</Application>
  <DocSecurity>0</DocSecurity>
  <Lines>101</Lines>
  <Paragraphs>58</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3629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Railway (Jandakot to Perth) Act 2002 - 00-a0-11</dc:title>
  <dc:subject/>
  <dc:creator/>
  <cp:keywords/>
  <dc:description/>
  <cp:lastModifiedBy>svcMRProcess</cp:lastModifiedBy>
  <cp:revision>4</cp:revision>
  <cp:lastPrinted>2002-12-09T02:47:00Z</cp:lastPrinted>
  <dcterms:created xsi:type="dcterms:W3CDTF">2019-01-29T04:48:00Z</dcterms:created>
  <dcterms:modified xsi:type="dcterms:W3CDTF">2019-01-29T04:48:00Z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40 of 2002</vt:lpwstr>
  </property>
  <property fmtid="{D5CDD505-2E9C-101B-9397-08002B2CF9AE}" pid="3" name="CommencementDate">
    <vt:lpwstr>20021205</vt:lpwstr>
  </property>
  <property fmtid="{D5CDD505-2E9C-101B-9397-08002B2CF9AE}" pid="4" name="DocumentType">
    <vt:lpwstr>Act</vt:lpwstr>
  </property>
  <property fmtid="{D5CDD505-2E9C-101B-9397-08002B2CF9AE}" pid="5" name="AsAtDate">
    <vt:lpwstr>05 Dec 2002</vt:lpwstr>
  </property>
  <property fmtid="{D5CDD505-2E9C-101B-9397-08002B2CF9AE}" pid="6" name="Suffix">
    <vt:lpwstr>00-a0-11</vt:lpwstr>
  </property>
</Properties>
</file>