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Petroleum and Geothermal Energy Resources Act 1967</w:t>
      </w:r>
    </w:p>
    <w:p>
      <w:pPr>
        <w:pStyle w:val="NameofActRegPage1"/>
        <w:spacing w:before="1960" w:after="4200"/>
        <w:ind w:left="482"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and Geothermal Energy Resources Regulations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Regulations 1987</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_Toc261269936 \h </w:instrText>
      </w:r>
      <w:r>
        <w:fldChar w:fldCharType="separate"/>
      </w:r>
      <w:r>
        <w:t>1</w:t>
      </w:r>
      <w:r>
        <w:fldChar w:fldCharType="end"/>
      </w:r>
    </w:p>
    <w:p>
      <w:pPr>
        <w:pStyle w:val="TOC8"/>
        <w:rPr>
          <w:sz w:val="24"/>
          <w:szCs w:val="24"/>
        </w:rPr>
      </w:pPr>
      <w:r>
        <w:rPr>
          <w:szCs w:val="24"/>
        </w:rPr>
        <w:t>1A.</w:t>
      </w:r>
      <w:r>
        <w:rPr>
          <w:szCs w:val="24"/>
        </w:rPr>
        <w:tab/>
        <w:t>Terms used</w:t>
      </w:r>
      <w:r>
        <w:tab/>
      </w:r>
      <w:r>
        <w:fldChar w:fldCharType="begin"/>
      </w:r>
      <w:r>
        <w:instrText xml:space="preserve"> PAGEREF _Toc261269937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Compensation may be determined by Magistrates Court</w:t>
      </w:r>
      <w:r>
        <w:tab/>
      </w:r>
      <w:r>
        <w:fldChar w:fldCharType="begin"/>
      </w:r>
      <w:r>
        <w:instrText xml:space="preserve"> PAGEREF _Toc261269938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Prescribed fees, rates and sums</w:t>
      </w:r>
      <w:r>
        <w:tab/>
      </w:r>
      <w:r>
        <w:fldChar w:fldCharType="begin"/>
      </w:r>
      <w:r>
        <w:instrText xml:space="preserve"> PAGEREF _Toc261269939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Form of instrument of transfer</w:t>
      </w:r>
      <w:r>
        <w:tab/>
      </w:r>
      <w:r>
        <w:fldChar w:fldCharType="begin"/>
      </w:r>
      <w:r>
        <w:instrText xml:space="preserve"> PAGEREF _Toc261269940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Instrument under section 75(4)(b) of Act</w:t>
      </w:r>
      <w:r>
        <w:tab/>
      </w:r>
      <w:r>
        <w:fldChar w:fldCharType="begin"/>
      </w:r>
      <w:r>
        <w:instrText xml:space="preserve"> PAGEREF _Toc261269941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Royalty value — deductible imposts</w:t>
      </w:r>
      <w:r>
        <w:tab/>
      </w:r>
      <w:r>
        <w:fldChar w:fldCharType="begin"/>
      </w:r>
      <w:r>
        <w:instrText xml:space="preserve"> PAGEREF _Toc261269942 \h </w:instrText>
      </w:r>
      <w:r>
        <w:fldChar w:fldCharType="separate"/>
      </w:r>
      <w:r>
        <w:t>6</w:t>
      </w:r>
      <w:r>
        <w:fldChar w:fldCharType="end"/>
      </w:r>
    </w:p>
    <w:p>
      <w:pPr>
        <w:pStyle w:val="TOC8"/>
        <w:rPr>
          <w:sz w:val="24"/>
          <w:szCs w:val="24"/>
        </w:rPr>
      </w:pPr>
      <w:r>
        <w:rPr>
          <w:szCs w:val="24"/>
        </w:rPr>
        <w:t>9.</w:t>
      </w:r>
      <w:r>
        <w:rPr>
          <w:szCs w:val="24"/>
        </w:rPr>
        <w:tab/>
        <w:t>Application of Geocentric Datum of Australia</w:t>
      </w:r>
      <w:r>
        <w:tab/>
      </w:r>
      <w:r>
        <w:fldChar w:fldCharType="begin"/>
      </w:r>
      <w:r>
        <w:instrText xml:space="preserve"> PAGEREF _Toc261269943 \h </w:instrText>
      </w:r>
      <w:r>
        <w:fldChar w:fldCharType="separate"/>
      </w:r>
      <w:r>
        <w:t>7</w:t>
      </w:r>
      <w:r>
        <w:fldChar w:fldCharType="end"/>
      </w:r>
    </w:p>
    <w:p>
      <w:pPr>
        <w:pStyle w:val="TOC8"/>
        <w:rPr>
          <w:sz w:val="24"/>
          <w:szCs w:val="24"/>
        </w:rPr>
      </w:pPr>
      <w:r>
        <w:rPr>
          <w:szCs w:val="24"/>
        </w:rPr>
        <w:t>10.</w:t>
      </w:r>
      <w:r>
        <w:rPr>
          <w:szCs w:val="24"/>
        </w:rPr>
        <w:tab/>
        <w:t>Application of GDA to certain instruments</w:t>
      </w:r>
      <w:r>
        <w:tab/>
      </w:r>
      <w:r>
        <w:fldChar w:fldCharType="begin"/>
      </w:r>
      <w:r>
        <w:instrText xml:space="preserve"> PAGEREF _Toc261269944 \h </w:instrText>
      </w:r>
      <w:r>
        <w:fldChar w:fldCharType="separate"/>
      </w:r>
      <w:r>
        <w:t>8</w:t>
      </w:r>
      <w:r>
        <w:fldChar w:fldCharType="end"/>
      </w:r>
    </w:p>
    <w:p>
      <w:pPr>
        <w:pStyle w:val="TOC8"/>
        <w:rPr>
          <w:sz w:val="24"/>
          <w:szCs w:val="24"/>
        </w:rPr>
      </w:pPr>
      <w:r>
        <w:rPr>
          <w:szCs w:val="24"/>
        </w:rPr>
        <w:t>11.</w:t>
      </w:r>
      <w:r>
        <w:rPr>
          <w:szCs w:val="24"/>
        </w:rPr>
        <w:tab/>
        <w:t>Application of Australian Geodetic Datum</w:t>
      </w:r>
      <w:r>
        <w:tab/>
      </w:r>
      <w:r>
        <w:fldChar w:fldCharType="begin"/>
      </w:r>
      <w:r>
        <w:instrText xml:space="preserve"> PAGEREF _Toc261269945 \h </w:instrText>
      </w:r>
      <w:r>
        <w:fldChar w:fldCharType="separate"/>
      </w:r>
      <w:r>
        <w:t>9</w:t>
      </w:r>
      <w:r>
        <w:fldChar w:fldCharType="end"/>
      </w:r>
    </w:p>
    <w:p>
      <w:pPr>
        <w:pStyle w:val="TOC2"/>
        <w:tabs>
          <w:tab w:val="right" w:leader="dot" w:pos="7086"/>
        </w:tabs>
        <w:rPr>
          <w:b w:val="0"/>
          <w:sz w:val="24"/>
          <w:szCs w:val="24"/>
        </w:rPr>
      </w:pPr>
      <w:r>
        <w:rPr>
          <w:szCs w:val="28"/>
        </w:rPr>
        <w:t>Schedule 1 — Prescribed fees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_Toc261269949 \h </w:instrText>
      </w:r>
      <w:r>
        <w:fldChar w:fldCharType="separate"/>
      </w:r>
      <w:r>
        <w:t>13</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120" w:after="600"/>
        <w:rPr>
          <w:snapToGrid w:val="0"/>
        </w:rPr>
      </w:pPr>
      <w:r>
        <w:t>Petroleum and Geothermal Energy Resources Act 1967</w:t>
      </w:r>
    </w:p>
    <w:p>
      <w:pPr>
        <w:pStyle w:val="NameofActReg"/>
        <w:spacing w:before="600" w:after="840"/>
      </w:pPr>
      <w:r>
        <w:t>Petroleum</w:t>
      </w:r>
      <w:r>
        <w:rPr>
          <w:i/>
          <w:iCs/>
        </w:rPr>
        <w:t xml:space="preserve"> </w:t>
      </w:r>
      <w:r>
        <w:t>and Geothermal Energy Resources Regulations 1987</w:t>
      </w:r>
    </w:p>
    <w:p>
      <w:pPr>
        <w:pStyle w:val="Heading5"/>
        <w:rPr>
          <w:snapToGrid w:val="0"/>
        </w:rPr>
      </w:pPr>
      <w:bookmarkStart w:id="1" w:name="_Toc501858338"/>
      <w:bookmarkStart w:id="2" w:name="_Toc510946880"/>
      <w:bookmarkStart w:id="3" w:name="_Toc512934863"/>
      <w:bookmarkStart w:id="4" w:name="_Toc34197677"/>
      <w:bookmarkStart w:id="5" w:name="_Toc261269936"/>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 </w:t>
      </w:r>
      <w:r>
        <w:rPr>
          <w:snapToGrid w:val="0"/>
          <w:vertAlign w:val="superscript"/>
        </w:rPr>
        <w:t>1</w:t>
      </w:r>
      <w:r>
        <w:rPr>
          <w:snapToGrid w:val="0"/>
        </w:rPr>
        <w:t>.</w:t>
      </w:r>
    </w:p>
    <w:p>
      <w:pPr>
        <w:pStyle w:val="Footnotesection"/>
        <w:rPr>
          <w:i w:val="0"/>
        </w:rPr>
      </w:pPr>
      <w:r>
        <w:tab/>
        <w:t>[Regulation 1 amended in Gazette 23 Jun 2009 p. 2471.]</w:t>
      </w:r>
    </w:p>
    <w:p>
      <w:pPr>
        <w:pStyle w:val="Heading5"/>
      </w:pPr>
      <w:bookmarkStart w:id="6" w:name="_Toc501858339"/>
      <w:bookmarkStart w:id="7" w:name="_Toc510946881"/>
      <w:bookmarkStart w:id="8" w:name="_Toc512934864"/>
      <w:bookmarkStart w:id="9" w:name="_Toc34197678"/>
      <w:bookmarkStart w:id="10" w:name="_Toc261269937"/>
      <w:r>
        <w:rPr>
          <w:rStyle w:val="CharSectno"/>
        </w:rPr>
        <w:t>1A</w:t>
      </w:r>
      <w:r>
        <w:t>.</w:t>
      </w:r>
      <w:r>
        <w:tab/>
      </w:r>
      <w:bookmarkEnd w:id="6"/>
      <w:bookmarkEnd w:id="7"/>
      <w:bookmarkEnd w:id="8"/>
      <w:bookmarkEnd w:id="9"/>
      <w:r>
        <w:t>Terms used</w:t>
      </w:r>
      <w:bookmarkEnd w:id="10"/>
    </w:p>
    <w:p>
      <w:pPr>
        <w:pStyle w:val="Subsection"/>
      </w:pPr>
      <w:r>
        <w:tab/>
      </w:r>
      <w:r>
        <w:tab/>
        <w:t xml:space="preserve">In these regulations — </w:t>
      </w:r>
    </w:p>
    <w:p>
      <w:pPr>
        <w:pStyle w:val="Defstart"/>
      </w:pPr>
      <w:r>
        <w:tab/>
      </w:r>
      <w:r>
        <w:rPr>
          <w:rStyle w:val="CharDefText"/>
        </w:rPr>
        <w:t>the AGD</w:t>
      </w:r>
      <w:r>
        <w:t xml:space="preserve"> means the Australian Geodetic Datum referred to in regulation 11;</w:t>
      </w:r>
    </w:p>
    <w:p>
      <w:pPr>
        <w:pStyle w:val="Defstart"/>
      </w:pPr>
      <w:r>
        <w:tab/>
      </w:r>
      <w:r>
        <w:rPr>
          <w:rStyle w:val="CharDefText"/>
        </w:rPr>
        <w:t>the GDA</w:t>
      </w:r>
      <w:r>
        <w:t xml:space="preserve"> means the Geocentric Datum of Australia referred to in regulation 9.</w:t>
      </w:r>
    </w:p>
    <w:p>
      <w:pPr>
        <w:pStyle w:val="Footnotesection"/>
      </w:pPr>
      <w:r>
        <w:tab/>
        <w:t>[Regulation 1A inserted in Gazette 15 Dec 2000 p. 7213.]</w:t>
      </w:r>
    </w:p>
    <w:p>
      <w:pPr>
        <w:pStyle w:val="Heading5"/>
        <w:rPr>
          <w:snapToGrid w:val="0"/>
        </w:rPr>
      </w:pPr>
      <w:bookmarkStart w:id="11" w:name="_Toc501858340"/>
      <w:bookmarkStart w:id="12" w:name="_Toc510946882"/>
      <w:bookmarkStart w:id="13" w:name="_Toc512934865"/>
      <w:bookmarkStart w:id="14" w:name="_Toc34197679"/>
      <w:bookmarkStart w:id="15" w:name="_Toc261269938"/>
      <w:r>
        <w:rPr>
          <w:rStyle w:val="CharSectno"/>
        </w:rPr>
        <w:t>2</w:t>
      </w:r>
      <w:r>
        <w:rPr>
          <w:snapToGrid w:val="0"/>
        </w:rPr>
        <w:t>.</w:t>
      </w:r>
      <w:r>
        <w:rPr>
          <w:snapToGrid w:val="0"/>
        </w:rPr>
        <w:tab/>
        <w:t>Compensation may be determined by Magistrates Court</w:t>
      </w:r>
      <w:bookmarkEnd w:id="11"/>
      <w:bookmarkEnd w:id="12"/>
      <w:bookmarkEnd w:id="13"/>
      <w:bookmarkEnd w:id="14"/>
      <w:bookmarkEnd w:id="15"/>
    </w:p>
    <w:p>
      <w:pPr>
        <w:pStyle w:val="Subsection"/>
        <w:rPr>
          <w:snapToGrid w:val="0"/>
        </w:rPr>
      </w:pPr>
      <w:r>
        <w:rPr>
          <w:snapToGrid w:val="0"/>
        </w:rPr>
        <w:tab/>
      </w:r>
      <w:r>
        <w:rPr>
          <w:snapToGrid w:val="0"/>
        </w:rPr>
        <w:tab/>
        <w:t>The prescribed time for the purposes of section 17(4) of the Act is — </w:t>
      </w:r>
    </w:p>
    <w:p>
      <w:pPr>
        <w:pStyle w:val="Indenta"/>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licensee intends to commence operations on the private land; 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pPr>
        <w:pStyle w:val="Footnotesection"/>
      </w:pPr>
      <w:r>
        <w:tab/>
        <w:t>[Regulation 2 amended in Gazette 28 Sep 1990 p. 5100; 23 Jun 2009 p. 2471</w:t>
      </w:r>
      <w:r>
        <w:noBreakHyphen/>
        <w:t xml:space="preserve">2.] </w:t>
      </w:r>
    </w:p>
    <w:p>
      <w:pPr>
        <w:pStyle w:val="Heading5"/>
        <w:rPr>
          <w:snapToGrid w:val="0"/>
        </w:rPr>
      </w:pPr>
      <w:bookmarkStart w:id="16" w:name="_Toc501858341"/>
      <w:bookmarkStart w:id="17" w:name="_Toc510946883"/>
      <w:bookmarkStart w:id="18" w:name="_Toc512934866"/>
      <w:bookmarkStart w:id="19" w:name="_Toc34197680"/>
      <w:bookmarkStart w:id="20" w:name="_Toc261269939"/>
      <w:r>
        <w:rPr>
          <w:rStyle w:val="CharSectno"/>
        </w:rPr>
        <w:t>3</w:t>
      </w:r>
      <w:r>
        <w:rPr>
          <w:snapToGrid w:val="0"/>
        </w:rPr>
        <w:t>.</w:t>
      </w:r>
      <w:r>
        <w:rPr>
          <w:snapToGrid w:val="0"/>
        </w:rPr>
        <w:tab/>
        <w:t>Prescribed fees, rates and sums</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For the purposes of section 81(2) of the Act, the prescribed rate is a rate of $3.50 per page.</w:t>
      </w:r>
    </w:p>
    <w:p>
      <w:pPr>
        <w:pStyle w:val="Ednotesubsection"/>
      </w:pPr>
      <w:r>
        <w:tab/>
        <w:t>[(3)</w:t>
      </w:r>
      <w:r>
        <w:tab/>
        <w:t>deleted]</w:t>
      </w:r>
    </w:p>
    <w:p>
      <w:pPr>
        <w:pStyle w:val="Subsection"/>
        <w:rPr>
          <w:snapToGrid w:val="0"/>
        </w:rPr>
      </w:pPr>
      <w:r>
        <w:rPr>
          <w:snapToGrid w:val="0"/>
        </w:rPr>
        <w:tab/>
        <w:t>(4)</w:t>
      </w:r>
      <w:r>
        <w:rPr>
          <w:snapToGrid w:val="0"/>
        </w:rPr>
        <w:tab/>
        <w:t>For the purposes of section 112(1a)(b), (2)(b), (5)(c) and (5a)(b) of the Act, the prescribed fee is an amount equal to the sum of the following amounts — </w:t>
      </w:r>
    </w:p>
    <w:p>
      <w:pPr>
        <w:pStyle w:val="Indenta"/>
        <w:rPr>
          <w:snapToGrid w:val="0"/>
        </w:rPr>
      </w:pPr>
      <w:r>
        <w:rPr>
          <w:snapToGrid w:val="0"/>
        </w:rPr>
        <w:tab/>
        <w:t>(a)</w:t>
      </w:r>
      <w:r>
        <w:rPr>
          <w:snapToGrid w:val="0"/>
        </w:rPr>
        <w:tab/>
        <w:t>if the information requested is contained in a document and the document is lent to the person who made that request, an amount calculated at the rate of $39.00 per day or part of a day during which the document containing that information is on loan to that person;</w:t>
      </w:r>
    </w:p>
    <w:p>
      <w:pPr>
        <w:pStyle w:val="Indenta"/>
        <w:rPr>
          <w:snapToGrid w:val="0"/>
        </w:rPr>
      </w:pPr>
      <w:r>
        <w:rPr>
          <w:snapToGrid w:val="0"/>
        </w:rPr>
        <w:tab/>
        <w:t>(b)</w:t>
      </w:r>
      <w:r>
        <w:rPr>
          <w:snapToGrid w:val="0"/>
        </w:rPr>
        <w:tab/>
        <w:t>if the information requested is contained in a document and the document is not readily available and a search is necessary to locate that information, an amount calculated at the rate of $39.00 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rPr>
          <w:snapToGrid w:val="0"/>
        </w:rPr>
      </w:pPr>
      <w:r>
        <w:rPr>
          <w:snapToGrid w:val="0"/>
        </w:rPr>
        <w:tab/>
        <w:t>(5)</w:t>
      </w:r>
      <w:r>
        <w:rPr>
          <w:snapToGrid w:val="0"/>
        </w:rPr>
        <w:tab/>
        <w:t>For the purposes of section 112(3)(b) and (5)(d) of the Act, the prescribed fee is an amount equal to the sum of the following amounts — </w:t>
      </w:r>
    </w:p>
    <w:p>
      <w:pPr>
        <w:pStyle w:val="Indenta"/>
        <w:rPr>
          <w:snapToGrid w:val="0"/>
        </w:rPr>
      </w:pPr>
      <w:r>
        <w:rPr>
          <w:snapToGrid w:val="0"/>
        </w:rPr>
        <w:tab/>
        <w:t>(a)</w:t>
      </w:r>
      <w:r>
        <w:rPr>
          <w:snapToGrid w:val="0"/>
        </w:rPr>
        <w:tab/>
        <w:t>if the relevant core, cutting or sample is lent to the person who made the request concerned, an amount calculated at the rate of $39.00 per day or part of a day during which that core, cutting or sample is on loan to that person;</w:t>
      </w:r>
    </w:p>
    <w:p>
      <w:pPr>
        <w:pStyle w:val="Indenta"/>
        <w:rPr>
          <w:snapToGrid w:val="0"/>
        </w:rPr>
      </w:pPr>
      <w:r>
        <w:rPr>
          <w:snapToGrid w:val="0"/>
        </w:rPr>
        <w:tab/>
        <w:t>(b)</w:t>
      </w:r>
      <w:r>
        <w:rPr>
          <w:snapToGrid w:val="0"/>
        </w:rPr>
        <w:tab/>
        <w:t>if the relevant core, cutting or sample is not readily available and a search is necessary to locate that core, cutting or sample, an amount calculated at the rate of $39.00 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For the purposes of section 137(b) of the Act, the prescribed rate is a rate of $78.00.</w:t>
      </w:r>
    </w:p>
    <w:p>
      <w:pPr>
        <w:pStyle w:val="Subsection"/>
        <w:rPr>
          <w:snapToGrid w:val="0"/>
        </w:rPr>
      </w:pPr>
      <w:r>
        <w:rPr>
          <w:snapToGrid w:val="0"/>
        </w:rPr>
        <w:tab/>
        <w:t>(7)</w:t>
      </w:r>
      <w:r>
        <w:rPr>
          <w:snapToGrid w:val="0"/>
        </w:rPr>
        <w:tab/>
        <w:t>For the purposes of section 137A of the Act, the prescribed rate is a rate of $</w:t>
      </w:r>
      <w:r>
        <w:t>9 401.00.</w:t>
      </w:r>
    </w:p>
    <w:p>
      <w:pPr>
        <w:pStyle w:val="Subsection"/>
        <w:keepNext/>
        <w:keepLines/>
        <w:rPr>
          <w:snapToGrid w:val="0"/>
        </w:rPr>
      </w:pPr>
      <w:r>
        <w:rPr>
          <w:snapToGrid w:val="0"/>
        </w:rPr>
        <w:tab/>
        <w:t>(8)</w:t>
      </w:r>
      <w:r>
        <w:rPr>
          <w:snapToGrid w:val="0"/>
        </w:rPr>
        <w:tab/>
        <w:t>For the purposes of section 138 of the Act, the prescribed rate is a rate of</w:t>
      </w:r>
      <w:r>
        <w:t xml:space="preserve"> $23 455.00.</w:t>
      </w:r>
    </w:p>
    <w:p>
      <w:pPr>
        <w:pStyle w:val="Footnotesection"/>
        <w:keepLines w:val="0"/>
      </w:pPr>
      <w:r>
        <w:tab/>
        <w:t>[Regulation 3 inserted in Gazette 28 Sep 1990 p. 5100</w:t>
      </w:r>
      <w:r>
        <w:noBreakHyphen/>
        <w:t xml:space="preserve">1; amended in Gazette 22 Jul 1994 p. 3780; 27 Jun 2000 p. 3252; 28 Jun 2002 p.  3090-1; 28 Feb 2003 p. 669-70; 23 Jun 2009 p. 2472; 9 Feb 2010 p. 271; 11 May 2010 p. 1817.] </w:t>
      </w:r>
    </w:p>
    <w:p>
      <w:pPr>
        <w:pStyle w:val="Ednotesection"/>
      </w:pPr>
      <w:r>
        <w:t>[</w:t>
      </w:r>
      <w:r>
        <w:rPr>
          <w:b/>
          <w:bCs/>
        </w:rPr>
        <w:t>3A.</w:t>
      </w:r>
      <w:r>
        <w:tab/>
        <w:t>Deleted in Gazette 23 Jun 2009 p. 2472.]</w:t>
      </w:r>
    </w:p>
    <w:p>
      <w:pPr>
        <w:pStyle w:val="Heading5"/>
        <w:rPr>
          <w:snapToGrid w:val="0"/>
        </w:rPr>
      </w:pPr>
      <w:bookmarkStart w:id="21" w:name="_Toc501858343"/>
      <w:bookmarkStart w:id="22" w:name="_Toc510946885"/>
      <w:bookmarkStart w:id="23" w:name="_Toc512934868"/>
      <w:bookmarkStart w:id="24" w:name="_Toc34197682"/>
      <w:bookmarkStart w:id="25" w:name="_Toc261269940"/>
      <w:r>
        <w:rPr>
          <w:rStyle w:val="CharSectno"/>
        </w:rPr>
        <w:t>4</w:t>
      </w:r>
      <w:r>
        <w:rPr>
          <w:snapToGrid w:val="0"/>
        </w:rPr>
        <w:t>.</w:t>
      </w:r>
      <w:r>
        <w:rPr>
          <w:snapToGrid w:val="0"/>
        </w:rPr>
        <w:tab/>
        <w:t>Form of instrument of transfer</w:t>
      </w:r>
      <w:bookmarkEnd w:id="21"/>
      <w:bookmarkEnd w:id="22"/>
      <w:bookmarkEnd w:id="23"/>
      <w:bookmarkEnd w:id="24"/>
      <w:bookmarkEnd w:id="25"/>
      <w:r>
        <w:rPr>
          <w:snapToGrid w:val="0"/>
        </w:rPr>
        <w:t xml:space="preserve"> </w:t>
      </w:r>
    </w:p>
    <w:p>
      <w:pPr>
        <w:pStyle w:val="Subsection"/>
        <w:rPr>
          <w:snapToGrid w:val="0"/>
          <w:spacing w:val="-4"/>
        </w:rPr>
      </w:pPr>
      <w:r>
        <w:rPr>
          <w:snapToGrid w:val="0"/>
        </w:rPr>
        <w:tab/>
      </w:r>
      <w:r>
        <w:rPr>
          <w:snapToGrid w:val="0"/>
        </w:rPr>
        <w:tab/>
      </w:r>
      <w:r>
        <w:rPr>
          <w:snapToGrid w:val="0"/>
          <w:spacing w:val="-4"/>
        </w:rPr>
        <w:t>For the purposes of section 72(3)(a) of the Act, the prescribed form of an instrument of transfer is the form set out in Schedule 2.</w:t>
      </w:r>
    </w:p>
    <w:p>
      <w:pPr>
        <w:pStyle w:val="Footnotesection"/>
      </w:pPr>
      <w:r>
        <w:tab/>
        <w:t xml:space="preserve">[Regulation 4 inserted in Gazette 28 Sep 1990 p. 5101.] </w:t>
      </w:r>
    </w:p>
    <w:p>
      <w:pPr>
        <w:pStyle w:val="Heading5"/>
        <w:rPr>
          <w:snapToGrid w:val="0"/>
        </w:rPr>
      </w:pPr>
      <w:bookmarkStart w:id="26" w:name="_Toc501858344"/>
      <w:bookmarkStart w:id="27" w:name="_Toc510946886"/>
      <w:bookmarkStart w:id="28" w:name="_Toc512934869"/>
      <w:bookmarkStart w:id="29" w:name="_Toc34197683"/>
      <w:bookmarkStart w:id="30" w:name="_Toc261269941"/>
      <w:r>
        <w:rPr>
          <w:rStyle w:val="CharSectno"/>
        </w:rPr>
        <w:t>5</w:t>
      </w:r>
      <w:r>
        <w:rPr>
          <w:snapToGrid w:val="0"/>
        </w:rPr>
        <w:t>.</w:t>
      </w:r>
      <w:r>
        <w:rPr>
          <w:snapToGrid w:val="0"/>
        </w:rPr>
        <w:tab/>
        <w:t>Instrument under section 75(4)(b) of Act</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For the purposes of section 75(4)(b) of the Act, the following particulars are prescribed — </w:t>
      </w:r>
    </w:p>
    <w:p>
      <w:pPr>
        <w:pStyle w:val="Indenta"/>
        <w:rPr>
          <w:snapToGrid w:val="0"/>
        </w:rPr>
      </w:pPr>
      <w:r>
        <w:rPr>
          <w:snapToGrid w:val="0"/>
        </w:rPr>
        <w:tab/>
        <w:t>(a)</w:t>
      </w:r>
      <w:r>
        <w:rPr>
          <w:snapToGrid w:val="0"/>
          <w:spacing w:val="-4"/>
        </w:rPr>
        <w:tab/>
        <w:t xml:space="preserve">description and date of execution of the instrument evidencing the dealing referred to in section 75(4)(a) of the Act (in this subregulation referred to as </w:t>
      </w:r>
      <w:r>
        <w:rPr>
          <w:rStyle w:val="CharDefText"/>
        </w:rPr>
        <w:t>the dealing</w:t>
      </w:r>
      <w:r>
        <w:rPr>
          <w:snapToGrid w:val="0"/>
          <w:spacing w:val="-4"/>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spacing w:before="120"/>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 xml:space="preserve">creates or assigns a right to enter into the dealing referred to in subregulation (1)(a); or </w:t>
      </w:r>
    </w:p>
    <w:p>
      <w:pPr>
        <w:pStyle w:val="Defsubpara"/>
        <w:rPr>
          <w:snapToGrid w:val="0"/>
        </w:rPr>
      </w:pPr>
      <w:r>
        <w:rPr>
          <w:snapToGrid w:val="0"/>
        </w:rPr>
        <w:tab/>
        <w:t>(iii)</w:t>
      </w:r>
      <w:r>
        <w:rPr>
          <w:snapToGrid w:val="0"/>
        </w:rP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rPr>
          <w:vertAlign w:val="superscript"/>
        </w:rPr>
        <w:t> 2</w:t>
      </w:r>
      <w:r>
        <w:t>.</w:t>
      </w:r>
    </w:p>
    <w:p>
      <w:pPr>
        <w:pStyle w:val="Footnotesection"/>
      </w:pPr>
      <w:r>
        <w:tab/>
        <w:t>[Regulation 5 inserted in Gazette 28 Sep 1990 p. 5101</w:t>
      </w:r>
      <w:r>
        <w:noBreakHyphen/>
        <w:t xml:space="preserve">2; amended in Gazette 23 Jun 2009 p. 2472.] </w:t>
      </w:r>
    </w:p>
    <w:p>
      <w:pPr>
        <w:pStyle w:val="Ednotesection"/>
      </w:pPr>
      <w:bookmarkStart w:id="31" w:name="_Toc501858347"/>
      <w:bookmarkStart w:id="32" w:name="_Toc510946889"/>
      <w:bookmarkStart w:id="33" w:name="_Toc512934872"/>
      <w:bookmarkStart w:id="34" w:name="_Toc34197686"/>
      <w:r>
        <w:t>[</w:t>
      </w:r>
      <w:r>
        <w:rPr>
          <w:b/>
          <w:bCs/>
        </w:rPr>
        <w:t>6, 7.</w:t>
      </w:r>
      <w:r>
        <w:tab/>
        <w:t>Deleted in Gazette 23 Jun 2009 p. 2472.]</w:t>
      </w:r>
    </w:p>
    <w:p>
      <w:pPr>
        <w:pStyle w:val="Heading5"/>
        <w:spacing w:before="180"/>
        <w:rPr>
          <w:snapToGrid w:val="0"/>
        </w:rPr>
      </w:pPr>
      <w:bookmarkStart w:id="35" w:name="_Toc261269942"/>
      <w:r>
        <w:rPr>
          <w:rStyle w:val="CharSectno"/>
        </w:rPr>
        <w:t>8</w:t>
      </w:r>
      <w:r>
        <w:rPr>
          <w:snapToGrid w:val="0"/>
        </w:rPr>
        <w:t>.</w:t>
      </w:r>
      <w:r>
        <w:rPr>
          <w:snapToGrid w:val="0"/>
        </w:rPr>
        <w:tab/>
        <w:t>Royalty value — deductible imposts</w:t>
      </w:r>
      <w:bookmarkEnd w:id="31"/>
      <w:bookmarkEnd w:id="32"/>
      <w:bookmarkEnd w:id="33"/>
      <w:bookmarkEnd w:id="34"/>
      <w:bookmarkEnd w:id="35"/>
      <w:r>
        <w:rPr>
          <w:snapToGrid w:val="0"/>
        </w:rPr>
        <w:t xml:space="preserve"> </w:t>
      </w:r>
    </w:p>
    <w:p>
      <w:pPr>
        <w:pStyle w:val="Subsection"/>
        <w:spacing w:before="120"/>
        <w:rPr>
          <w:snapToGrid w:val="0"/>
        </w:rPr>
      </w:pPr>
      <w:r>
        <w:rPr>
          <w:snapToGrid w:val="0"/>
        </w:rPr>
        <w:tab/>
      </w:r>
      <w:r>
        <w:rPr>
          <w:snapToGrid w:val="0"/>
        </w:rPr>
        <w:tab/>
        <w:t xml:space="preserve">The following imposts are excluded from the definition of </w:t>
      </w:r>
      <w:r>
        <w:rPr>
          <w:b/>
          <w:bCs/>
          <w:i/>
          <w:iCs/>
          <w:snapToGrid w:val="0"/>
        </w:rPr>
        <w:t>federal duty</w:t>
      </w:r>
      <w:r>
        <w:rPr>
          <w:snapToGrid w:val="0"/>
        </w:rPr>
        <w:t xml:space="preserve">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in Gazette 20 May 1994 p. 2124</w:t>
      </w:r>
      <w:r>
        <w:noBreakHyphen/>
        <w:t xml:space="preserve">5.] </w:t>
      </w:r>
    </w:p>
    <w:p>
      <w:pPr>
        <w:pStyle w:val="Heading5"/>
        <w:spacing w:before="180"/>
      </w:pPr>
      <w:bookmarkStart w:id="36" w:name="_Toc501858348"/>
      <w:bookmarkStart w:id="37" w:name="_Toc510946890"/>
      <w:bookmarkStart w:id="38" w:name="_Toc512934873"/>
      <w:bookmarkStart w:id="39" w:name="_Toc34197687"/>
      <w:bookmarkStart w:id="40" w:name="_Toc261269943"/>
      <w:r>
        <w:rPr>
          <w:rStyle w:val="CharSectno"/>
        </w:rPr>
        <w:t>9</w:t>
      </w:r>
      <w:r>
        <w:t>.</w:t>
      </w:r>
      <w:r>
        <w:tab/>
        <w:t>Application of Geocentric Datum of Australia</w:t>
      </w:r>
      <w:bookmarkEnd w:id="36"/>
      <w:bookmarkEnd w:id="37"/>
      <w:bookmarkEnd w:id="38"/>
      <w:bookmarkEnd w:id="39"/>
      <w:bookmarkEnd w:id="40"/>
    </w:p>
    <w:p>
      <w:pPr>
        <w:pStyle w:val="Subsection"/>
      </w:pPr>
      <w:r>
        <w:tab/>
        <w:t>(1)</w:t>
      </w:r>
      <w:r>
        <w:tab/>
        <w:t>Subject to regulation 11, the GDA is the prescribed Australian datum for the purposes referred to in section 8(1)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6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876"/>
        <w:gridCol w:w="1134"/>
        <w:gridCol w:w="1701"/>
        <w:gridCol w:w="1843"/>
        <w:gridCol w:w="1134"/>
      </w:tblGrid>
      <w:tr>
        <w:trPr>
          <w:tblHeader/>
          <w:jc w:val="center"/>
        </w:trPr>
        <w:tc>
          <w:tcPr>
            <w:tcW w:w="876" w:type="dxa"/>
          </w:tcPr>
          <w:p>
            <w:pPr>
              <w:pStyle w:val="TableNAm"/>
              <w:rPr>
                <w:b/>
                <w:bCs/>
                <w:sz w:val="20"/>
              </w:rPr>
            </w:pPr>
            <w:r>
              <w:rPr>
                <w:b/>
                <w:bCs/>
                <w:sz w:val="20"/>
              </w:rPr>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rPr>
          <w:jc w:val="center"/>
        </w:trPr>
        <w:tc>
          <w:tcPr>
            <w:tcW w:w="876" w:type="dxa"/>
          </w:tcPr>
          <w:p>
            <w:pPr>
              <w:pStyle w:val="TableNAm"/>
              <w:rPr>
                <w:sz w:val="20"/>
              </w:rPr>
            </w:pPr>
            <w:r>
              <w:rPr>
                <w:sz w:val="20"/>
              </w:rPr>
              <w:t>AU 012</w:t>
            </w:r>
          </w:p>
        </w:tc>
        <w:tc>
          <w:tcPr>
            <w:tcW w:w="1134" w:type="dxa"/>
          </w:tcPr>
          <w:p>
            <w:pPr>
              <w:pStyle w:val="TableNAm"/>
              <w:rPr>
                <w:sz w:val="20"/>
              </w:rPr>
            </w:pPr>
            <w:r>
              <w:rPr>
                <w:sz w:val="20"/>
              </w:rPr>
              <w:t>Alice Springs</w:t>
            </w:r>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rPr>
          <w:jc w:val="center"/>
        </w:trPr>
        <w:tc>
          <w:tcPr>
            <w:tcW w:w="876"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rPr>
          <w:jc w:val="center"/>
        </w:trPr>
        <w:tc>
          <w:tcPr>
            <w:tcW w:w="876" w:type="dxa"/>
          </w:tcPr>
          <w:p>
            <w:pPr>
              <w:pStyle w:val="TableNAm"/>
              <w:rPr>
                <w:sz w:val="20"/>
              </w:rPr>
            </w:pPr>
            <w:r>
              <w:rPr>
                <w:sz w:val="20"/>
              </w:rPr>
              <w:t>AU 014</w:t>
            </w:r>
          </w:p>
        </w:tc>
        <w:tc>
          <w:tcPr>
            <w:tcW w:w="1134" w:type="dxa"/>
          </w:tcPr>
          <w:p>
            <w:pPr>
              <w:pStyle w:val="TableNAm"/>
              <w:rPr>
                <w:sz w:val="20"/>
              </w:rPr>
            </w:pPr>
            <w:r>
              <w:rPr>
                <w:sz w:val="20"/>
              </w:rPr>
              <w:t>Darwin</w:t>
            </w:r>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rPr>
          <w:jc w:val="center"/>
        </w:trPr>
        <w:tc>
          <w:tcPr>
            <w:tcW w:w="876"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rPr>
          <w:jc w:val="center"/>
        </w:trPr>
        <w:tc>
          <w:tcPr>
            <w:tcW w:w="876" w:type="dxa"/>
          </w:tcPr>
          <w:p>
            <w:pPr>
              <w:pStyle w:val="TableNAm"/>
              <w:rPr>
                <w:sz w:val="20"/>
              </w:rPr>
            </w:pPr>
            <w:r>
              <w:rPr>
                <w:sz w:val="20"/>
              </w:rPr>
              <w:t>AU 016</w:t>
            </w:r>
          </w:p>
        </w:tc>
        <w:tc>
          <w:tcPr>
            <w:tcW w:w="1134" w:type="dxa"/>
          </w:tcPr>
          <w:p>
            <w:pPr>
              <w:pStyle w:val="TableNAm"/>
              <w:rPr>
                <w:sz w:val="20"/>
              </w:rPr>
            </w:pPr>
            <w:r>
              <w:rPr>
                <w:sz w:val="20"/>
              </w:rPr>
              <w:t>Hobart</w:t>
            </w:r>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 xml:space="preserve">  41.126 m</w:t>
            </w:r>
          </w:p>
        </w:tc>
      </w:tr>
      <w:tr>
        <w:trPr>
          <w:jc w:val="center"/>
        </w:trPr>
        <w:tc>
          <w:tcPr>
            <w:tcW w:w="876" w:type="dxa"/>
          </w:tcPr>
          <w:p>
            <w:pPr>
              <w:pStyle w:val="TableNAm"/>
              <w:keepNext/>
              <w:rPr>
                <w:sz w:val="20"/>
              </w:rPr>
            </w:pPr>
            <w:r>
              <w:rPr>
                <w:sz w:val="20"/>
              </w:rPr>
              <w:t>AU 017</w:t>
            </w:r>
          </w:p>
        </w:tc>
        <w:tc>
          <w:tcPr>
            <w:tcW w:w="1134" w:type="dxa"/>
          </w:tcPr>
          <w:p>
            <w:pPr>
              <w:pStyle w:val="TableNAm"/>
              <w:keepNext/>
              <w:rPr>
                <w:sz w:val="20"/>
              </w:rPr>
            </w:pPr>
            <w:r>
              <w:rPr>
                <w:sz w:val="20"/>
              </w:rPr>
              <w:t>Tidbinbilla</w:t>
            </w:r>
          </w:p>
        </w:tc>
        <w:tc>
          <w:tcPr>
            <w:tcW w:w="1701" w:type="dxa"/>
          </w:tcPr>
          <w:p>
            <w:pPr>
              <w:pStyle w:val="TableNAm"/>
              <w:keepNext/>
              <w:rPr>
                <w:sz w:val="20"/>
              </w:rPr>
            </w:pPr>
            <w:r>
              <w:rPr>
                <w:snapToGrid w:val="0"/>
                <w:sz w:val="20"/>
              </w:rPr>
              <w:t>35° 23′ 57.15627″</w:t>
            </w:r>
          </w:p>
        </w:tc>
        <w:tc>
          <w:tcPr>
            <w:tcW w:w="1843" w:type="dxa"/>
          </w:tcPr>
          <w:p>
            <w:pPr>
              <w:pStyle w:val="TableNAm"/>
              <w:keepNext/>
              <w:rPr>
                <w:sz w:val="20"/>
              </w:rPr>
            </w:pPr>
            <w:r>
              <w:rPr>
                <w:snapToGrid w:val="0"/>
                <w:sz w:val="20"/>
              </w:rPr>
              <w:t>148° 58′ 47.98425″</w:t>
            </w:r>
          </w:p>
        </w:tc>
        <w:tc>
          <w:tcPr>
            <w:tcW w:w="1134" w:type="dxa"/>
          </w:tcPr>
          <w:p>
            <w:pPr>
              <w:pStyle w:val="TableNAm"/>
              <w:keepNext/>
              <w:rPr>
                <w:sz w:val="20"/>
              </w:rPr>
            </w:pPr>
            <w:r>
              <w:rPr>
                <w:sz w:val="20"/>
              </w:rPr>
              <w:t>665.440 m</w:t>
            </w:r>
          </w:p>
        </w:tc>
      </w:tr>
      <w:tr>
        <w:trPr>
          <w:jc w:val="center"/>
        </w:trPr>
        <w:tc>
          <w:tcPr>
            <w:tcW w:w="876"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rPr>
          <w:jc w:val="center"/>
        </w:trPr>
        <w:tc>
          <w:tcPr>
            <w:tcW w:w="876"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keepLines w:val="0"/>
        <w:ind w:left="890" w:hanging="890"/>
      </w:pPr>
      <w:r>
        <w:tab/>
        <w:t>[Regulation 9 inserted in Gazette 15 Dec 2000 p. 7213</w:t>
      </w:r>
      <w:r>
        <w:noBreakHyphen/>
        <w:t>14.]</w:t>
      </w:r>
    </w:p>
    <w:p>
      <w:pPr>
        <w:pStyle w:val="Heading5"/>
      </w:pPr>
      <w:bookmarkStart w:id="41" w:name="_Toc501858349"/>
      <w:bookmarkStart w:id="42" w:name="_Toc510946891"/>
      <w:bookmarkStart w:id="43" w:name="_Toc512934874"/>
      <w:bookmarkStart w:id="44" w:name="_Toc34197688"/>
      <w:bookmarkStart w:id="45" w:name="_Toc261269944"/>
      <w:r>
        <w:rPr>
          <w:rStyle w:val="CharSectno"/>
        </w:rPr>
        <w:t>10</w:t>
      </w:r>
      <w:r>
        <w:t>.</w:t>
      </w:r>
      <w:r>
        <w:tab/>
        <w:t>Application of GDA to certain instruments</w:t>
      </w:r>
      <w:bookmarkEnd w:id="41"/>
      <w:bookmarkEnd w:id="42"/>
      <w:bookmarkEnd w:id="43"/>
      <w:bookmarkEnd w:id="44"/>
      <w:bookmarkEnd w:id="45"/>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 </w:t>
      </w:r>
      <w:r>
        <w:rPr>
          <w:vertAlign w:val="superscript"/>
        </w:rPr>
        <w:t>3</w:t>
      </w:r>
      <w:r>
        <w:t>.</w:t>
      </w:r>
    </w:p>
    <w:p>
      <w:pPr>
        <w:pStyle w:val="Footnotesection"/>
      </w:pPr>
      <w:r>
        <w:tab/>
        <w:t>[Regulation 10 inserted in Gazette 15 Dec 2000 p. 7214.]</w:t>
      </w:r>
    </w:p>
    <w:p>
      <w:pPr>
        <w:pStyle w:val="Heading5"/>
      </w:pPr>
      <w:bookmarkStart w:id="46" w:name="_Toc501858350"/>
      <w:bookmarkStart w:id="47" w:name="_Toc510946892"/>
      <w:bookmarkStart w:id="48" w:name="_Toc512934875"/>
      <w:bookmarkStart w:id="49" w:name="_Toc34197689"/>
      <w:bookmarkStart w:id="50" w:name="_Toc261269945"/>
      <w:r>
        <w:rPr>
          <w:rStyle w:val="CharSectno"/>
        </w:rPr>
        <w:t>11</w:t>
      </w:r>
      <w:r>
        <w:t>.</w:t>
      </w:r>
      <w:r>
        <w:tab/>
        <w:t>Application of Australian Geodetic Datum</w:t>
      </w:r>
      <w:bookmarkEnd w:id="46"/>
      <w:bookmarkEnd w:id="47"/>
      <w:bookmarkEnd w:id="48"/>
      <w:bookmarkEnd w:id="49"/>
      <w:bookmarkEnd w:id="50"/>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keepLines/>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 2000 p. 7215.]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1" w:name="_Toc261269946"/>
      <w:bookmarkStart w:id="52" w:name="_Toc512934878"/>
      <w:bookmarkStart w:id="53" w:name="_Toc514656905"/>
      <w:bookmarkStart w:id="54" w:name="_Toc514657427"/>
      <w:bookmarkStart w:id="55" w:name="_Toc34197691"/>
      <w:bookmarkStart w:id="56" w:name="_Toc233710475"/>
      <w:bookmarkStart w:id="57" w:name="_Toc233710536"/>
      <w:bookmarkStart w:id="58" w:name="_Toc236215151"/>
      <w:bookmarkStart w:id="59" w:name="_Toc236215345"/>
      <w:bookmarkStart w:id="60" w:name="_Toc236634260"/>
      <w:bookmarkStart w:id="61" w:name="_Toc238010421"/>
      <w:bookmarkStart w:id="62" w:name="_Toc253405066"/>
      <w:bookmarkStart w:id="63" w:name="_Toc253405122"/>
      <w:r>
        <w:rPr>
          <w:rStyle w:val="CharSchNo"/>
        </w:rPr>
        <w:t>Schedule 1</w:t>
      </w:r>
      <w:r>
        <w:t> — </w:t>
      </w:r>
      <w:r>
        <w:rPr>
          <w:rStyle w:val="CharSchText"/>
        </w:rPr>
        <w:t>Prescribed fees</w:t>
      </w:r>
      <w:bookmarkEnd w:id="51"/>
    </w:p>
    <w:p>
      <w:pPr>
        <w:pStyle w:val="yShoulderClause"/>
      </w:pPr>
      <w:r>
        <w:t>[r. 3(1)]</w:t>
      </w:r>
    </w:p>
    <w:p>
      <w:pPr>
        <w:pStyle w:val="yFootnoteheading"/>
        <w:spacing w:after="120"/>
      </w:pPr>
      <w:r>
        <w:tab/>
        <w:t>[Heading inserted in Gazette 11 May 2010 p. 1817-18.]</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trPr>
        <w:tc>
          <w:tcPr>
            <w:tcW w:w="1276" w:type="dxa"/>
          </w:tcPr>
          <w:p>
            <w:pPr>
              <w:pStyle w:val="yTableNAm"/>
              <w:jc w:val="center"/>
              <w:rPr>
                <w:b/>
                <w:bCs/>
              </w:rPr>
            </w:pPr>
            <w:r>
              <w:rPr>
                <w:b/>
                <w:bCs/>
              </w:rPr>
              <w:t>Column 1</w:t>
            </w:r>
            <w:r>
              <w:rPr>
                <w:b/>
                <w:bCs/>
              </w:rPr>
              <w:br/>
              <w:t>Item</w:t>
            </w:r>
          </w:p>
        </w:tc>
        <w:tc>
          <w:tcPr>
            <w:tcW w:w="2126" w:type="dxa"/>
          </w:tcPr>
          <w:p>
            <w:pPr>
              <w:pStyle w:val="yTableNAm"/>
              <w:tabs>
                <w:tab w:val="clear" w:pos="567"/>
              </w:tabs>
              <w:ind w:left="67"/>
              <w:jc w:val="center"/>
              <w:rPr>
                <w:b/>
                <w:bCs/>
              </w:rPr>
            </w:pPr>
            <w:r>
              <w:rPr>
                <w:b/>
                <w:bCs/>
              </w:rPr>
              <w:t>Column 2</w:t>
            </w:r>
            <w:r>
              <w:rPr>
                <w:b/>
                <w:bCs/>
              </w:rPr>
              <w:br/>
              <w:t>Provision of Act</w:t>
            </w:r>
          </w:p>
        </w:tc>
        <w:tc>
          <w:tcPr>
            <w:tcW w:w="2835" w:type="dxa"/>
          </w:tcPr>
          <w:p>
            <w:pPr>
              <w:pStyle w:val="yTableNAm"/>
              <w:jc w:val="center"/>
              <w:rPr>
                <w:b/>
                <w:bCs/>
              </w:rPr>
            </w:pPr>
            <w:r>
              <w:rPr>
                <w:b/>
                <w:bCs/>
              </w:rPr>
              <w:t>Column 3</w:t>
            </w:r>
            <w:r>
              <w:rPr>
                <w:b/>
                <w:bCs/>
              </w:rPr>
              <w:br/>
              <w:t>Amount of prescribed fee</w:t>
            </w:r>
            <w:r>
              <w:rPr>
                <w:b/>
                <w:bCs/>
              </w:rPr>
              <w:br/>
              <w:t>($)</w:t>
            </w:r>
          </w:p>
        </w:tc>
      </w:tr>
      <w:tr>
        <w:tc>
          <w:tcPr>
            <w:tcW w:w="1276" w:type="dxa"/>
          </w:tcPr>
          <w:p>
            <w:pPr>
              <w:pStyle w:val="yTableNAm"/>
              <w:jc w:val="center"/>
            </w:pPr>
            <w:r>
              <w:t>1.</w:t>
            </w:r>
          </w:p>
        </w:tc>
        <w:tc>
          <w:tcPr>
            <w:tcW w:w="2126" w:type="dxa"/>
          </w:tcPr>
          <w:p>
            <w:pPr>
              <w:pStyle w:val="yTableNAm"/>
              <w:ind w:left="547"/>
            </w:pPr>
            <w:r>
              <w:t>s. 31(1)(f)</w:t>
            </w:r>
          </w:p>
        </w:tc>
        <w:tc>
          <w:tcPr>
            <w:tcW w:w="2835" w:type="dxa"/>
          </w:tcPr>
          <w:p>
            <w:pPr>
              <w:pStyle w:val="yTableNAm"/>
              <w:tabs>
                <w:tab w:val="clear" w:pos="567"/>
              </w:tabs>
              <w:ind w:right="958"/>
              <w:jc w:val="right"/>
            </w:pPr>
            <w:r>
              <w:t>4 690.00</w:t>
            </w:r>
          </w:p>
        </w:tc>
      </w:tr>
      <w:tr>
        <w:tc>
          <w:tcPr>
            <w:tcW w:w="1276" w:type="dxa"/>
          </w:tcPr>
          <w:p>
            <w:pPr>
              <w:pStyle w:val="yTableNAm"/>
              <w:jc w:val="center"/>
            </w:pPr>
            <w:r>
              <w:t>2.</w:t>
            </w:r>
          </w:p>
        </w:tc>
        <w:tc>
          <w:tcPr>
            <w:tcW w:w="2126" w:type="dxa"/>
          </w:tcPr>
          <w:p>
            <w:pPr>
              <w:pStyle w:val="yTableNAm"/>
              <w:ind w:left="547"/>
            </w:pPr>
            <w:r>
              <w:t>s. 34(1)(a)</w:t>
            </w:r>
          </w:p>
        </w:tc>
        <w:tc>
          <w:tcPr>
            <w:tcW w:w="2835" w:type="dxa"/>
          </w:tcPr>
          <w:p>
            <w:pPr>
              <w:pStyle w:val="yTableNAm"/>
              <w:tabs>
                <w:tab w:val="clear" w:pos="567"/>
              </w:tabs>
              <w:ind w:right="958"/>
              <w:jc w:val="right"/>
            </w:pPr>
            <w:r>
              <w:t>4 690.00</w:t>
            </w:r>
          </w:p>
        </w:tc>
      </w:tr>
      <w:tr>
        <w:tc>
          <w:tcPr>
            <w:tcW w:w="1276" w:type="dxa"/>
          </w:tcPr>
          <w:p>
            <w:pPr>
              <w:pStyle w:val="yTableNAm"/>
              <w:jc w:val="center"/>
            </w:pPr>
            <w:r>
              <w:t>3.</w:t>
            </w:r>
          </w:p>
        </w:tc>
        <w:tc>
          <w:tcPr>
            <w:tcW w:w="2126" w:type="dxa"/>
          </w:tcPr>
          <w:p>
            <w:pPr>
              <w:pStyle w:val="yTableNAm"/>
              <w:ind w:left="547"/>
            </w:pPr>
            <w:r>
              <w:t>s. 37A(2)(e)</w:t>
            </w:r>
          </w:p>
        </w:tc>
        <w:tc>
          <w:tcPr>
            <w:tcW w:w="2835" w:type="dxa"/>
          </w:tcPr>
          <w:p>
            <w:pPr>
              <w:pStyle w:val="yTableNAm"/>
              <w:tabs>
                <w:tab w:val="clear" w:pos="567"/>
              </w:tabs>
              <w:ind w:right="958"/>
              <w:jc w:val="right"/>
            </w:pPr>
            <w:r>
              <w:t>938.00</w:t>
            </w:r>
          </w:p>
        </w:tc>
      </w:tr>
      <w:tr>
        <w:tc>
          <w:tcPr>
            <w:tcW w:w="1276" w:type="dxa"/>
          </w:tcPr>
          <w:p>
            <w:pPr>
              <w:pStyle w:val="yTableNAm"/>
              <w:jc w:val="center"/>
            </w:pPr>
            <w:r>
              <w:t>4.</w:t>
            </w:r>
          </w:p>
        </w:tc>
        <w:tc>
          <w:tcPr>
            <w:tcW w:w="2126" w:type="dxa"/>
          </w:tcPr>
          <w:p>
            <w:pPr>
              <w:pStyle w:val="yTableNAm"/>
              <w:ind w:left="547"/>
            </w:pPr>
            <w:r>
              <w:t>s. 40(2)(c)</w:t>
            </w:r>
          </w:p>
        </w:tc>
        <w:tc>
          <w:tcPr>
            <w:tcW w:w="2835" w:type="dxa"/>
          </w:tcPr>
          <w:p>
            <w:pPr>
              <w:pStyle w:val="yTableNAm"/>
              <w:tabs>
                <w:tab w:val="clear" w:pos="567"/>
              </w:tabs>
              <w:ind w:right="958"/>
              <w:jc w:val="right"/>
            </w:pPr>
            <w:r>
              <w:t>1 877.00</w:t>
            </w:r>
          </w:p>
        </w:tc>
      </w:tr>
      <w:tr>
        <w:tc>
          <w:tcPr>
            <w:tcW w:w="1276" w:type="dxa"/>
          </w:tcPr>
          <w:p>
            <w:pPr>
              <w:pStyle w:val="yTableNAm"/>
              <w:jc w:val="center"/>
            </w:pPr>
            <w:r>
              <w:t>5.</w:t>
            </w:r>
          </w:p>
        </w:tc>
        <w:tc>
          <w:tcPr>
            <w:tcW w:w="2126" w:type="dxa"/>
          </w:tcPr>
          <w:p>
            <w:pPr>
              <w:pStyle w:val="yTableNAm"/>
              <w:ind w:left="547"/>
            </w:pPr>
            <w:r>
              <w:t>s. 43B(1)(f)</w:t>
            </w:r>
          </w:p>
        </w:tc>
        <w:tc>
          <w:tcPr>
            <w:tcW w:w="2835" w:type="dxa"/>
          </w:tcPr>
          <w:p>
            <w:pPr>
              <w:pStyle w:val="yTableNAm"/>
              <w:tabs>
                <w:tab w:val="clear" w:pos="567"/>
              </w:tabs>
              <w:ind w:right="958"/>
              <w:jc w:val="right"/>
            </w:pPr>
            <w:r>
              <w:t>4 690.00</w:t>
            </w:r>
          </w:p>
        </w:tc>
      </w:tr>
      <w:tr>
        <w:tc>
          <w:tcPr>
            <w:tcW w:w="1276" w:type="dxa"/>
          </w:tcPr>
          <w:p>
            <w:pPr>
              <w:pStyle w:val="yTableNAm"/>
              <w:jc w:val="center"/>
            </w:pPr>
            <w:r>
              <w:t>6.</w:t>
            </w:r>
          </w:p>
        </w:tc>
        <w:tc>
          <w:tcPr>
            <w:tcW w:w="2126" w:type="dxa"/>
          </w:tcPr>
          <w:p>
            <w:pPr>
              <w:pStyle w:val="yTableNAm"/>
              <w:ind w:left="547"/>
            </w:pPr>
            <w:r>
              <w:t>s. 43F(3)(d)</w:t>
            </w:r>
          </w:p>
        </w:tc>
        <w:tc>
          <w:tcPr>
            <w:tcW w:w="2835" w:type="dxa"/>
          </w:tcPr>
          <w:p>
            <w:pPr>
              <w:pStyle w:val="yTableNAm"/>
              <w:tabs>
                <w:tab w:val="clear" w:pos="567"/>
              </w:tabs>
              <w:ind w:right="958"/>
              <w:jc w:val="right"/>
            </w:pPr>
            <w:r>
              <w:t>1 877.00</w:t>
            </w:r>
          </w:p>
        </w:tc>
      </w:tr>
      <w:tr>
        <w:tc>
          <w:tcPr>
            <w:tcW w:w="1276" w:type="dxa"/>
          </w:tcPr>
          <w:p>
            <w:pPr>
              <w:pStyle w:val="yTableNAm"/>
              <w:jc w:val="center"/>
            </w:pPr>
            <w:r>
              <w:t>7.</w:t>
            </w:r>
          </w:p>
        </w:tc>
        <w:tc>
          <w:tcPr>
            <w:tcW w:w="2126" w:type="dxa"/>
          </w:tcPr>
          <w:p>
            <w:pPr>
              <w:pStyle w:val="yTableNAm"/>
              <w:ind w:left="547"/>
            </w:pPr>
            <w:r>
              <w:t>s. 48A(2)(e)</w:t>
            </w:r>
          </w:p>
        </w:tc>
        <w:tc>
          <w:tcPr>
            <w:tcW w:w="2835" w:type="dxa"/>
          </w:tcPr>
          <w:p>
            <w:pPr>
              <w:pStyle w:val="yTableNAm"/>
              <w:tabs>
                <w:tab w:val="clear" w:pos="567"/>
              </w:tabs>
              <w:ind w:right="958"/>
              <w:jc w:val="right"/>
            </w:pPr>
            <w:r>
              <w:t>1 877.00</w:t>
            </w:r>
          </w:p>
        </w:tc>
      </w:tr>
      <w:tr>
        <w:tc>
          <w:tcPr>
            <w:tcW w:w="1276" w:type="dxa"/>
          </w:tcPr>
          <w:p>
            <w:pPr>
              <w:pStyle w:val="yTableNAm"/>
              <w:jc w:val="center"/>
            </w:pPr>
            <w:r>
              <w:t>8.</w:t>
            </w:r>
          </w:p>
        </w:tc>
        <w:tc>
          <w:tcPr>
            <w:tcW w:w="2126" w:type="dxa"/>
          </w:tcPr>
          <w:p>
            <w:pPr>
              <w:pStyle w:val="yTableNAm"/>
              <w:ind w:left="547"/>
            </w:pPr>
            <w:r>
              <w:t>s. 48F(2)(d)</w:t>
            </w:r>
          </w:p>
        </w:tc>
        <w:tc>
          <w:tcPr>
            <w:tcW w:w="2835" w:type="dxa"/>
          </w:tcPr>
          <w:p>
            <w:pPr>
              <w:pStyle w:val="yTableNAm"/>
              <w:tabs>
                <w:tab w:val="clear" w:pos="567"/>
              </w:tabs>
              <w:ind w:right="958"/>
              <w:jc w:val="right"/>
            </w:pPr>
            <w:r>
              <w:t>1 877.00</w:t>
            </w:r>
          </w:p>
        </w:tc>
      </w:tr>
      <w:tr>
        <w:tc>
          <w:tcPr>
            <w:tcW w:w="1276" w:type="dxa"/>
          </w:tcPr>
          <w:p>
            <w:pPr>
              <w:pStyle w:val="yTableNAm"/>
              <w:jc w:val="center"/>
            </w:pPr>
            <w:r>
              <w:t>9.</w:t>
            </w:r>
          </w:p>
        </w:tc>
        <w:tc>
          <w:tcPr>
            <w:tcW w:w="2126" w:type="dxa"/>
          </w:tcPr>
          <w:p>
            <w:pPr>
              <w:pStyle w:val="yTableNAm"/>
              <w:ind w:left="547"/>
            </w:pPr>
            <w:r>
              <w:t>s. 51(1)(e)</w:t>
            </w:r>
          </w:p>
        </w:tc>
        <w:tc>
          <w:tcPr>
            <w:tcW w:w="2835" w:type="dxa"/>
          </w:tcPr>
          <w:p>
            <w:pPr>
              <w:pStyle w:val="yTableNAm"/>
              <w:tabs>
                <w:tab w:val="clear" w:pos="567"/>
              </w:tabs>
              <w:ind w:right="958"/>
              <w:jc w:val="right"/>
            </w:pPr>
            <w:r>
              <w:t>1 877.00</w:t>
            </w:r>
          </w:p>
        </w:tc>
      </w:tr>
      <w:tr>
        <w:tc>
          <w:tcPr>
            <w:tcW w:w="1276" w:type="dxa"/>
          </w:tcPr>
          <w:p>
            <w:pPr>
              <w:pStyle w:val="yTableNAm"/>
              <w:jc w:val="center"/>
            </w:pPr>
            <w:r>
              <w:t>10.</w:t>
            </w:r>
          </w:p>
        </w:tc>
        <w:tc>
          <w:tcPr>
            <w:tcW w:w="2126" w:type="dxa"/>
          </w:tcPr>
          <w:p>
            <w:pPr>
              <w:pStyle w:val="yTableNAm"/>
              <w:ind w:left="547"/>
            </w:pPr>
            <w:r>
              <w:t>s. 58(1)(a)</w:t>
            </w:r>
          </w:p>
        </w:tc>
        <w:tc>
          <w:tcPr>
            <w:tcW w:w="2835" w:type="dxa"/>
          </w:tcPr>
          <w:p>
            <w:pPr>
              <w:pStyle w:val="yTableNAm"/>
              <w:tabs>
                <w:tab w:val="clear" w:pos="567"/>
              </w:tabs>
              <w:ind w:right="958"/>
              <w:jc w:val="right"/>
            </w:pPr>
            <w:r>
              <w:t>4 690.00</w:t>
            </w:r>
          </w:p>
        </w:tc>
      </w:tr>
      <w:tr>
        <w:tc>
          <w:tcPr>
            <w:tcW w:w="1276" w:type="dxa"/>
          </w:tcPr>
          <w:p>
            <w:pPr>
              <w:pStyle w:val="yTableNAm"/>
              <w:jc w:val="center"/>
            </w:pPr>
            <w:r>
              <w:t>11.</w:t>
            </w:r>
          </w:p>
        </w:tc>
        <w:tc>
          <w:tcPr>
            <w:tcW w:w="2126" w:type="dxa"/>
          </w:tcPr>
          <w:p>
            <w:pPr>
              <w:pStyle w:val="yTableNAm"/>
              <w:ind w:left="547"/>
            </w:pPr>
            <w:r>
              <w:t>s. 61(2)(e)</w:t>
            </w:r>
          </w:p>
        </w:tc>
        <w:tc>
          <w:tcPr>
            <w:tcW w:w="2835" w:type="dxa"/>
          </w:tcPr>
          <w:p>
            <w:pPr>
              <w:pStyle w:val="yTableNAm"/>
              <w:tabs>
                <w:tab w:val="clear" w:pos="567"/>
              </w:tabs>
              <w:ind w:right="958"/>
              <w:jc w:val="right"/>
            </w:pPr>
            <w:r>
              <w:t>938.00</w:t>
            </w:r>
          </w:p>
        </w:tc>
      </w:tr>
      <w:tr>
        <w:tc>
          <w:tcPr>
            <w:tcW w:w="1276" w:type="dxa"/>
          </w:tcPr>
          <w:p>
            <w:pPr>
              <w:pStyle w:val="yTableNAm"/>
              <w:jc w:val="center"/>
            </w:pPr>
            <w:r>
              <w:t>12.</w:t>
            </w:r>
          </w:p>
        </w:tc>
        <w:tc>
          <w:tcPr>
            <w:tcW w:w="2126" w:type="dxa"/>
          </w:tcPr>
          <w:p>
            <w:pPr>
              <w:pStyle w:val="yTableNAm"/>
              <w:ind w:left="547"/>
            </w:pPr>
            <w:r>
              <w:t>s. 64(2)(d)</w:t>
            </w:r>
          </w:p>
        </w:tc>
        <w:tc>
          <w:tcPr>
            <w:tcW w:w="2835" w:type="dxa"/>
          </w:tcPr>
          <w:p>
            <w:pPr>
              <w:pStyle w:val="yTableNAm"/>
              <w:tabs>
                <w:tab w:val="clear" w:pos="567"/>
              </w:tabs>
              <w:ind w:right="958"/>
              <w:jc w:val="right"/>
            </w:pPr>
            <w:r>
              <w:t>1 877.00</w:t>
            </w:r>
          </w:p>
        </w:tc>
      </w:tr>
      <w:tr>
        <w:tc>
          <w:tcPr>
            <w:tcW w:w="1276" w:type="dxa"/>
          </w:tcPr>
          <w:p>
            <w:pPr>
              <w:pStyle w:val="yTableNAm"/>
              <w:jc w:val="center"/>
            </w:pPr>
            <w:r>
              <w:t>13.</w:t>
            </w:r>
          </w:p>
        </w:tc>
        <w:tc>
          <w:tcPr>
            <w:tcW w:w="2126" w:type="dxa"/>
          </w:tcPr>
          <w:p>
            <w:pPr>
              <w:pStyle w:val="yTableNAm"/>
              <w:ind w:left="547"/>
            </w:pPr>
            <w:r>
              <w:t>s. 73(2)</w:t>
            </w:r>
          </w:p>
        </w:tc>
        <w:tc>
          <w:tcPr>
            <w:tcW w:w="2835" w:type="dxa"/>
          </w:tcPr>
          <w:p>
            <w:pPr>
              <w:pStyle w:val="yTableNAm"/>
              <w:tabs>
                <w:tab w:val="clear" w:pos="567"/>
              </w:tabs>
              <w:ind w:right="958"/>
              <w:jc w:val="right"/>
            </w:pPr>
            <w:r>
              <w:t>93.00</w:t>
            </w:r>
          </w:p>
        </w:tc>
      </w:tr>
      <w:tr>
        <w:tc>
          <w:tcPr>
            <w:tcW w:w="1276" w:type="dxa"/>
          </w:tcPr>
          <w:p>
            <w:pPr>
              <w:pStyle w:val="yTableNAm"/>
              <w:jc w:val="center"/>
            </w:pPr>
            <w:r>
              <w:t>14.</w:t>
            </w:r>
          </w:p>
        </w:tc>
        <w:tc>
          <w:tcPr>
            <w:tcW w:w="2126" w:type="dxa"/>
          </w:tcPr>
          <w:p>
            <w:pPr>
              <w:pStyle w:val="yTableNAm"/>
              <w:ind w:left="547"/>
            </w:pPr>
            <w:r>
              <w:t>s. 73(3)(b)</w:t>
            </w:r>
          </w:p>
        </w:tc>
        <w:tc>
          <w:tcPr>
            <w:tcW w:w="2835" w:type="dxa"/>
          </w:tcPr>
          <w:p>
            <w:pPr>
              <w:pStyle w:val="yTableNAm"/>
              <w:tabs>
                <w:tab w:val="clear" w:pos="567"/>
              </w:tabs>
              <w:ind w:right="958"/>
              <w:jc w:val="right"/>
            </w:pPr>
            <w:r>
              <w:t>93.00</w:t>
            </w:r>
          </w:p>
        </w:tc>
      </w:tr>
      <w:tr>
        <w:tc>
          <w:tcPr>
            <w:tcW w:w="1276" w:type="dxa"/>
          </w:tcPr>
          <w:p>
            <w:pPr>
              <w:pStyle w:val="yTableNAm"/>
              <w:jc w:val="center"/>
            </w:pPr>
            <w:r>
              <w:t>15.</w:t>
            </w:r>
          </w:p>
        </w:tc>
        <w:tc>
          <w:tcPr>
            <w:tcW w:w="2126" w:type="dxa"/>
          </w:tcPr>
          <w:p>
            <w:pPr>
              <w:pStyle w:val="yTableNAm"/>
              <w:ind w:left="547"/>
            </w:pPr>
            <w:r>
              <w:t>s. 80(1)</w:t>
            </w:r>
          </w:p>
        </w:tc>
        <w:tc>
          <w:tcPr>
            <w:tcW w:w="2835" w:type="dxa"/>
          </w:tcPr>
          <w:p>
            <w:pPr>
              <w:pStyle w:val="yTableNAm"/>
              <w:tabs>
                <w:tab w:val="clear" w:pos="567"/>
              </w:tabs>
              <w:ind w:right="958"/>
              <w:jc w:val="right"/>
            </w:pPr>
            <w:r>
              <w:t>20.00</w:t>
            </w:r>
          </w:p>
        </w:tc>
      </w:tr>
      <w:tr>
        <w:tc>
          <w:tcPr>
            <w:tcW w:w="1276" w:type="dxa"/>
          </w:tcPr>
          <w:p>
            <w:pPr>
              <w:pStyle w:val="yTableNAm"/>
              <w:jc w:val="center"/>
            </w:pPr>
            <w:r>
              <w:t>16.</w:t>
            </w:r>
          </w:p>
        </w:tc>
        <w:tc>
          <w:tcPr>
            <w:tcW w:w="2126" w:type="dxa"/>
          </w:tcPr>
          <w:p>
            <w:pPr>
              <w:pStyle w:val="yTableNAm"/>
              <w:ind w:left="547"/>
            </w:pPr>
            <w:r>
              <w:t>s. 81(3)</w:t>
            </w:r>
          </w:p>
        </w:tc>
        <w:tc>
          <w:tcPr>
            <w:tcW w:w="2835" w:type="dxa"/>
          </w:tcPr>
          <w:p>
            <w:pPr>
              <w:pStyle w:val="yTableNAm"/>
              <w:tabs>
                <w:tab w:val="clear" w:pos="567"/>
              </w:tabs>
              <w:ind w:right="958"/>
              <w:jc w:val="right"/>
            </w:pPr>
            <w:r>
              <w:t>47.00</w:t>
            </w:r>
          </w:p>
        </w:tc>
      </w:tr>
      <w:tr>
        <w:tc>
          <w:tcPr>
            <w:tcW w:w="1276" w:type="dxa"/>
          </w:tcPr>
          <w:p>
            <w:pPr>
              <w:pStyle w:val="yTableNAm"/>
              <w:jc w:val="center"/>
            </w:pPr>
            <w:r>
              <w:t>17.</w:t>
            </w:r>
          </w:p>
        </w:tc>
        <w:tc>
          <w:tcPr>
            <w:tcW w:w="2126" w:type="dxa"/>
          </w:tcPr>
          <w:p>
            <w:pPr>
              <w:pStyle w:val="yTableNAm"/>
              <w:ind w:left="547"/>
            </w:pPr>
            <w:r>
              <w:t>s. 105(2)(d)</w:t>
            </w:r>
          </w:p>
        </w:tc>
        <w:tc>
          <w:tcPr>
            <w:tcW w:w="2835" w:type="dxa"/>
          </w:tcPr>
          <w:p>
            <w:pPr>
              <w:pStyle w:val="yTableNAm"/>
              <w:tabs>
                <w:tab w:val="clear" w:pos="567"/>
              </w:tabs>
              <w:ind w:right="958"/>
              <w:jc w:val="right"/>
            </w:pPr>
            <w:r>
              <w:t>938.00</w:t>
            </w:r>
          </w:p>
        </w:tc>
      </w:tr>
      <w:tr>
        <w:tc>
          <w:tcPr>
            <w:tcW w:w="1276" w:type="dxa"/>
          </w:tcPr>
          <w:p>
            <w:pPr>
              <w:pStyle w:val="yTableNAm"/>
              <w:jc w:val="center"/>
            </w:pPr>
            <w:r>
              <w:t>18.</w:t>
            </w:r>
          </w:p>
        </w:tc>
        <w:tc>
          <w:tcPr>
            <w:tcW w:w="2126" w:type="dxa"/>
          </w:tcPr>
          <w:p>
            <w:pPr>
              <w:pStyle w:val="yTableNAm"/>
              <w:ind w:left="547"/>
            </w:pPr>
            <w:r>
              <w:t>s. 137(a)</w:t>
            </w:r>
          </w:p>
        </w:tc>
        <w:tc>
          <w:tcPr>
            <w:tcW w:w="2835" w:type="dxa"/>
          </w:tcPr>
          <w:p>
            <w:pPr>
              <w:pStyle w:val="yTableNAm"/>
              <w:tabs>
                <w:tab w:val="clear" w:pos="567"/>
              </w:tabs>
              <w:ind w:right="958"/>
              <w:jc w:val="right"/>
            </w:pPr>
            <w:r>
              <w:t>1 640.00</w:t>
            </w:r>
          </w:p>
        </w:tc>
      </w:tr>
    </w:tbl>
    <w:p>
      <w:pPr>
        <w:pStyle w:val="yFootnotesection"/>
      </w:pPr>
      <w:r>
        <w:tab/>
        <w:t>[Schedule 1 inserted in Gazette 11 May 2010 p. 1817-18.]</w:t>
      </w:r>
    </w:p>
    <w:p>
      <w:pPr>
        <w:pStyle w:val="yScheduleHeading"/>
      </w:pPr>
      <w:bookmarkStart w:id="64" w:name="_Toc261269947"/>
      <w:r>
        <w:rPr>
          <w:rStyle w:val="CharSchNo"/>
        </w:rPr>
        <w:t>Schedule 2</w:t>
      </w:r>
      <w:bookmarkEnd w:id="52"/>
      <w:bookmarkEnd w:id="53"/>
      <w:bookmarkEnd w:id="54"/>
      <w:bookmarkEnd w:id="55"/>
      <w:bookmarkEnd w:id="56"/>
      <w:bookmarkEnd w:id="57"/>
      <w:bookmarkEnd w:id="58"/>
      <w:bookmarkEnd w:id="59"/>
      <w:bookmarkEnd w:id="60"/>
      <w:bookmarkEnd w:id="61"/>
      <w:bookmarkEnd w:id="62"/>
      <w:bookmarkEnd w:id="63"/>
      <w:bookmarkEnd w:id="64"/>
      <w:r>
        <w:rPr>
          <w:rStyle w:val="CharSchText"/>
        </w:rPr>
        <w:t xml:space="preserve"> </w:t>
      </w:r>
    </w:p>
    <w:p>
      <w:pPr>
        <w:pStyle w:val="yShoulderClause"/>
        <w:spacing w:before="60"/>
        <w:rPr>
          <w:snapToGrid w:val="0"/>
        </w:rPr>
      </w:pPr>
      <w:r>
        <w:rPr>
          <w:snapToGrid w:val="0"/>
        </w:rPr>
        <w:t>[Regulation 4]</w:t>
      </w:r>
    </w:p>
    <w:p>
      <w:pPr>
        <w:pStyle w:val="yMiscellaneousHeading"/>
        <w:rPr>
          <w:i/>
          <w:iCs/>
          <w:snapToGrid w:val="0"/>
        </w:rPr>
      </w:pPr>
      <w:bookmarkStart w:id="65" w:name="_Toc512934879"/>
      <w:bookmarkStart w:id="66" w:name="_Toc34197692"/>
      <w:r>
        <w:rPr>
          <w:i/>
          <w:iCs/>
          <w:snapToGrid w:val="0"/>
        </w:rPr>
        <w:t>Petroleum and Geothermal Energy Resources Act 1967</w:t>
      </w:r>
    </w:p>
    <w:p>
      <w:pPr>
        <w:pStyle w:val="yMiscellaneousHeading"/>
        <w:rPr>
          <w:i/>
          <w:iCs/>
        </w:rPr>
      </w:pPr>
      <w:r>
        <w:rPr>
          <w:i/>
          <w:iCs/>
          <w:snapToGrid w:val="0"/>
        </w:rPr>
        <w:t>Petroleum and Geothermal Energy Resources Regulations 1987</w:t>
      </w:r>
    </w:p>
    <w:p>
      <w:pPr>
        <w:pStyle w:val="yMiscellaneousHeading"/>
        <w:rPr>
          <w:bCs/>
          <w:iCs/>
          <w:snapToGrid w:val="0"/>
          <w:vertAlign w:val="superscript"/>
        </w:rPr>
      </w:pPr>
      <w:r>
        <w:rPr>
          <w:b/>
          <w:snapToGrid w:val="0"/>
        </w:rPr>
        <w:t>Form of instrument of transfer of title under section 72</w:t>
      </w:r>
      <w:r>
        <w:rPr>
          <w:b/>
          <w:snapToGrid w:val="0"/>
        </w:rPr>
        <w:br/>
        <w:t xml:space="preserve">of </w:t>
      </w:r>
      <w:r>
        <w:rPr>
          <w:b/>
          <w:i/>
          <w:snapToGrid w:val="0"/>
        </w:rPr>
        <w:t xml:space="preserve">Petroleum </w:t>
      </w:r>
      <w:r>
        <w:rPr>
          <w:b/>
          <w:i/>
          <w:iCs/>
          <w:snapToGrid w:val="0"/>
        </w:rPr>
        <w:t>and Geothermal Energy Resources</w:t>
      </w:r>
      <w:r>
        <w:rPr>
          <w:b/>
          <w:i/>
          <w:snapToGrid w:val="0"/>
        </w:rPr>
        <w:t xml:space="preserve"> Act 1967</w:t>
      </w:r>
      <w:bookmarkEnd w:id="65"/>
      <w:bookmarkEnd w:id="66"/>
      <w:r>
        <w:rPr>
          <w:b/>
          <w:i/>
          <w:snapToGrid w:val="0"/>
        </w:rPr>
        <w:t> </w:t>
      </w:r>
      <w:r>
        <w:rPr>
          <w:bCs/>
          <w:iCs/>
          <w:snapToGrid w:val="0"/>
          <w:vertAlign w:val="superscript"/>
        </w:rPr>
        <w:t>4</w:t>
      </w:r>
    </w:p>
    <w:p>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MiscellaneousBody"/>
        <w:spacing w:before="120"/>
        <w:rPr>
          <w:snapToGrid w:val="0"/>
        </w:rPr>
      </w:pPr>
      <w:r>
        <w:rPr>
          <w:snapToGrid w:val="0"/>
        </w:rPr>
        <w:t>In witness of this transfer the parties to the transfer have affixed their respective common seals or signatures below on this ............................................................ day of ................................................... 20 ..........</w:t>
      </w:r>
    </w:p>
    <w:p>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spacing w:before="60"/>
      </w:pPr>
      <w:r>
        <w:tab/>
        <w:t>[Schedule 2 inserted in Gazette 28 Sep 1990 p. 5102; amended in Gazette 23 Jun 2009 p. 2474.]</w:t>
      </w:r>
    </w:p>
    <w:p>
      <w:pPr>
        <w:ind w:right="958"/>
        <w:jc w:val="right"/>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67" w:name="_Toc233710476"/>
      <w:bookmarkStart w:id="68" w:name="_Toc233710537"/>
      <w:bookmarkStart w:id="69" w:name="_Toc236215152"/>
      <w:bookmarkStart w:id="70" w:name="_Toc236215346"/>
      <w:bookmarkStart w:id="71" w:name="_Toc236634261"/>
      <w:bookmarkStart w:id="72" w:name="_Toc238010422"/>
      <w:bookmarkStart w:id="73" w:name="_Toc253405067"/>
      <w:bookmarkStart w:id="74" w:name="_Toc253405123"/>
      <w:bookmarkStart w:id="75" w:name="_Toc261269948"/>
      <w:r>
        <w:t>Notes</w:t>
      </w:r>
      <w:bookmarkEnd w:id="67"/>
      <w:bookmarkEnd w:id="68"/>
      <w:bookmarkEnd w:id="69"/>
      <w:bookmarkEnd w:id="70"/>
      <w:bookmarkEnd w:id="71"/>
      <w:bookmarkEnd w:id="72"/>
      <w:bookmarkEnd w:id="73"/>
      <w:bookmarkEnd w:id="74"/>
      <w:bookmarkEnd w:id="75"/>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noProof/>
          <w:snapToGrid w:val="0"/>
        </w:rPr>
        <w:t>Petroleum and Geothermal Energy Resources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6" w:name="_Toc261269949"/>
      <w:r>
        <w:rPr>
          <w:snapToGrid w:val="0"/>
        </w:rPr>
        <w:t>Compilation table</w:t>
      </w:r>
      <w:bookmarkEnd w:id="76"/>
    </w:p>
    <w:tbl>
      <w:tblPr>
        <w:tblW w:w="7115" w:type="dxa"/>
        <w:tblInd w:w="28" w:type="dxa"/>
        <w:tblLayout w:type="fixed"/>
        <w:tblCellMar>
          <w:left w:w="56" w:type="dxa"/>
          <w:right w:w="56" w:type="dxa"/>
        </w:tblCellMar>
        <w:tblLook w:val="0000" w:firstRow="0" w:lastRow="0" w:firstColumn="0" w:lastColumn="0" w:noHBand="0" w:noVBand="0"/>
      </w:tblPr>
      <w:tblGrid>
        <w:gridCol w:w="28"/>
        <w:gridCol w:w="3090"/>
        <w:gridCol w:w="1276"/>
        <w:gridCol w:w="2693"/>
        <w:gridCol w:w="28"/>
      </w:tblGrid>
      <w:tr>
        <w:trPr>
          <w:gridAfter w:val="1"/>
          <w:wAfter w:w="28" w:type="dxa"/>
          <w:cantSplit/>
          <w:tblHeader/>
        </w:trPr>
        <w:tc>
          <w:tcPr>
            <w:tcW w:w="3118"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ind w:left="57"/>
              <w:rPr>
                <w:b/>
                <w:sz w:val="19"/>
              </w:rPr>
            </w:pPr>
            <w:r>
              <w:rPr>
                <w:b/>
                <w:sz w:val="19"/>
              </w:rPr>
              <w:t>Gazettal</w:t>
            </w:r>
          </w:p>
        </w:tc>
        <w:tc>
          <w:tcPr>
            <w:tcW w:w="2693" w:type="dxa"/>
            <w:tcBorders>
              <w:top w:val="single" w:sz="8" w:space="0" w:color="auto"/>
              <w:bottom w:val="single" w:sz="8" w:space="0" w:color="auto"/>
            </w:tcBorders>
          </w:tcPr>
          <w:p>
            <w:pPr>
              <w:pStyle w:val="nTable"/>
              <w:spacing w:after="40"/>
              <w:ind w:left="284"/>
              <w:rPr>
                <w:b/>
                <w:sz w:val="19"/>
              </w:rPr>
            </w:pPr>
            <w:r>
              <w:rPr>
                <w:b/>
                <w:sz w:val="19"/>
              </w:rPr>
              <w:t>Commencement</w:t>
            </w:r>
          </w:p>
        </w:tc>
      </w:tr>
      <w:tr>
        <w:trPr>
          <w:gridAfter w:val="1"/>
          <w:wAfter w:w="28" w:type="dxa"/>
          <w:cantSplit/>
        </w:trPr>
        <w:tc>
          <w:tcPr>
            <w:tcW w:w="3118" w:type="dxa"/>
            <w:gridSpan w:val="2"/>
          </w:tcPr>
          <w:p>
            <w:pPr>
              <w:pStyle w:val="nTable"/>
              <w:spacing w:after="40"/>
              <w:ind w:right="113"/>
              <w:rPr>
                <w:iCs/>
                <w:sz w:val="19"/>
                <w:vertAlign w:val="superscript"/>
              </w:rPr>
            </w:pPr>
            <w:r>
              <w:rPr>
                <w:i/>
                <w:sz w:val="19"/>
              </w:rPr>
              <w:t>Petroleum Regulations 1987</w:t>
            </w:r>
            <w:r>
              <w:rPr>
                <w:iCs/>
                <w:sz w:val="19"/>
              </w:rPr>
              <w:t> </w:t>
            </w:r>
            <w:r>
              <w:rPr>
                <w:iCs/>
                <w:sz w:val="19"/>
                <w:vertAlign w:val="superscript"/>
              </w:rPr>
              <w:t>5</w:t>
            </w:r>
          </w:p>
        </w:tc>
        <w:tc>
          <w:tcPr>
            <w:tcW w:w="1276" w:type="dxa"/>
          </w:tcPr>
          <w:p>
            <w:pPr>
              <w:pStyle w:val="nTable"/>
              <w:spacing w:after="40"/>
              <w:ind w:left="57"/>
              <w:rPr>
                <w:sz w:val="19"/>
              </w:rPr>
            </w:pPr>
            <w:r>
              <w:rPr>
                <w:sz w:val="19"/>
              </w:rPr>
              <w:t>23 Oct 1987 p. 3971</w:t>
            </w:r>
            <w:r>
              <w:rPr>
                <w:sz w:val="19"/>
              </w:rPr>
              <w:noBreakHyphen/>
              <w:t>2</w:t>
            </w:r>
          </w:p>
        </w:tc>
        <w:tc>
          <w:tcPr>
            <w:tcW w:w="2693" w:type="dxa"/>
          </w:tcPr>
          <w:p>
            <w:pPr>
              <w:pStyle w:val="nTable"/>
              <w:spacing w:after="40"/>
              <w:ind w:left="96"/>
              <w:rPr>
                <w:sz w:val="19"/>
              </w:rPr>
            </w:pPr>
            <w:r>
              <w:rPr>
                <w:sz w:val="19"/>
              </w:rPr>
              <w:t>23 Oct 1987</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1990</w:t>
            </w:r>
          </w:p>
        </w:tc>
        <w:tc>
          <w:tcPr>
            <w:tcW w:w="1276" w:type="dxa"/>
          </w:tcPr>
          <w:p>
            <w:pPr>
              <w:pStyle w:val="nTable"/>
              <w:spacing w:after="40"/>
              <w:ind w:left="57"/>
              <w:rPr>
                <w:sz w:val="19"/>
              </w:rPr>
            </w:pPr>
            <w:r>
              <w:rPr>
                <w:sz w:val="19"/>
              </w:rPr>
              <w:t>28 Sep 1990 p. 5100</w:t>
            </w:r>
            <w:r>
              <w:rPr>
                <w:sz w:val="19"/>
              </w:rPr>
              <w:noBreakHyphen/>
              <w:t>2</w:t>
            </w:r>
          </w:p>
        </w:tc>
        <w:tc>
          <w:tcPr>
            <w:tcW w:w="2693" w:type="dxa"/>
          </w:tcPr>
          <w:p>
            <w:pPr>
              <w:pStyle w:val="nTable"/>
              <w:spacing w:after="40"/>
              <w:ind w:left="96"/>
              <w:rPr>
                <w:sz w:val="19"/>
              </w:rPr>
            </w:pPr>
            <w:r>
              <w:rPr>
                <w:sz w:val="19"/>
              </w:rPr>
              <w:t xml:space="preserve">1 Oct 1990 (see r. 2 and </w:t>
            </w:r>
            <w:r>
              <w:rPr>
                <w:i/>
                <w:sz w:val="19"/>
              </w:rPr>
              <w:t>Gazette</w:t>
            </w:r>
            <w:r>
              <w:rPr>
                <w:sz w:val="19"/>
              </w:rPr>
              <w:t xml:space="preserve"> 28 Sep 1990 p. 5099)</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1991</w:t>
            </w:r>
          </w:p>
        </w:tc>
        <w:tc>
          <w:tcPr>
            <w:tcW w:w="1276" w:type="dxa"/>
          </w:tcPr>
          <w:p>
            <w:pPr>
              <w:pStyle w:val="nTable"/>
              <w:spacing w:after="40"/>
              <w:ind w:left="57"/>
              <w:rPr>
                <w:sz w:val="19"/>
              </w:rPr>
            </w:pPr>
            <w:r>
              <w:rPr>
                <w:sz w:val="19"/>
              </w:rPr>
              <w:t xml:space="preserve">28 Jun 1991 </w:t>
            </w:r>
            <w:r>
              <w:rPr>
                <w:sz w:val="19"/>
              </w:rPr>
              <w:br/>
              <w:t>p. 3228</w:t>
            </w:r>
          </w:p>
        </w:tc>
        <w:tc>
          <w:tcPr>
            <w:tcW w:w="2693" w:type="dxa"/>
          </w:tcPr>
          <w:p>
            <w:pPr>
              <w:pStyle w:val="nTable"/>
              <w:spacing w:after="40"/>
              <w:ind w:left="96"/>
              <w:rPr>
                <w:sz w:val="19"/>
              </w:rPr>
            </w:pPr>
            <w:r>
              <w:rPr>
                <w:sz w:val="19"/>
              </w:rPr>
              <w:t>28 Jun 1991</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1993</w:t>
            </w:r>
          </w:p>
        </w:tc>
        <w:tc>
          <w:tcPr>
            <w:tcW w:w="1276" w:type="dxa"/>
          </w:tcPr>
          <w:p>
            <w:pPr>
              <w:pStyle w:val="nTable"/>
              <w:spacing w:after="40"/>
              <w:ind w:left="57"/>
              <w:rPr>
                <w:sz w:val="19"/>
              </w:rPr>
            </w:pPr>
            <w:r>
              <w:rPr>
                <w:sz w:val="19"/>
              </w:rPr>
              <w:t>24 Dec 1993 p. 6831</w:t>
            </w:r>
          </w:p>
        </w:tc>
        <w:tc>
          <w:tcPr>
            <w:tcW w:w="2693" w:type="dxa"/>
          </w:tcPr>
          <w:p>
            <w:pPr>
              <w:pStyle w:val="nTable"/>
              <w:spacing w:after="40"/>
              <w:ind w:left="96"/>
              <w:rPr>
                <w:sz w:val="19"/>
              </w:rPr>
            </w:pPr>
            <w:r>
              <w:rPr>
                <w:sz w:val="19"/>
              </w:rPr>
              <w:t>24 Dec 1993</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1994</w:t>
            </w:r>
          </w:p>
        </w:tc>
        <w:tc>
          <w:tcPr>
            <w:tcW w:w="1276" w:type="dxa"/>
          </w:tcPr>
          <w:p>
            <w:pPr>
              <w:pStyle w:val="nTable"/>
              <w:spacing w:after="40"/>
              <w:ind w:left="57"/>
              <w:rPr>
                <w:sz w:val="19"/>
              </w:rPr>
            </w:pPr>
            <w:r>
              <w:rPr>
                <w:sz w:val="19"/>
              </w:rPr>
              <w:t>20 May 1994 p. 2124</w:t>
            </w:r>
            <w:r>
              <w:rPr>
                <w:sz w:val="19"/>
              </w:rPr>
              <w:noBreakHyphen/>
              <w:t>5</w:t>
            </w:r>
          </w:p>
        </w:tc>
        <w:tc>
          <w:tcPr>
            <w:tcW w:w="2693" w:type="dxa"/>
          </w:tcPr>
          <w:p>
            <w:pPr>
              <w:pStyle w:val="nTable"/>
              <w:spacing w:after="40"/>
              <w:ind w:left="96"/>
              <w:rPr>
                <w:sz w:val="19"/>
              </w:rPr>
            </w:pPr>
            <w:r>
              <w:rPr>
                <w:sz w:val="19"/>
              </w:rPr>
              <w:t>20 May 1994</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(No. 2) 1994</w:t>
            </w:r>
          </w:p>
        </w:tc>
        <w:tc>
          <w:tcPr>
            <w:tcW w:w="1276" w:type="dxa"/>
          </w:tcPr>
          <w:p>
            <w:pPr>
              <w:pStyle w:val="nTable"/>
              <w:spacing w:after="40"/>
              <w:ind w:left="57"/>
              <w:rPr>
                <w:sz w:val="19"/>
              </w:rPr>
            </w:pPr>
            <w:r>
              <w:rPr>
                <w:sz w:val="19"/>
              </w:rPr>
              <w:t>22 Jul 1994 p. 3779</w:t>
            </w:r>
            <w:r>
              <w:rPr>
                <w:sz w:val="19"/>
              </w:rPr>
              <w:noBreakHyphen/>
              <w:t>80</w:t>
            </w:r>
          </w:p>
        </w:tc>
        <w:tc>
          <w:tcPr>
            <w:tcW w:w="2693" w:type="dxa"/>
          </w:tcPr>
          <w:p>
            <w:pPr>
              <w:pStyle w:val="nTable"/>
              <w:spacing w:after="40"/>
              <w:ind w:left="96"/>
              <w:rPr>
                <w:sz w:val="19"/>
              </w:rPr>
            </w:pPr>
            <w:r>
              <w:rPr>
                <w:sz w:val="19"/>
              </w:rPr>
              <w:t xml:space="preserve">22 Jul 1994 (see r. 2 and </w:t>
            </w:r>
            <w:r>
              <w:rPr>
                <w:i/>
                <w:sz w:val="19"/>
              </w:rPr>
              <w:t>Gazette</w:t>
            </w:r>
            <w:r>
              <w:rPr>
                <w:sz w:val="19"/>
              </w:rPr>
              <w:t xml:space="preserve"> 22 Jul 1994 p. 3728)</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2000</w:t>
            </w:r>
          </w:p>
        </w:tc>
        <w:tc>
          <w:tcPr>
            <w:tcW w:w="1276" w:type="dxa"/>
          </w:tcPr>
          <w:p>
            <w:pPr>
              <w:pStyle w:val="nTable"/>
              <w:spacing w:after="40"/>
              <w:ind w:left="57"/>
              <w:rPr>
                <w:sz w:val="19"/>
              </w:rPr>
            </w:pPr>
            <w:r>
              <w:rPr>
                <w:sz w:val="19"/>
              </w:rPr>
              <w:t>8 Feb 2000 p. 454-5</w:t>
            </w:r>
          </w:p>
        </w:tc>
        <w:tc>
          <w:tcPr>
            <w:tcW w:w="2693" w:type="dxa"/>
          </w:tcPr>
          <w:p>
            <w:pPr>
              <w:pStyle w:val="nTable"/>
              <w:spacing w:after="40"/>
              <w:ind w:left="96"/>
              <w:rPr>
                <w:sz w:val="19"/>
              </w:rPr>
            </w:pPr>
            <w:r>
              <w:rPr>
                <w:sz w:val="19"/>
              </w:rPr>
              <w:t>8 Feb 2000</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(No. 2) 2000</w:t>
            </w:r>
          </w:p>
        </w:tc>
        <w:tc>
          <w:tcPr>
            <w:tcW w:w="1276" w:type="dxa"/>
          </w:tcPr>
          <w:p>
            <w:pPr>
              <w:pStyle w:val="nTable"/>
              <w:spacing w:after="40"/>
              <w:ind w:left="57"/>
              <w:rPr>
                <w:sz w:val="19"/>
              </w:rPr>
            </w:pPr>
            <w:r>
              <w:rPr>
                <w:sz w:val="19"/>
              </w:rPr>
              <w:t xml:space="preserve">27 Jun 2000 </w:t>
            </w:r>
            <w:r>
              <w:rPr>
                <w:sz w:val="19"/>
              </w:rPr>
              <w:br/>
              <w:t>p. 3252</w:t>
            </w:r>
          </w:p>
        </w:tc>
        <w:tc>
          <w:tcPr>
            <w:tcW w:w="2693" w:type="dxa"/>
          </w:tcPr>
          <w:p>
            <w:pPr>
              <w:pStyle w:val="nTable"/>
              <w:spacing w:after="40"/>
              <w:ind w:left="68"/>
              <w:rPr>
                <w:sz w:val="19"/>
              </w:rPr>
            </w:pPr>
            <w:r>
              <w:rPr>
                <w:sz w:val="19"/>
              </w:rPr>
              <w:t>1 Jul 2000 (see r. 2)</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(No. 3) 2000</w:t>
            </w:r>
          </w:p>
        </w:tc>
        <w:tc>
          <w:tcPr>
            <w:tcW w:w="1276" w:type="dxa"/>
          </w:tcPr>
          <w:p>
            <w:pPr>
              <w:pStyle w:val="nTable"/>
              <w:spacing w:after="40"/>
              <w:ind w:left="57"/>
              <w:rPr>
                <w:sz w:val="19"/>
              </w:rPr>
            </w:pPr>
            <w:r>
              <w:rPr>
                <w:sz w:val="19"/>
              </w:rPr>
              <w:t>15 Dec 2000 p. 7212-15</w:t>
            </w:r>
          </w:p>
        </w:tc>
        <w:tc>
          <w:tcPr>
            <w:tcW w:w="2693" w:type="dxa"/>
          </w:tcPr>
          <w:p>
            <w:pPr>
              <w:pStyle w:val="nTable"/>
              <w:spacing w:after="40"/>
              <w:ind w:left="68"/>
              <w:rPr>
                <w:sz w:val="19"/>
              </w:rPr>
            </w:pPr>
            <w:r>
              <w:rPr>
                <w:sz w:val="19"/>
              </w:rPr>
              <w:t xml:space="preserve">16 Dec 2000 (see r. 2 and </w:t>
            </w:r>
            <w:r>
              <w:rPr>
                <w:i/>
                <w:sz w:val="19"/>
              </w:rPr>
              <w:t>Gazette</w:t>
            </w:r>
            <w:r>
              <w:rPr>
                <w:sz w:val="19"/>
              </w:rPr>
              <w:t xml:space="preserve"> 15 Dec 2000 p. 7201)</w:t>
            </w:r>
          </w:p>
        </w:tc>
      </w:tr>
      <w:tr>
        <w:trPr>
          <w:gridBefore w:val="1"/>
          <w:wBefore w:w="28" w:type="dxa"/>
          <w:cantSplit/>
        </w:trPr>
        <w:tc>
          <w:tcPr>
            <w:tcW w:w="7087" w:type="dxa"/>
            <w:gridSpan w:val="4"/>
          </w:tcPr>
          <w:p>
            <w:pPr>
              <w:pStyle w:val="nTable"/>
              <w:spacing w:after="40"/>
              <w:ind w:right="113"/>
              <w:rPr>
                <w:sz w:val="19"/>
              </w:rPr>
            </w:pPr>
            <w:r>
              <w:rPr>
                <w:b/>
                <w:sz w:val="19"/>
              </w:rPr>
              <w:t xml:space="preserve">Reprint of the </w:t>
            </w:r>
            <w:r>
              <w:rPr>
                <w:b/>
                <w:i/>
                <w:sz w:val="19"/>
              </w:rPr>
              <w:t>Petroleum Regulations 1987</w:t>
            </w:r>
            <w:r>
              <w:rPr>
                <w:b/>
                <w:sz w:val="19"/>
              </w:rPr>
              <w:t xml:space="preserve"> as at 4 May 2001</w:t>
            </w:r>
            <w:r>
              <w:rPr>
                <w:sz w:val="19"/>
              </w:rPr>
              <w:br/>
              <w:t>(includes amendments listed above)</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2002</w:t>
            </w:r>
          </w:p>
        </w:tc>
        <w:tc>
          <w:tcPr>
            <w:tcW w:w="1276" w:type="dxa"/>
          </w:tcPr>
          <w:p>
            <w:pPr>
              <w:pStyle w:val="nTable"/>
              <w:spacing w:after="40"/>
              <w:ind w:left="57"/>
              <w:rPr>
                <w:sz w:val="19"/>
              </w:rPr>
            </w:pPr>
            <w:r>
              <w:rPr>
                <w:sz w:val="19"/>
              </w:rPr>
              <w:t>28 Jun 2002 p. 3090-1</w:t>
            </w:r>
          </w:p>
        </w:tc>
        <w:tc>
          <w:tcPr>
            <w:tcW w:w="2693" w:type="dxa"/>
          </w:tcPr>
          <w:p>
            <w:pPr>
              <w:pStyle w:val="nTable"/>
              <w:spacing w:after="40"/>
              <w:ind w:left="68"/>
              <w:rPr>
                <w:sz w:val="19"/>
              </w:rPr>
            </w:pPr>
            <w:r>
              <w:rPr>
                <w:sz w:val="19"/>
              </w:rPr>
              <w:t>1 Jul 2002 (see r. 2)</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2003</w:t>
            </w:r>
          </w:p>
        </w:tc>
        <w:tc>
          <w:tcPr>
            <w:tcW w:w="1276" w:type="dxa"/>
          </w:tcPr>
          <w:p>
            <w:pPr>
              <w:pStyle w:val="nTable"/>
              <w:spacing w:after="40"/>
              <w:ind w:left="57"/>
              <w:rPr>
                <w:sz w:val="19"/>
              </w:rPr>
            </w:pPr>
            <w:r>
              <w:rPr>
                <w:sz w:val="19"/>
              </w:rPr>
              <w:t>28 Feb 2003 p. 669-70</w:t>
            </w:r>
          </w:p>
        </w:tc>
        <w:tc>
          <w:tcPr>
            <w:tcW w:w="2693" w:type="dxa"/>
          </w:tcPr>
          <w:p>
            <w:pPr>
              <w:pStyle w:val="nTable"/>
              <w:spacing w:after="40"/>
              <w:ind w:left="68"/>
              <w:rPr>
                <w:sz w:val="19"/>
              </w:rPr>
            </w:pPr>
            <w:r>
              <w:rPr>
                <w:sz w:val="19"/>
              </w:rPr>
              <w:t>28 Feb 2003</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2009</w:t>
            </w:r>
          </w:p>
        </w:tc>
        <w:tc>
          <w:tcPr>
            <w:tcW w:w="1276" w:type="dxa"/>
          </w:tcPr>
          <w:p>
            <w:pPr>
              <w:pStyle w:val="nTable"/>
              <w:spacing w:after="40"/>
              <w:ind w:left="57"/>
              <w:rPr>
                <w:sz w:val="19"/>
              </w:rPr>
            </w:pPr>
            <w:r>
              <w:rPr>
                <w:sz w:val="19"/>
              </w:rPr>
              <w:t>23 Jun 2009 p. 2471</w:t>
            </w:r>
            <w:r>
              <w:rPr>
                <w:sz w:val="19"/>
              </w:rPr>
              <w:noBreakHyphen/>
              <w:t>4</w:t>
            </w:r>
          </w:p>
        </w:tc>
        <w:tc>
          <w:tcPr>
            <w:tcW w:w="2693" w:type="dxa"/>
          </w:tcPr>
          <w:p>
            <w:pPr>
              <w:pStyle w:val="nTable"/>
              <w:spacing w:after="40"/>
              <w:ind w:left="68"/>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gridAfter w:val="1"/>
          <w:wAfter w:w="28" w:type="dxa"/>
          <w:cantSplit/>
        </w:trPr>
        <w:tc>
          <w:tcPr>
            <w:tcW w:w="7087" w:type="dxa"/>
            <w:gridSpan w:val="4"/>
          </w:tcPr>
          <w:p>
            <w:pPr>
              <w:pStyle w:val="nTable"/>
              <w:spacing w:after="40"/>
              <w:ind w:left="68"/>
              <w:rPr>
                <w:snapToGrid w:val="0"/>
                <w:spacing w:val="-2"/>
                <w:sz w:val="19"/>
                <w:lang w:val="en-US"/>
              </w:rPr>
            </w:pPr>
            <w:r>
              <w:rPr>
                <w:b/>
                <w:sz w:val="19"/>
              </w:rPr>
              <w:t xml:space="preserve">Reprint 2: The </w:t>
            </w:r>
            <w:r>
              <w:rPr>
                <w:b/>
                <w:i/>
                <w:iCs/>
                <w:sz w:val="19"/>
              </w:rPr>
              <w:t xml:space="preserve">Petroleum </w:t>
            </w:r>
            <w:r>
              <w:rPr>
                <w:b/>
                <w:i/>
                <w:sz w:val="19"/>
              </w:rPr>
              <w:t>and Geothermal Energy</w:t>
            </w:r>
            <w:r>
              <w:rPr>
                <w:b/>
                <w:i/>
                <w:iCs/>
                <w:snapToGrid w:val="0"/>
                <w:sz w:val="19"/>
              </w:rPr>
              <w:t xml:space="preserve"> Resources</w:t>
            </w:r>
            <w:r>
              <w:rPr>
                <w:i/>
                <w:iCs/>
                <w:snapToGrid w:val="0"/>
                <w:sz w:val="19"/>
              </w:rPr>
              <w:t xml:space="preserve"> </w:t>
            </w:r>
            <w:r>
              <w:rPr>
                <w:b/>
                <w:i/>
                <w:sz w:val="19"/>
              </w:rPr>
              <w:t>Regulations 1987</w:t>
            </w:r>
            <w:r>
              <w:rPr>
                <w:b/>
                <w:sz w:val="19"/>
              </w:rPr>
              <w:t xml:space="preserve"> as at 21 Aug 2009 </w:t>
            </w:r>
            <w:r>
              <w:rPr>
                <w:sz w:val="19"/>
              </w:rPr>
              <w:t>(includes amendments listed above)</w:t>
            </w:r>
          </w:p>
        </w:tc>
      </w:tr>
      <w:tr>
        <w:trPr>
          <w:gridAfter w:val="1"/>
          <w:wAfter w:w="28" w:type="dxa"/>
          <w:cantSplit/>
        </w:trPr>
        <w:tc>
          <w:tcPr>
            <w:tcW w:w="3118" w:type="dxa"/>
            <w:gridSpan w:val="2"/>
          </w:tcPr>
          <w:p>
            <w:pPr>
              <w:pStyle w:val="nTable"/>
              <w:spacing w:after="40"/>
              <w:ind w:right="113"/>
              <w:rPr>
                <w:i/>
                <w:sz w:val="19"/>
              </w:rPr>
            </w:pPr>
            <w:r>
              <w:rPr>
                <w:i/>
                <w:sz w:val="19"/>
              </w:rPr>
              <w:t>Petroleum and Geothermal Energy Resources Amendment Regulations 2010</w:t>
            </w:r>
          </w:p>
        </w:tc>
        <w:tc>
          <w:tcPr>
            <w:tcW w:w="1276" w:type="dxa"/>
          </w:tcPr>
          <w:p>
            <w:pPr>
              <w:pStyle w:val="nTable"/>
              <w:spacing w:after="40"/>
              <w:ind w:left="57"/>
              <w:rPr>
                <w:sz w:val="19"/>
              </w:rPr>
            </w:pPr>
            <w:r>
              <w:rPr>
                <w:sz w:val="19"/>
              </w:rPr>
              <w:t>9 Feb 2010 p. 271</w:t>
            </w:r>
          </w:p>
        </w:tc>
        <w:tc>
          <w:tcPr>
            <w:tcW w:w="2693" w:type="dxa"/>
          </w:tcPr>
          <w:p>
            <w:pPr>
              <w:pStyle w:val="nTable"/>
              <w:spacing w:after="40"/>
              <w:ind w:left="68"/>
              <w:rPr>
                <w:sz w:val="19"/>
              </w:rPr>
            </w:pPr>
            <w:r>
              <w:rPr>
                <w:snapToGrid w:val="0"/>
                <w:spacing w:val="-2"/>
                <w:sz w:val="19"/>
                <w:lang w:val="en-US"/>
              </w:rPr>
              <w:t>r. 1 and 2: 9 Feb 2010 (see r. 2(a));</w:t>
            </w:r>
            <w:r>
              <w:rPr>
                <w:snapToGrid w:val="0"/>
                <w:spacing w:val="-2"/>
                <w:sz w:val="19"/>
                <w:lang w:val="en-US"/>
              </w:rPr>
              <w:br/>
              <w:t>Regulations other than r. 1 and 2: 10 Feb 2010 (see r. 2(b))</w:t>
            </w:r>
          </w:p>
        </w:tc>
      </w:tr>
      <w:tr>
        <w:trPr>
          <w:gridAfter w:val="1"/>
          <w:wAfter w:w="28" w:type="dxa"/>
          <w:cantSplit/>
        </w:trPr>
        <w:tc>
          <w:tcPr>
            <w:tcW w:w="3118" w:type="dxa"/>
            <w:gridSpan w:val="2"/>
            <w:tcBorders>
              <w:bottom w:val="single" w:sz="4" w:space="0" w:color="auto"/>
            </w:tcBorders>
          </w:tcPr>
          <w:p>
            <w:pPr>
              <w:pStyle w:val="nTable"/>
              <w:spacing w:after="40"/>
              <w:ind w:right="113"/>
              <w:rPr>
                <w:i/>
                <w:sz w:val="19"/>
              </w:rPr>
            </w:pPr>
            <w:r>
              <w:rPr>
                <w:i/>
                <w:sz w:val="19"/>
              </w:rPr>
              <w:t>Petroleum and Geothermal Energy Resources Amendment Regulations (No. 2) 2010</w:t>
            </w:r>
          </w:p>
        </w:tc>
        <w:tc>
          <w:tcPr>
            <w:tcW w:w="1276" w:type="dxa"/>
            <w:tcBorders>
              <w:bottom w:val="single" w:sz="4" w:space="0" w:color="auto"/>
            </w:tcBorders>
          </w:tcPr>
          <w:p>
            <w:pPr>
              <w:pStyle w:val="nTable"/>
              <w:spacing w:after="40"/>
              <w:ind w:left="57"/>
              <w:rPr>
                <w:sz w:val="19"/>
              </w:rPr>
            </w:pPr>
            <w:r>
              <w:rPr>
                <w:sz w:val="19"/>
              </w:rPr>
              <w:t>11 May 2010 p. 1816-18</w:t>
            </w:r>
          </w:p>
        </w:tc>
        <w:tc>
          <w:tcPr>
            <w:tcW w:w="2693" w:type="dxa"/>
            <w:tcBorders>
              <w:bottom w:val="single" w:sz="4" w:space="0" w:color="auto"/>
            </w:tcBorders>
          </w:tcPr>
          <w:p>
            <w:pPr>
              <w:pStyle w:val="nTable"/>
              <w:spacing w:after="40"/>
              <w:ind w:left="68"/>
              <w:rPr>
                <w:snapToGrid w:val="0"/>
                <w:spacing w:val="-2"/>
                <w:sz w:val="19"/>
                <w:lang w:val="en-US"/>
              </w:rPr>
            </w:pPr>
            <w:r>
              <w:rPr>
                <w:snapToGrid w:val="0"/>
                <w:spacing w:val="-2"/>
                <w:sz w:val="19"/>
                <w:lang w:val="en-US"/>
              </w:rPr>
              <w:t>r. 1 and 2: 11 May 2010 (see </w:t>
            </w:r>
            <w:bookmarkStart w:id="77" w:name="UpToHere"/>
            <w:bookmarkEnd w:id="77"/>
            <w:r>
              <w:rPr>
                <w:snapToGrid w:val="0"/>
                <w:spacing w:val="-2"/>
                <w:sz w:val="19"/>
                <w:lang w:val="en-US"/>
              </w:rPr>
              <w:t>r. 2(a));</w:t>
            </w:r>
            <w:r>
              <w:rPr>
                <w:snapToGrid w:val="0"/>
                <w:spacing w:val="-2"/>
                <w:sz w:val="19"/>
                <w:lang w:val="en-US"/>
              </w:rPr>
              <w:br/>
              <w:t>Regulations other than r. 1 and 2: 12 May 2010 (see r. 2(b))</w:t>
            </w:r>
          </w:p>
        </w:tc>
      </w:tr>
    </w:tbl>
    <w:p>
      <w:pPr>
        <w:pStyle w:val="nSubsection"/>
        <w:rPr>
          <w:vertAlign w:val="superscript"/>
        </w:rPr>
      </w:pPr>
    </w:p>
    <w:p>
      <w:pPr>
        <w:pStyle w:val="nSubsection"/>
        <w:rPr>
          <w:vertAlign w:val="superscript"/>
        </w:rPr>
      </w:pPr>
      <w:r>
        <w:rPr>
          <w:snapToGrid w:val="0"/>
          <w:vertAlign w:val="superscript"/>
        </w:rPr>
        <w:t>2</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p>
    <w:p>
      <w:pPr>
        <w:pStyle w:val="nSubsection"/>
      </w:pPr>
      <w:r>
        <w:rPr>
          <w:vertAlign w:val="superscript"/>
        </w:rPr>
        <w:t>3</w:t>
      </w:r>
      <w:r>
        <w:tab/>
        <w:t xml:space="preserve">Commencement day was 16 Dec 2000 (see </w:t>
      </w:r>
      <w:r>
        <w:rPr>
          <w:i/>
        </w:rPr>
        <w:t>Gazette</w:t>
      </w:r>
      <w:r>
        <w:t xml:space="preserve"> 15 Dec 2000 p. 7201).</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pPr>
      <w:r>
        <w:rPr>
          <w:vertAlign w:val="superscript"/>
        </w:rPr>
        <w:t>5</w:t>
      </w:r>
      <w:r>
        <w:tab/>
        <w:t xml:space="preserve">Now known as the </w:t>
      </w:r>
      <w:r>
        <w:rPr>
          <w:i/>
          <w:iCs/>
        </w:rPr>
        <w:t>Petroleum and Geothermal Energy Resources Regulations 1987</w:t>
      </w:r>
      <w:r>
        <w:t>; citation changed (see note under r. 1).</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rPr>
          <w:sz w:val="28"/>
        </w:rPr>
      </w:pPr>
      <w:bookmarkStart w:id="78" w:name="_Toc236215348"/>
      <w:bookmarkStart w:id="79" w:name="_Toc236634263"/>
      <w:bookmarkStart w:id="80" w:name="_Toc238010424"/>
      <w:bookmarkStart w:id="81" w:name="_Toc253405069"/>
      <w:bookmarkStart w:id="82" w:name="_Toc253405125"/>
      <w:bookmarkStart w:id="83" w:name="_Toc261269950"/>
      <w:r>
        <w:rPr>
          <w:sz w:val="28"/>
        </w:rPr>
        <w:t>Defined Terms</w:t>
      </w:r>
      <w:bookmarkEnd w:id="78"/>
      <w:bookmarkEnd w:id="79"/>
      <w:bookmarkEnd w:id="80"/>
      <w:bookmarkEnd w:id="81"/>
      <w:bookmarkEnd w:id="82"/>
      <w:bookmarkEnd w:id="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4" w:name="DefinedTerms"/>
      <w:bookmarkEnd w:id="84"/>
      <w:r>
        <w:t>commencement day</w:t>
      </w:r>
      <w:r>
        <w:tab/>
        <w:t>10(4)</w:t>
      </w:r>
    </w:p>
    <w:p>
      <w:pPr>
        <w:pStyle w:val="DefinedTerms"/>
      </w:pPr>
      <w:r>
        <w:t>GDA reference</w:t>
      </w:r>
      <w:r>
        <w:tab/>
        <w:t>10(1)</w:t>
      </w:r>
    </w:p>
    <w:p>
      <w:pPr>
        <w:pStyle w:val="DefinedTerms"/>
      </w:pPr>
      <w:r>
        <w:t>GRS80</w:t>
      </w:r>
      <w:r>
        <w:tab/>
        <w:t>9(2)</w:t>
      </w:r>
    </w:p>
    <w:p>
      <w:pPr>
        <w:pStyle w:val="DefinedTerms"/>
      </w:pPr>
      <w:r>
        <w:t>related dealing</w:t>
      </w:r>
      <w:r>
        <w:tab/>
        <w:t>5(2)</w:t>
      </w:r>
    </w:p>
    <w:p>
      <w:pPr>
        <w:pStyle w:val="DefinedTerms"/>
      </w:pPr>
      <w:r>
        <w:t>the AGD</w:t>
      </w:r>
      <w:r>
        <w:tab/>
        <w:t>1A</w:t>
      </w:r>
    </w:p>
    <w:p>
      <w:pPr>
        <w:pStyle w:val="DefinedTerms"/>
      </w:pPr>
      <w:r>
        <w:t>the dealing</w:t>
      </w:r>
      <w:r>
        <w:tab/>
        <w:t>5(1)(a)</w:t>
      </w:r>
    </w:p>
    <w:p>
      <w:pPr>
        <w:pStyle w:val="DefinedTerms"/>
      </w:pPr>
      <w:r>
        <w:t>the GDA</w:t>
      </w:r>
      <w:r>
        <w:tab/>
        <w:t>1A</w:t>
      </w:r>
    </w:p>
    <w:p>
      <w:pPr>
        <w:pStyle w:val="DefinedTerms"/>
      </w:pP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Regulations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and Geothermal Energy Resources Regulations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and Geothermal Energy Resources Regulations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and Geothermal Energy Resources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and Geothermal Energy Resources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Regulations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402A6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F3673A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543"/>
    <w:docVar w:name="WAFER_20151208155543" w:val="RemoveTrackChanges"/>
    <w:docVar w:name="WAFER_20151208155543_GUID" w:val="35bebf8b-c564-4029-b8bf-2894a6eca6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3408</Words>
  <Characters>16802</Characters>
  <Application>Microsoft Office Word</Application>
  <DocSecurity>0</DocSecurity>
  <Lines>600</Lines>
  <Paragraphs>388</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19822</CharactersWithSpaces>
  <SharedDoc>false</SharedDoc>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1987 - 02-c0-03</dc:title>
  <dc:subject/>
  <dc:creator/>
  <cp:keywords/>
  <dc:description/>
  <cp:lastModifiedBy>svcMRProcess</cp:lastModifiedBy>
  <cp:revision>4</cp:revision>
  <cp:lastPrinted>2009-08-17T03:02:00Z</cp:lastPrinted>
  <dcterms:created xsi:type="dcterms:W3CDTF">2020-02-27T13:22:00Z</dcterms:created>
  <dcterms:modified xsi:type="dcterms:W3CDTF">2020-02-27T13:22:00Z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CommencementDate">
    <vt:lpwstr>20100512</vt:lpwstr>
  </property>
  <property fmtid="{D5CDD505-2E9C-101B-9397-08002B2CF9AE}" pid="4" name="DocumentType">
    <vt:lpwstr>Reg</vt:lpwstr>
  </property>
  <property fmtid="{D5CDD505-2E9C-101B-9397-08002B2CF9AE}" pid="5" name="AsAtDate">
    <vt:lpwstr>12 May 2010</vt:lpwstr>
  </property>
  <property fmtid="{D5CDD505-2E9C-101B-9397-08002B2CF9AE}" pid="6" name="Suffix">
    <vt:lpwstr>02-c0-03</vt:lpwstr>
  </property>
  <property fmtid="{D5CDD505-2E9C-101B-9397-08002B2CF9AE}" pid="7" name="ReprintNo">
    <vt:lpwstr>2</vt:lpwstr>
  </property>
  <property fmtid="{D5CDD505-2E9C-101B-9397-08002B2CF9AE}" pid="8" name="OwlsUID">
    <vt:i4>4690</vt:i4>
  </property>
</Properties>
</file>