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Petroleum Pipelines Act 1969</w:t>
      </w:r>
    </w:p>
    <w:p>
      <w:pPr>
        <w:pStyle w:val="NameofActRegPage1"/>
        <w:spacing w:before="1800" w:after="4200"/>
      </w:pPr>
      <w:r>
        <w:fldChar w:fldCharType="begin"/>
      </w:r>
      <w:r>
        <w:instrText xml:space="preserve"> STYLEREF "Name Of Act/Reg"</w:instrText>
      </w:r>
      <w:r>
        <w:fldChar w:fldCharType="separate"/>
      </w:r>
      <w:r>
        <w:rPr>
          <w:noProof/>
        </w:rPr>
        <w:t>Petroleum Pipelines Regulations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_Toc261269748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_Toc261269749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_Toc261269750 \h </w:instrText>
      </w:r>
      <w:r>
        <w:fldChar w:fldCharType="separate"/>
      </w:r>
      <w:r>
        <w:t>2</w:t>
      </w:r>
      <w:r>
        <w:fldChar w:fldCharType="end"/>
      </w:r>
    </w:p>
    <w:p>
      <w:pPr>
        <w:pStyle w:val="TOC8"/>
        <w:rPr>
          <w:sz w:val="24"/>
          <w:szCs w:val="24"/>
        </w:rPr>
      </w:pPr>
      <w:r>
        <w:rPr>
          <w:szCs w:val="24"/>
        </w:rPr>
        <w:t>4B</w:t>
      </w:r>
      <w:r>
        <w:rPr>
          <w:snapToGrid w:val="0"/>
          <w:szCs w:val="24"/>
        </w:rPr>
        <w:t>.</w:t>
      </w:r>
      <w:r>
        <w:rPr>
          <w:snapToGrid w:val="0"/>
          <w:szCs w:val="24"/>
        </w:rPr>
        <w:tab/>
        <w:t>Prescribed amount for Act s. 29(1)</w:t>
      </w:r>
      <w:r>
        <w:tab/>
      </w:r>
      <w:r>
        <w:fldChar w:fldCharType="begin"/>
      </w:r>
      <w:r>
        <w:instrText xml:space="preserve"> PAGEREF _Toc261269751 \h </w:instrText>
      </w:r>
      <w:r>
        <w:fldChar w:fldCharType="separate"/>
      </w:r>
      <w:r>
        <w:t>2</w:t>
      </w:r>
      <w:r>
        <w:fldChar w:fldCharType="end"/>
      </w:r>
    </w:p>
    <w:p>
      <w:pPr>
        <w:pStyle w:val="TOC8"/>
        <w:rPr>
          <w:sz w:val="24"/>
          <w:szCs w:val="24"/>
        </w:rPr>
      </w:pPr>
      <w:r>
        <w:rPr>
          <w:szCs w:val="24"/>
        </w:rPr>
        <w:t>4BA.</w:t>
      </w:r>
      <w:r>
        <w:rPr>
          <w:szCs w:val="24"/>
        </w:rPr>
        <w:tab/>
        <w:t>Licence fee increase to cover GST</w:t>
      </w:r>
      <w:r>
        <w:tab/>
      </w:r>
      <w:r>
        <w:fldChar w:fldCharType="begin"/>
      </w:r>
      <w:r>
        <w:instrText xml:space="preserve"> PAGEREF _Toc261269752 \h </w:instrText>
      </w:r>
      <w:r>
        <w:fldChar w:fldCharType="separate"/>
      </w:r>
      <w:r>
        <w:t>3</w:t>
      </w:r>
      <w:r>
        <w:fldChar w:fldCharType="end"/>
      </w:r>
    </w:p>
    <w:p>
      <w:pPr>
        <w:pStyle w:val="TOC8"/>
        <w:rPr>
          <w:sz w:val="24"/>
          <w:szCs w:val="24"/>
        </w:rPr>
      </w:pPr>
      <w:r>
        <w:rPr>
          <w:szCs w:val="24"/>
        </w:rPr>
        <w:t>4C</w:t>
      </w:r>
      <w:r>
        <w:rPr>
          <w:snapToGrid w:val="0"/>
          <w:szCs w:val="24"/>
        </w:rPr>
        <w:t>.</w:t>
      </w:r>
      <w:r>
        <w:rPr>
          <w:snapToGrid w:val="0"/>
          <w:szCs w:val="24"/>
        </w:rPr>
        <w:tab/>
        <w:t>Instrument of transfer under Act s. 44(3)(a)</w:t>
      </w:r>
      <w:r>
        <w:tab/>
      </w:r>
      <w:r>
        <w:fldChar w:fldCharType="begin"/>
      </w:r>
      <w:r>
        <w:instrText xml:space="preserve"> PAGEREF _Toc261269753 \h </w:instrText>
      </w:r>
      <w:r>
        <w:fldChar w:fldCharType="separate"/>
      </w:r>
      <w:r>
        <w:t>3</w:t>
      </w:r>
      <w:r>
        <w:fldChar w:fldCharType="end"/>
      </w:r>
    </w:p>
    <w:p>
      <w:pPr>
        <w:pStyle w:val="TOC8"/>
        <w:rPr>
          <w:sz w:val="24"/>
          <w:szCs w:val="24"/>
        </w:rPr>
      </w:pPr>
      <w:r>
        <w:rPr>
          <w:szCs w:val="24"/>
        </w:rPr>
        <w:t>4D</w:t>
      </w:r>
      <w:r>
        <w:rPr>
          <w:snapToGrid w:val="0"/>
          <w:szCs w:val="24"/>
        </w:rPr>
        <w:t>.</w:t>
      </w:r>
      <w:r>
        <w:rPr>
          <w:snapToGrid w:val="0"/>
          <w:szCs w:val="24"/>
        </w:rPr>
        <w:tab/>
        <w:t>Instrument under Act s. 47(4)(b)</w:t>
      </w:r>
      <w:r>
        <w:tab/>
      </w:r>
      <w:r>
        <w:fldChar w:fldCharType="begin"/>
      </w:r>
      <w:r>
        <w:instrText xml:space="preserve"> PAGEREF _Toc261269754 \h </w:instrText>
      </w:r>
      <w:r>
        <w:fldChar w:fldCharType="separate"/>
      </w:r>
      <w:r>
        <w:t>3</w:t>
      </w:r>
      <w:r>
        <w:fldChar w:fldCharType="end"/>
      </w:r>
    </w:p>
    <w:p>
      <w:pPr>
        <w:pStyle w:val="TOC8"/>
        <w:rPr>
          <w:sz w:val="24"/>
          <w:szCs w:val="24"/>
        </w:rPr>
      </w:pPr>
      <w:r>
        <w:rPr>
          <w:szCs w:val="24"/>
        </w:rPr>
        <w:t>4E</w:t>
      </w:r>
      <w:r>
        <w:rPr>
          <w:snapToGrid w:val="0"/>
          <w:szCs w:val="24"/>
        </w:rPr>
        <w:t>.</w:t>
      </w:r>
      <w:r>
        <w:rPr>
          <w:snapToGrid w:val="0"/>
          <w:szCs w:val="24"/>
        </w:rPr>
        <w:tab/>
        <w:t>Map for Act s. 32B(3)</w:t>
      </w:r>
      <w:r>
        <w:rPr>
          <w:snapToGrid w:val="0"/>
          <w:szCs w:val="24"/>
          <w:vertAlign w:val="superscript"/>
        </w:rPr>
        <w:t> </w:t>
      </w:r>
      <w:r>
        <w:tab/>
      </w:r>
      <w:r>
        <w:fldChar w:fldCharType="begin"/>
      </w:r>
      <w:r>
        <w:instrText xml:space="preserve"> PAGEREF _Toc261269755 \h </w:instrText>
      </w:r>
      <w:r>
        <w:fldChar w:fldCharType="separate"/>
      </w:r>
      <w:r>
        <w:t>5</w:t>
      </w:r>
      <w:r>
        <w:fldChar w:fldCharType="end"/>
      </w:r>
    </w:p>
    <w:p>
      <w:pPr>
        <w:pStyle w:val="TOC8"/>
        <w:rPr>
          <w:sz w:val="24"/>
          <w:szCs w:val="24"/>
        </w:rPr>
      </w:pPr>
      <w:r>
        <w:rPr>
          <w:szCs w:val="24"/>
        </w:rPr>
        <w:t>4F</w:t>
      </w:r>
      <w:r>
        <w:rPr>
          <w:snapToGrid w:val="0"/>
          <w:szCs w:val="24"/>
        </w:rPr>
        <w:t>.</w:t>
      </w:r>
      <w:r>
        <w:rPr>
          <w:snapToGrid w:val="0"/>
          <w:szCs w:val="24"/>
        </w:rPr>
        <w:tab/>
        <w:t>Objection under Act s. 32D</w:t>
      </w:r>
      <w:r>
        <w:rPr>
          <w:snapToGrid w:val="0"/>
          <w:szCs w:val="24"/>
          <w:vertAlign w:val="superscript"/>
        </w:rPr>
        <w:t> </w:t>
      </w:r>
      <w:r>
        <w:tab/>
      </w:r>
      <w:r>
        <w:fldChar w:fldCharType="begin"/>
      </w:r>
      <w:r>
        <w:instrText xml:space="preserve"> PAGEREF _Toc261269756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Licensee to comply with these regulations</w:t>
      </w:r>
      <w:r>
        <w:tab/>
      </w:r>
      <w:r>
        <w:fldChar w:fldCharType="begin"/>
      </w:r>
      <w:r>
        <w:instrText xml:space="preserve"> PAGEREF _Toc261269757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Pipeline construction and operation requirements</w:t>
      </w:r>
      <w:r>
        <w:tab/>
      </w:r>
      <w:r>
        <w:fldChar w:fldCharType="begin"/>
      </w:r>
      <w:r>
        <w:instrText xml:space="preserve"> PAGEREF _Toc261269758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Pipeline construction and operation standards</w:t>
      </w:r>
      <w:r>
        <w:tab/>
      </w:r>
      <w:r>
        <w:fldChar w:fldCharType="begin"/>
      </w:r>
      <w:r>
        <w:instrText xml:space="preserve"> PAGEREF _Toc261269759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Pipelines in water, construction of</w:t>
      </w:r>
      <w:r>
        <w:tab/>
      </w:r>
      <w:r>
        <w:fldChar w:fldCharType="begin"/>
      </w:r>
      <w:r>
        <w:instrText xml:space="preserve"> PAGEREF _Toc261269760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Testing of pipelines</w:t>
      </w:r>
      <w:r>
        <w:tab/>
      </w:r>
      <w:r>
        <w:fldChar w:fldCharType="begin"/>
      </w:r>
      <w:r>
        <w:instrText xml:space="preserve"> PAGEREF _Toc261269761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Pipeline trenches etc, safety requirements for</w:t>
      </w:r>
      <w:r>
        <w:tab/>
      </w:r>
      <w:r>
        <w:fldChar w:fldCharType="begin"/>
      </w:r>
      <w:r>
        <w:instrText xml:space="preserve"> PAGEREF _Toc261269762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Placing pipelines in trenches, safety requirements for</w:t>
      </w:r>
      <w:r>
        <w:tab/>
      </w:r>
      <w:r>
        <w:fldChar w:fldCharType="begin"/>
      </w:r>
      <w:r>
        <w:instrText xml:space="preserve"> PAGEREF _Toc261269763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Joining pipelines in trenches, safety requirements for</w:t>
      </w:r>
      <w:r>
        <w:tab/>
      </w:r>
      <w:r>
        <w:fldChar w:fldCharType="begin"/>
      </w:r>
      <w:r>
        <w:instrText xml:space="preserve"> PAGEREF _Toc261269764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Pipelines to be earthed in some cases</w:t>
      </w:r>
      <w:r>
        <w:tab/>
      </w:r>
      <w:r>
        <w:fldChar w:fldCharType="begin"/>
      </w:r>
      <w:r>
        <w:instrText xml:space="preserve"> PAGEREF _Toc261269765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Surveys of pipelines to be made and lodged</w:t>
      </w:r>
      <w:r>
        <w:tab/>
      </w:r>
      <w:r>
        <w:fldChar w:fldCharType="begin"/>
      </w:r>
      <w:r>
        <w:instrText xml:space="preserve"> PAGEREF _Toc261269766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Protective equipment for pipeline workers</w:t>
      </w:r>
      <w:r>
        <w:tab/>
      </w:r>
      <w:r>
        <w:fldChar w:fldCharType="begin"/>
      </w:r>
      <w:r>
        <w:instrText xml:space="preserve"> PAGEREF _Toc261269767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Pipeline’s position to be signposted</w:t>
      </w:r>
      <w:r>
        <w:tab/>
      </w:r>
      <w:r>
        <w:fldChar w:fldCharType="begin"/>
      </w:r>
      <w:r>
        <w:instrText xml:space="preserve"> PAGEREF _Toc261269768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Inspector’s powers</w:t>
      </w:r>
      <w:r>
        <w:tab/>
      </w:r>
      <w:r>
        <w:fldChar w:fldCharType="begin"/>
      </w:r>
      <w:r>
        <w:instrText xml:space="preserve"> PAGEREF _Toc261269769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Disobeying inspector, consequence of</w:t>
      </w:r>
      <w:r>
        <w:tab/>
      </w:r>
      <w:r>
        <w:fldChar w:fldCharType="begin"/>
      </w:r>
      <w:r>
        <w:instrText xml:space="preserve"> PAGEREF _Toc261269770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Pipeline failures and fires, duties of licensee</w:t>
      </w:r>
      <w:r>
        <w:tab/>
      </w:r>
      <w:r>
        <w:fldChar w:fldCharType="begin"/>
      </w:r>
      <w:r>
        <w:instrText xml:space="preserve"> PAGEREF _Toc261269771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Serious accidents, duties of licensee</w:t>
      </w:r>
      <w:r>
        <w:tab/>
      </w:r>
      <w:r>
        <w:fldChar w:fldCharType="begin"/>
      </w:r>
      <w:r>
        <w:instrText xml:space="preserve"> PAGEREF _Toc261269772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Reports to Minister by licensee</w:t>
      </w:r>
      <w:r>
        <w:tab/>
      </w:r>
      <w:r>
        <w:fldChar w:fldCharType="begin"/>
      </w:r>
      <w:r>
        <w:instrText xml:space="preserve"> PAGEREF _Toc261269773 \h </w:instrText>
      </w:r>
      <w:r>
        <w:fldChar w:fldCharType="separate"/>
      </w:r>
      <w:r>
        <w:t>13</w:t>
      </w:r>
      <w:r>
        <w:fldChar w:fldCharType="end"/>
      </w:r>
    </w:p>
    <w:p>
      <w:pPr>
        <w:pStyle w:val="TOC8"/>
        <w:rPr>
          <w:sz w:val="24"/>
          <w:szCs w:val="24"/>
        </w:rPr>
      </w:pPr>
      <w:r>
        <w:rPr>
          <w:szCs w:val="24"/>
        </w:rPr>
        <w:lastRenderedPageBreak/>
        <w:t>26</w:t>
      </w:r>
      <w:r>
        <w:rPr>
          <w:snapToGrid w:val="0"/>
          <w:szCs w:val="24"/>
        </w:rPr>
        <w:t>.</w:t>
      </w:r>
      <w:r>
        <w:rPr>
          <w:snapToGrid w:val="0"/>
          <w:szCs w:val="24"/>
        </w:rPr>
        <w:tab/>
        <w:t>Plan of operational procedure to be submitted with application under Act s. 36</w:t>
      </w:r>
      <w:r>
        <w:tab/>
      </w:r>
      <w:r>
        <w:fldChar w:fldCharType="begin"/>
      </w:r>
      <w:r>
        <w:instrText xml:space="preserve"> PAGEREF _Toc261269774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Penalties</w:t>
      </w:r>
      <w:r>
        <w:tab/>
      </w:r>
      <w:r>
        <w:fldChar w:fldCharType="begin"/>
      </w:r>
      <w:r>
        <w:instrText xml:space="preserve"> PAGEREF _Toc261269775 \h </w:instrText>
      </w:r>
      <w:r>
        <w:fldChar w:fldCharType="separate"/>
      </w:r>
      <w:r>
        <w:t>13</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 — Fees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_Toc261269780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Petroleum Pipelines Act 1969</w:t>
      </w:r>
    </w:p>
    <w:p>
      <w:pPr>
        <w:pStyle w:val="NameofActReg"/>
      </w:pPr>
      <w:r>
        <w:t>Petroleum Pipelines Regulations 1970</w:t>
      </w:r>
    </w:p>
    <w:p>
      <w:pPr>
        <w:pStyle w:val="Heading5"/>
        <w:rPr>
          <w:snapToGrid w:val="0"/>
        </w:rPr>
      </w:pPr>
      <w:bookmarkStart w:id="1" w:name="_Toc511181423"/>
      <w:bookmarkStart w:id="2" w:name="_Toc512155978"/>
      <w:bookmarkStart w:id="3" w:name="_Toc513365333"/>
      <w:bookmarkStart w:id="4" w:name="_Toc34197851"/>
      <w:bookmarkStart w:id="5" w:name="_Toc261269748"/>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Heading5"/>
        <w:rPr>
          <w:snapToGrid w:val="0"/>
        </w:rPr>
      </w:pPr>
      <w:bookmarkStart w:id="6" w:name="_Toc511181424"/>
      <w:bookmarkStart w:id="7" w:name="_Toc512155979"/>
      <w:bookmarkStart w:id="8" w:name="_Toc513365334"/>
      <w:bookmarkStart w:id="9" w:name="_Toc34197852"/>
      <w:bookmarkStart w:id="10" w:name="_Toc261269749"/>
      <w:r>
        <w:rPr>
          <w:rStyle w:val="CharSectno"/>
        </w:rPr>
        <w:t>2</w:t>
      </w:r>
      <w:r>
        <w:rPr>
          <w:snapToGrid w:val="0"/>
        </w:rPr>
        <w:t>.</w:t>
      </w:r>
      <w:r>
        <w:rPr>
          <w:snapToGrid w:val="0"/>
        </w:rPr>
        <w:tab/>
        <w:t>Definitions</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 Z3</w:t>
      </w:r>
      <w:r>
        <w:rPr>
          <w:rStyle w:val="CharDefText"/>
        </w:rPr>
        <w:noBreakHyphen/>
        <w:t>1959</w:t>
      </w:r>
      <w:r>
        <w:t xml:space="preserve"> means the Australian Standard Specification for Men’s Safety Boots and Shoes fitted with Steel Protective Toe Caps approved by the Australian Standards Association </w:t>
      </w:r>
      <w:r>
        <w:rPr>
          <w:vertAlign w:val="superscript"/>
        </w:rPr>
        <w:t>2</w:t>
      </w:r>
      <w:r>
        <w:t xml:space="preserve"> on 19 March 1959;</w:t>
      </w:r>
    </w:p>
    <w:p>
      <w:pPr>
        <w:pStyle w:val="Defstart"/>
      </w:pPr>
      <w:r>
        <w:rPr>
          <w:b/>
        </w:rPr>
        <w:tab/>
      </w:r>
      <w:r>
        <w:rPr>
          <w:rStyle w:val="CharDefText"/>
        </w:rPr>
        <w:t>AS Z4-1963</w:t>
      </w:r>
      <w:r>
        <w:t xml:space="preserve"> means the Australian Standard Specification for Industrial Safety Gloves and Mittens of Leather PVC and Rubber (excluding Electrical and Medical Gloves) approved by the Australian Standards Association </w:t>
      </w:r>
      <w:r>
        <w:rPr>
          <w:vertAlign w:val="superscript"/>
        </w:rPr>
        <w:t>2</w:t>
      </w:r>
      <w:r>
        <w:t xml:space="preserve"> on 1 May 1963;</w:t>
      </w:r>
    </w:p>
    <w:p>
      <w:pPr>
        <w:pStyle w:val="Defstart"/>
      </w:pPr>
      <w:r>
        <w:rPr>
          <w:b/>
        </w:rPr>
        <w:tab/>
      </w:r>
      <w:r>
        <w:rPr>
          <w:rStyle w:val="CharDefText"/>
        </w:rPr>
        <w:t>AS CZ7</w:t>
      </w:r>
      <w:r>
        <w:rPr>
          <w:rStyle w:val="CharDefText"/>
        </w:rPr>
        <w:noBreakHyphen/>
        <w:t>1967</w:t>
      </w:r>
      <w:r>
        <w:t xml:space="preserve"> means the Australian Standard Code of Recommended Practice for Industrial Eye Protection approved by the Standards Association of Australia </w:t>
      </w:r>
      <w:r>
        <w:rPr>
          <w:vertAlign w:val="superscript"/>
        </w:rPr>
        <w:t>2</w:t>
      </w:r>
      <w:r>
        <w:t xml:space="preserve"> on 11 July 1967;</w:t>
      </w:r>
    </w:p>
    <w:p>
      <w:pPr>
        <w:pStyle w:val="Defstart"/>
      </w:pPr>
      <w:r>
        <w:rPr>
          <w:b/>
        </w:rPr>
        <w:tab/>
      </w:r>
      <w:r>
        <w:rPr>
          <w:rStyle w:val="CharDefText"/>
        </w:rPr>
        <w:t>AS Z7</w:t>
      </w:r>
      <w:r>
        <w:rPr>
          <w:rStyle w:val="CharDefText"/>
        </w:rPr>
        <w:noBreakHyphen/>
        <w:t>1967</w:t>
      </w:r>
      <w:r>
        <w:t xml:space="preserve"> means the Australian Standard Specification for Industrial Eye Protectors approved by the Standards Association of Australia </w:t>
      </w:r>
      <w:r>
        <w:rPr>
          <w:vertAlign w:val="superscript"/>
        </w:rPr>
        <w:t>2</w:t>
      </w:r>
      <w:r>
        <w:t xml:space="preserve"> on 11 July 1967;</w:t>
      </w:r>
    </w:p>
    <w:p>
      <w:pPr>
        <w:pStyle w:val="Defstart"/>
      </w:pPr>
      <w:r>
        <w:rPr>
          <w:b/>
        </w:rPr>
        <w:tab/>
      </w:r>
      <w:r>
        <w:rPr>
          <w:rStyle w:val="CharDefText"/>
        </w:rPr>
        <w:t>AS Z45</w:t>
      </w:r>
      <w:r>
        <w:rPr>
          <w:rStyle w:val="CharDefText"/>
        </w:rPr>
        <w:noBreakHyphen/>
        <w:t>1967</w:t>
      </w:r>
      <w:r>
        <w:t xml:space="preserve"> means the Australian Standard Specification for Protective Filters against optical Radiation in Welding and Allied operations;</w:t>
      </w:r>
    </w:p>
    <w:p>
      <w:pPr>
        <w:pStyle w:val="Defstart"/>
      </w:pPr>
      <w:r>
        <w:rPr>
          <w:b/>
        </w:rPr>
        <w:tab/>
      </w:r>
      <w:r>
        <w:rPr>
          <w:rStyle w:val="CharDefText"/>
        </w:rPr>
        <w:t>AS Z10</w:t>
      </w:r>
      <w:r>
        <w:rPr>
          <w:rStyle w:val="CharDefText"/>
        </w:rPr>
        <w:noBreakHyphen/>
        <w:t>1967</w:t>
      </w:r>
      <w:r>
        <w:t xml:space="preserve"> means the Australian Standard Specification for Industrial Safety Helmets approved by the Standards Association of Australia </w:t>
      </w:r>
      <w:r>
        <w:rPr>
          <w:vertAlign w:val="superscript"/>
        </w:rPr>
        <w:t>2</w:t>
      </w:r>
      <w:r>
        <w:t xml:space="preserve"> on 1 June 1967;</w:t>
      </w:r>
    </w:p>
    <w:p>
      <w:pPr>
        <w:pStyle w:val="Defstart"/>
      </w:pPr>
      <w:r>
        <w:rPr>
          <w:b/>
        </w:rPr>
        <w:tab/>
      </w:r>
      <w:r>
        <w:rPr>
          <w:rStyle w:val="CharDefText"/>
        </w:rPr>
        <w:t>bell hole</w:t>
      </w:r>
      <w:r>
        <w:t xml:space="preserve"> means an enlargement in a trench of such dimensions that, when a pipe is against the side or bottom of the trench, there is adequate space for any person required to be between the pipe and the side or bottom of the enlargement;</w:t>
      </w:r>
    </w:p>
    <w:p>
      <w:pPr>
        <w:pStyle w:val="Defstart"/>
      </w:pPr>
      <w:r>
        <w:rPr>
          <w:b/>
        </w:rPr>
        <w:tab/>
      </w:r>
      <w:r>
        <w:rPr>
          <w:rStyle w:val="CharDefText"/>
        </w:rPr>
        <w:t>construction</w:t>
      </w:r>
      <w:r>
        <w:t xml:space="preserve"> in relation to a pipeline includes alteration or reconstruction of the pipeline and other parts of speech and tenses of the word construction have corresponding meanings;</w:t>
      </w:r>
    </w:p>
    <w:p>
      <w:pPr>
        <w:pStyle w:val="Defstart"/>
      </w:pPr>
      <w:r>
        <w:rPr>
          <w:b/>
        </w:rPr>
        <w:tab/>
      </w:r>
      <w:r>
        <w:rPr>
          <w:rStyle w:val="CharDefText"/>
        </w:rPr>
        <w:t>inspector</w:t>
      </w:r>
      <w:r>
        <w:t xml:space="preserve"> means a person appointed an inspector under section 62 of the Act;</w:t>
      </w:r>
    </w:p>
    <w:p>
      <w:pPr>
        <w:pStyle w:val="Defstart"/>
      </w:pPr>
      <w:r>
        <w:rPr>
          <w:b/>
        </w:rPr>
        <w:tab/>
      </w:r>
      <w:r>
        <w:rPr>
          <w:rStyle w:val="CharDefText"/>
        </w:rPr>
        <w:t>internal waters</w:t>
      </w:r>
      <w:r>
        <w:t xml:space="preserve"> means inland waters of the State and includes waters on the landward side of the base line from which territorial waters are measured;</w:t>
      </w:r>
    </w:p>
    <w:p>
      <w:pPr>
        <w:pStyle w:val="Defstart"/>
      </w:pPr>
      <w:r>
        <w:rPr>
          <w:b/>
        </w:rPr>
        <w:tab/>
      </w:r>
      <w:r>
        <w:rPr>
          <w:rStyle w:val="CharDefText"/>
        </w:rPr>
        <w:t>licence</w:t>
      </w:r>
      <w:r>
        <w:rPr>
          <w:spacing w:val="-4"/>
        </w:rPr>
        <w:t xml:space="preserve"> means a current licence granted under Part II of the Act;</w:t>
      </w:r>
    </w:p>
    <w:p>
      <w:pPr>
        <w:pStyle w:val="Defstart"/>
      </w:pPr>
      <w:r>
        <w:rPr>
          <w:b/>
        </w:rPr>
        <w:tab/>
      </w:r>
      <w:r>
        <w:rPr>
          <w:rStyle w:val="CharDefText"/>
        </w:rPr>
        <w:t>licensee</w:t>
      </w:r>
      <w:r>
        <w:t xml:space="preserve"> in relation to a pipeline means the person who is the registered holder of the licence pursuant to which the pipeline is or is to be constructed or operated;</w:t>
      </w:r>
    </w:p>
    <w:p>
      <w:pPr>
        <w:pStyle w:val="Defstart"/>
      </w:pPr>
      <w:r>
        <w:rPr>
          <w:b/>
        </w:rPr>
        <w:tab/>
      </w:r>
      <w:r>
        <w:rPr>
          <w:rStyle w:val="CharDefText"/>
        </w:rPr>
        <w:t>the Act</w:t>
      </w:r>
      <w:r>
        <w:t xml:space="preserve"> means the </w:t>
      </w:r>
      <w:r>
        <w:rPr>
          <w:i/>
        </w:rPr>
        <w:t>Petroleum Pipelines Act 1969</w:t>
      </w:r>
      <w:r>
        <w:t>.</w:t>
      </w:r>
    </w:p>
    <w:p>
      <w:pPr>
        <w:pStyle w:val="Footnotesection"/>
      </w:pPr>
      <w:r>
        <w:tab/>
        <w:t xml:space="preserve">[Regulation 2 amended in Gazette 28 Sep 1990 p. 5103.] </w:t>
      </w:r>
    </w:p>
    <w:p>
      <w:pPr>
        <w:pStyle w:val="Ednotesection"/>
      </w:pPr>
      <w:r>
        <w:t>[</w:t>
      </w:r>
      <w:r>
        <w:rPr>
          <w:b/>
        </w:rPr>
        <w:t>3.</w:t>
      </w:r>
      <w:r>
        <w:tab/>
        <w:t xml:space="preserve">Deleted in Gazette 22 Jul 1994 p. 3780.] </w:t>
      </w:r>
    </w:p>
    <w:p>
      <w:pPr>
        <w:pStyle w:val="Heading5"/>
        <w:rPr>
          <w:snapToGrid w:val="0"/>
        </w:rPr>
      </w:pPr>
      <w:bookmarkStart w:id="11" w:name="_Toc511181425"/>
      <w:bookmarkStart w:id="12" w:name="_Toc512155980"/>
      <w:bookmarkStart w:id="13" w:name="_Toc513365335"/>
      <w:bookmarkStart w:id="14" w:name="_Toc34197853"/>
      <w:bookmarkStart w:id="15" w:name="_Toc261269750"/>
      <w:r>
        <w:rPr>
          <w:rStyle w:val="CharSectno"/>
        </w:rPr>
        <w:t>4</w:t>
      </w:r>
      <w:r>
        <w:rPr>
          <w:snapToGrid w:val="0"/>
        </w:rPr>
        <w:t>.</w:t>
      </w:r>
      <w:r>
        <w:rPr>
          <w:snapToGrid w:val="0"/>
        </w:rPr>
        <w:tab/>
        <w:t>Fees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pPr>
      <w:r>
        <w:t>[</w:t>
      </w:r>
      <w:r>
        <w:rPr>
          <w:b/>
        </w:rPr>
        <w:t>4A.</w:t>
      </w:r>
      <w:r>
        <w:tab/>
        <w:t xml:space="preserve">Deleted in Gazette 22 Jul 1994 p. 3780.] </w:t>
      </w:r>
    </w:p>
    <w:p>
      <w:pPr>
        <w:pStyle w:val="Heading5"/>
        <w:rPr>
          <w:snapToGrid w:val="0"/>
        </w:rPr>
      </w:pPr>
      <w:bookmarkStart w:id="16" w:name="_Toc511181426"/>
      <w:bookmarkStart w:id="17" w:name="_Toc512155981"/>
      <w:bookmarkStart w:id="18" w:name="_Toc513365336"/>
      <w:bookmarkStart w:id="19" w:name="_Toc34197854"/>
      <w:bookmarkStart w:id="20" w:name="_Toc261269751"/>
      <w:r>
        <w:rPr>
          <w:rStyle w:val="CharSectno"/>
        </w:rPr>
        <w:t>4B</w:t>
      </w:r>
      <w:r>
        <w:rPr>
          <w:snapToGrid w:val="0"/>
        </w:rPr>
        <w:t>.</w:t>
      </w:r>
      <w:r>
        <w:rPr>
          <w:snapToGrid w:val="0"/>
        </w:rPr>
        <w:tab/>
        <w:t>Prescribed amount for Act</w:t>
      </w:r>
      <w:bookmarkEnd w:id="16"/>
      <w:bookmarkEnd w:id="17"/>
      <w:r>
        <w:rPr>
          <w:snapToGrid w:val="0"/>
        </w:rPr>
        <w:t xml:space="preserve"> s. 29(1)</w:t>
      </w:r>
      <w:bookmarkEnd w:id="18"/>
      <w:bookmarkEnd w:id="19"/>
      <w:bookmarkEnd w:id="20"/>
    </w:p>
    <w:p>
      <w:pPr>
        <w:pStyle w:val="Subsection"/>
        <w:rPr>
          <w:snapToGrid w:val="0"/>
        </w:rPr>
      </w:pPr>
      <w:r>
        <w:rPr>
          <w:snapToGrid w:val="0"/>
        </w:rPr>
        <w:tab/>
      </w:r>
      <w:r>
        <w:rPr>
          <w:snapToGrid w:val="0"/>
        </w:rPr>
        <w:tab/>
        <w:t xml:space="preserve">For the purposes of section 29(1) of the Act, the prescribed amount is an amount of </w:t>
      </w:r>
      <w:r>
        <w:t>$105.00.</w:t>
      </w:r>
    </w:p>
    <w:p>
      <w:pPr>
        <w:pStyle w:val="Footnotesection"/>
      </w:pPr>
      <w:r>
        <w:tab/>
        <w:t xml:space="preserve">[Regulation 4B inserted in Gazette 28 Sep 1990 p. 5103; amended in Gazette 27 Jun 2000 p. 3251; 28 June 2002 p. 3096; 28 Feb 2003 p. 671; 23 Jun 2009 p. 2479; 9 Feb 2010 p. 269; 11 May 2010 p. 1823.] </w:t>
      </w:r>
    </w:p>
    <w:p>
      <w:pPr>
        <w:pStyle w:val="Heading5"/>
      </w:pPr>
      <w:bookmarkStart w:id="21" w:name="_Toc511181427"/>
      <w:bookmarkStart w:id="22" w:name="_Toc512155982"/>
      <w:bookmarkStart w:id="23" w:name="_Toc513365337"/>
      <w:bookmarkStart w:id="24" w:name="_Toc34197855"/>
      <w:bookmarkStart w:id="25" w:name="_Toc261269752"/>
      <w:r>
        <w:rPr>
          <w:rStyle w:val="CharSectno"/>
        </w:rPr>
        <w:t>4BA</w:t>
      </w:r>
      <w:r>
        <w:t>.</w:t>
      </w:r>
      <w:r>
        <w:tab/>
        <w:t>Licence fee increase to cover GST</w:t>
      </w:r>
      <w:bookmarkEnd w:id="21"/>
      <w:bookmarkEnd w:id="22"/>
      <w:bookmarkEnd w:id="23"/>
      <w:bookmarkEnd w:id="24"/>
      <w:bookmarkEnd w:id="25"/>
    </w:p>
    <w:p>
      <w:pPr>
        <w:pStyle w:val="Subsection"/>
      </w:pPr>
      <w:r>
        <w:tab/>
        <w:t>(1)</w:t>
      </w:r>
      <w:r>
        <w:tab/>
        <w:t>If a licence fee prescribed in regulation 4B is payable for a period any of which is after 30 June 2000, the total amount of the licence fee payable is increased by the amount of the GST component.</w:t>
      </w:r>
    </w:p>
    <w:p>
      <w:pPr>
        <w:pStyle w:val="Subsection"/>
      </w:pPr>
      <w:r>
        <w:tab/>
        <w:t>(2)</w:t>
      </w:r>
      <w:r>
        <w:tab/>
        <w:t>The GST component of the licence fee is to be calculated according to the following formula —</w:t>
      </w:r>
    </w:p>
    <w:p>
      <w:pPr>
        <w:pStyle w:val="Equation"/>
        <w:jc w:val="center"/>
      </w:pPr>
      <w:r>
        <w:rPr>
          <w:position w:val="-10"/>
        </w:rPr>
        <w:object w:dxaOrig="4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5.75pt" o:ole="">
            <v:imagedata r:id="rId19" o:title=""/>
          </v:shape>
          <o:OLEObject Type="Embed" ProgID="Equation.3" ShapeID="_x0000_i1025" DrawAspect="Content" ObjectID="_1644343404" r:id="rId20"/>
        </w:object>
      </w:r>
    </w:p>
    <w:p>
      <w:pPr>
        <w:pStyle w:val="Subsection"/>
      </w:pPr>
      <w:r>
        <w:tab/>
      </w:r>
      <w:r>
        <w:tab/>
        <w:t>where —</w:t>
      </w:r>
    </w:p>
    <w:p>
      <w:pPr>
        <w:pStyle w:val="Indenta"/>
      </w:pPr>
      <w:r>
        <w:tab/>
        <w:t>AR</w:t>
      </w:r>
      <w:r>
        <w:tab/>
        <w:t>is the licence fee prescribed in regulation 4B; and the</w:t>
      </w:r>
    </w:p>
    <w:p>
      <w:pPr>
        <w:pStyle w:val="Indenta"/>
      </w:pPr>
      <w:r>
        <w:tab/>
        <w:t>GST period</w:t>
      </w:r>
      <w:r>
        <w:tab/>
        <w:t>is the number of days that are in the period after 30 June 2000.</w:t>
      </w:r>
    </w:p>
    <w:p>
      <w:pPr>
        <w:pStyle w:val="Footnotesection"/>
      </w:pPr>
      <w:r>
        <w:tab/>
        <w:t>[Regulation 4BA inserted in Gazette 8 Feb 2000 p. 456.]</w:t>
      </w:r>
    </w:p>
    <w:p>
      <w:pPr>
        <w:pStyle w:val="Heading5"/>
        <w:rPr>
          <w:snapToGrid w:val="0"/>
        </w:rPr>
      </w:pPr>
      <w:bookmarkStart w:id="26" w:name="_Toc511181428"/>
      <w:bookmarkStart w:id="27" w:name="_Toc512155983"/>
      <w:bookmarkStart w:id="28" w:name="_Toc513365338"/>
      <w:bookmarkStart w:id="29" w:name="_Toc34197856"/>
      <w:bookmarkStart w:id="30" w:name="_Toc261269753"/>
      <w:r>
        <w:rPr>
          <w:rStyle w:val="CharSectno"/>
        </w:rPr>
        <w:t>4C</w:t>
      </w:r>
      <w:r>
        <w:rPr>
          <w:snapToGrid w:val="0"/>
        </w:rPr>
        <w:t>.</w:t>
      </w:r>
      <w:r>
        <w:rPr>
          <w:snapToGrid w:val="0"/>
        </w:rPr>
        <w:tab/>
        <w:t>Instrument of transfer</w:t>
      </w:r>
      <w:bookmarkEnd w:id="26"/>
      <w:bookmarkEnd w:id="27"/>
      <w:r>
        <w:rPr>
          <w:snapToGrid w:val="0"/>
        </w:rPr>
        <w:t xml:space="preserve"> under Act s. 44(3)(a)</w:t>
      </w:r>
      <w:bookmarkEnd w:id="28"/>
      <w:bookmarkEnd w:id="29"/>
      <w:bookmarkEnd w:id="30"/>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31" w:name="_Toc511181429"/>
      <w:bookmarkStart w:id="32" w:name="_Toc512155984"/>
      <w:bookmarkStart w:id="33" w:name="_Toc513365339"/>
      <w:bookmarkStart w:id="34" w:name="_Toc34197857"/>
      <w:bookmarkStart w:id="35" w:name="_Toc261269754"/>
      <w:r>
        <w:rPr>
          <w:rStyle w:val="CharSectno"/>
        </w:rPr>
        <w:t>4D</w:t>
      </w:r>
      <w:r>
        <w:rPr>
          <w:snapToGrid w:val="0"/>
        </w:rPr>
        <w:t>.</w:t>
      </w:r>
      <w:r>
        <w:rPr>
          <w:snapToGrid w:val="0"/>
        </w:rPr>
        <w:tab/>
        <w:t>Instrument under Act s. 47(4)(b)</w:t>
      </w:r>
      <w:bookmarkEnd w:id="31"/>
      <w:bookmarkEnd w:id="32"/>
      <w:bookmarkEnd w:id="33"/>
      <w:bookmarkEnd w:id="34"/>
      <w:bookmarkEnd w:id="35"/>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3</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3</w:t>
      </w:r>
      <w:r>
        <w:t>.</w:t>
      </w:r>
    </w:p>
    <w:p>
      <w:pPr>
        <w:pStyle w:val="Footnotesection"/>
      </w:pPr>
      <w:r>
        <w:tab/>
        <w:t>[Regulation 4D inserted in Gazette 28 Sep 1990 p. 5103</w:t>
      </w:r>
      <w:r>
        <w:noBreakHyphen/>
        <w:t xml:space="preserve">4.] </w:t>
      </w:r>
    </w:p>
    <w:p>
      <w:pPr>
        <w:pStyle w:val="Heading5"/>
        <w:rPr>
          <w:snapToGrid w:val="0"/>
        </w:rPr>
      </w:pPr>
      <w:bookmarkStart w:id="36" w:name="_Toc511181430"/>
      <w:bookmarkStart w:id="37" w:name="_Toc512155985"/>
      <w:bookmarkStart w:id="38" w:name="_Toc513365340"/>
      <w:bookmarkStart w:id="39" w:name="_Toc34197858"/>
      <w:bookmarkStart w:id="40" w:name="_Toc261269755"/>
      <w:r>
        <w:rPr>
          <w:rStyle w:val="CharSectno"/>
        </w:rPr>
        <w:t>4E</w:t>
      </w:r>
      <w:r>
        <w:rPr>
          <w:snapToGrid w:val="0"/>
        </w:rPr>
        <w:t>.</w:t>
      </w:r>
      <w:r>
        <w:rPr>
          <w:snapToGrid w:val="0"/>
        </w:rPr>
        <w:tab/>
      </w:r>
      <w:bookmarkEnd w:id="36"/>
      <w:bookmarkEnd w:id="37"/>
      <w:r>
        <w:rPr>
          <w:snapToGrid w:val="0"/>
        </w:rPr>
        <w:t>Map for Act s. 32B(3)</w:t>
      </w:r>
      <w:r>
        <w:rPr>
          <w:snapToGrid w:val="0"/>
          <w:vertAlign w:val="superscript"/>
        </w:rPr>
        <w:t> 4</w:t>
      </w:r>
      <w:bookmarkEnd w:id="38"/>
      <w:bookmarkEnd w:id="39"/>
      <w:bookmarkEnd w:id="40"/>
    </w:p>
    <w:p>
      <w:pPr>
        <w:pStyle w:val="Subsection"/>
        <w:rPr>
          <w:snapToGrid w:val="0"/>
        </w:rPr>
      </w:pPr>
      <w:r>
        <w:rPr>
          <w:snapToGrid w:val="0"/>
        </w:rPr>
        <w:tab/>
      </w:r>
      <w:r>
        <w:rPr>
          <w:snapToGrid w:val="0"/>
        </w:rPr>
        <w:tab/>
        <w:t>The map required by section 32B(3) of the Act, shall contain —</w:t>
      </w:r>
    </w:p>
    <w:p>
      <w:pPr>
        <w:pStyle w:val="Indenta"/>
        <w:rPr>
          <w:snapToGrid w:val="0"/>
        </w:rPr>
      </w:pPr>
      <w:r>
        <w:rPr>
          <w:snapToGrid w:val="0"/>
        </w:rPr>
        <w:tab/>
        <w:t>(a)</w:t>
      </w:r>
      <w:r>
        <w:rPr>
          <w:snapToGrid w:val="0"/>
        </w:rPr>
        <w:tab/>
        <w:t xml:space="preserve">a map of the State or an identifiable portion of the State, drawn to a scale approved by the Minister, which clearly shows the location of the land in respect of which the licence is sought; </w:t>
      </w:r>
    </w:p>
    <w:p>
      <w:pPr>
        <w:pStyle w:val="Indenta"/>
        <w:rPr>
          <w:snapToGrid w:val="0"/>
        </w:rPr>
      </w:pPr>
      <w:r>
        <w:rPr>
          <w:snapToGrid w:val="0"/>
        </w:rPr>
        <w:tab/>
        <w:t>(b)</w:t>
      </w:r>
      <w:r>
        <w:rPr>
          <w:snapToGrid w:val="0"/>
        </w:rPr>
        <w:tab/>
        <w:t xml:space="preserve">an insertion, drawn to a scale approved by the Minister, which details the coordinates of the boundaries of the land in respect of which the licence is sought; and </w:t>
      </w:r>
    </w:p>
    <w:p>
      <w:pPr>
        <w:pStyle w:val="Indenta"/>
        <w:rPr>
          <w:snapToGrid w:val="0"/>
        </w:rPr>
      </w:pPr>
      <w:r>
        <w:rPr>
          <w:snapToGrid w:val="0"/>
        </w:rPr>
        <w:tab/>
        <w:t>(c)</w:t>
      </w:r>
      <w:r>
        <w:rPr>
          <w:snapToGrid w:val="0"/>
        </w:rPr>
        <w:tab/>
        <w:t>information, on the insertion referred to in paragraph (b), which clearly shows — </w:t>
      </w:r>
    </w:p>
    <w:p>
      <w:pPr>
        <w:pStyle w:val="Indenti"/>
        <w:rPr>
          <w:snapToGrid w:val="0"/>
        </w:rPr>
      </w:pPr>
      <w:r>
        <w:rPr>
          <w:snapToGrid w:val="0"/>
        </w:rPr>
        <w:tab/>
        <w:t>(i)</w:t>
      </w:r>
      <w:r>
        <w:rPr>
          <w:snapToGrid w:val="0"/>
        </w:rPr>
        <w:tab/>
        <w:t>the route of the proposed pipeline; and</w:t>
      </w:r>
    </w:p>
    <w:p>
      <w:pPr>
        <w:pStyle w:val="Indenti"/>
        <w:rPr>
          <w:snapToGrid w:val="0"/>
        </w:rPr>
      </w:pPr>
      <w:r>
        <w:rPr>
          <w:snapToGrid w:val="0"/>
        </w:rPr>
        <w:tab/>
        <w:t>(ii)</w:t>
      </w:r>
      <w:r>
        <w:rPr>
          <w:snapToGrid w:val="0"/>
        </w:rPr>
        <w:tab/>
        <w:t>the situation of any proposed pumping and compression stations, terminal facilities and any other proposed permanent appurtenances of a substantial nature.</w:t>
      </w:r>
    </w:p>
    <w:p>
      <w:pPr>
        <w:pStyle w:val="Footnotesection"/>
      </w:pPr>
      <w:r>
        <w:tab/>
        <w:t xml:space="preserve">[Regulation 4E inserted in Gazette 24 Dec 1993 p. 6833.] </w:t>
      </w:r>
    </w:p>
    <w:p>
      <w:pPr>
        <w:pStyle w:val="Heading5"/>
        <w:rPr>
          <w:snapToGrid w:val="0"/>
        </w:rPr>
      </w:pPr>
      <w:bookmarkStart w:id="41" w:name="_Toc511181431"/>
      <w:bookmarkStart w:id="42" w:name="_Toc512155986"/>
      <w:bookmarkStart w:id="43" w:name="_Toc513365341"/>
      <w:bookmarkStart w:id="44" w:name="_Toc34197859"/>
      <w:bookmarkStart w:id="45" w:name="_Toc261269756"/>
      <w:r>
        <w:rPr>
          <w:rStyle w:val="CharSectno"/>
        </w:rPr>
        <w:t>4F</w:t>
      </w:r>
      <w:r>
        <w:rPr>
          <w:snapToGrid w:val="0"/>
        </w:rPr>
        <w:t>.</w:t>
      </w:r>
      <w:r>
        <w:rPr>
          <w:snapToGrid w:val="0"/>
        </w:rPr>
        <w:tab/>
        <w:t>Objection under Act s. 32D</w:t>
      </w:r>
      <w:r>
        <w:rPr>
          <w:snapToGrid w:val="0"/>
          <w:vertAlign w:val="superscript"/>
        </w:rPr>
        <w:t> 4</w:t>
      </w:r>
      <w:bookmarkEnd w:id="41"/>
      <w:bookmarkEnd w:id="42"/>
      <w:bookmarkEnd w:id="43"/>
      <w:bookmarkEnd w:id="44"/>
      <w:bookmarkEnd w:id="45"/>
    </w:p>
    <w:p>
      <w:pPr>
        <w:pStyle w:val="Subsection"/>
        <w:rPr>
          <w:snapToGrid w:val="0"/>
        </w:rPr>
      </w:pPr>
      <w:r>
        <w:rPr>
          <w:snapToGrid w:val="0"/>
        </w:rPr>
        <w:tab/>
        <w:t>(1)</w:t>
      </w:r>
      <w:r>
        <w:rPr>
          <w:snapToGrid w:val="0"/>
        </w:rPr>
        <w:tab/>
        <w:t>A written notice of objection by an Aboriginal group under section 32D of the Act to the grant of a licence may be lodged by post, facsimile or delivery in person within 42 days of the day on which a copy of the application was sent to the Aboriginal group under section 32C of the Act.</w:t>
      </w:r>
    </w:p>
    <w:p>
      <w:pPr>
        <w:pStyle w:val="Subsection"/>
        <w:rPr>
          <w:snapToGrid w:val="0"/>
        </w:rPr>
      </w:pPr>
      <w:r>
        <w:rPr>
          <w:snapToGrid w:val="0"/>
        </w:rPr>
        <w:tab/>
        <w:t>(2)</w:t>
      </w:r>
      <w:r>
        <w:rPr>
          <w:snapToGrid w:val="0"/>
        </w:rPr>
        <w:tab/>
        <w:t>The notice of objection shall include the particulars mentioned in section 32E of the Act and any other information that the Aboriginal group considers to be relevant.</w:t>
      </w:r>
    </w:p>
    <w:p>
      <w:pPr>
        <w:pStyle w:val="Footnotesection"/>
      </w:pPr>
      <w:r>
        <w:tab/>
        <w:t xml:space="preserve">[Regulation 4F inserted in Gazette 24 Dec 1993 p. 6833.] </w:t>
      </w:r>
    </w:p>
    <w:p>
      <w:pPr>
        <w:pStyle w:val="Ednotesection"/>
      </w:pPr>
      <w:r>
        <w:t>[</w:t>
      </w:r>
      <w:r>
        <w:rPr>
          <w:b/>
        </w:rPr>
        <w:t>5</w:t>
      </w:r>
      <w:r>
        <w:rPr>
          <w:b/>
        </w:rPr>
        <w:noBreakHyphen/>
        <w:t>8.</w:t>
      </w:r>
      <w:r>
        <w:rPr>
          <w:b/>
        </w:rPr>
        <w:tab/>
      </w:r>
      <w:r>
        <w:t xml:space="preserve">Deleted in Gazette 11 Nov 1983 p. 4543.] </w:t>
      </w:r>
    </w:p>
    <w:p>
      <w:pPr>
        <w:pStyle w:val="Heading5"/>
        <w:rPr>
          <w:snapToGrid w:val="0"/>
        </w:rPr>
      </w:pPr>
      <w:bookmarkStart w:id="46" w:name="_Toc511181432"/>
      <w:bookmarkStart w:id="47" w:name="_Toc512155987"/>
      <w:bookmarkStart w:id="48" w:name="_Toc513365342"/>
      <w:bookmarkStart w:id="49" w:name="_Toc34197860"/>
      <w:bookmarkStart w:id="50" w:name="_Toc261269757"/>
      <w:r>
        <w:rPr>
          <w:rStyle w:val="CharSectno"/>
        </w:rPr>
        <w:t>9</w:t>
      </w:r>
      <w:r>
        <w:rPr>
          <w:snapToGrid w:val="0"/>
        </w:rPr>
        <w:t>.</w:t>
      </w:r>
      <w:r>
        <w:rPr>
          <w:snapToGrid w:val="0"/>
        </w:rPr>
        <w:tab/>
      </w:r>
      <w:bookmarkEnd w:id="46"/>
      <w:bookmarkEnd w:id="47"/>
      <w:r>
        <w:rPr>
          <w:snapToGrid w:val="0"/>
        </w:rPr>
        <w:t>Licensee to comply with these regulations</w:t>
      </w:r>
      <w:bookmarkEnd w:id="48"/>
      <w:bookmarkEnd w:id="49"/>
      <w:bookmarkEnd w:id="50"/>
    </w:p>
    <w:p>
      <w:pPr>
        <w:pStyle w:val="Subsection"/>
        <w:rPr>
          <w:snapToGrid w:val="0"/>
        </w:rPr>
      </w:pPr>
      <w:r>
        <w:rPr>
          <w:snapToGrid w:val="0"/>
        </w:rPr>
        <w:tab/>
        <w:t>(1)</w:t>
      </w:r>
      <w:r>
        <w:rPr>
          <w:snapToGrid w:val="0"/>
        </w:rPr>
        <w:tab/>
        <w:t>A licensee who constructs or operates a pipeline shall comply with the provisions of these regulations.</w:t>
      </w:r>
    </w:p>
    <w:p>
      <w:pPr>
        <w:pStyle w:val="Subsection"/>
        <w:rPr>
          <w:snapToGrid w:val="0"/>
        </w:rPr>
      </w:pPr>
      <w:r>
        <w:rPr>
          <w:snapToGrid w:val="0"/>
        </w:rPr>
        <w:tab/>
        <w:t>(2)</w:t>
      </w:r>
      <w:r>
        <w:rPr>
          <w:snapToGrid w:val="0"/>
        </w:rPr>
        <w:tab/>
        <w:t>A person who is engaged or concerned in or about the construction or operation of a pipeline shall not authorise or direct another person to do anything which if done by that person would not comply with the provisions of these regulations.</w:t>
      </w:r>
    </w:p>
    <w:p>
      <w:pPr>
        <w:pStyle w:val="Heading5"/>
        <w:rPr>
          <w:snapToGrid w:val="0"/>
        </w:rPr>
      </w:pPr>
      <w:bookmarkStart w:id="51" w:name="_Toc511181433"/>
      <w:bookmarkStart w:id="52" w:name="_Toc512155988"/>
      <w:bookmarkStart w:id="53" w:name="_Toc513365343"/>
      <w:bookmarkStart w:id="54" w:name="_Toc34197861"/>
      <w:bookmarkStart w:id="55" w:name="_Toc261269758"/>
      <w:r>
        <w:rPr>
          <w:rStyle w:val="CharSectno"/>
        </w:rPr>
        <w:t>10</w:t>
      </w:r>
      <w:r>
        <w:rPr>
          <w:snapToGrid w:val="0"/>
        </w:rPr>
        <w:t>.</w:t>
      </w:r>
      <w:r>
        <w:rPr>
          <w:snapToGrid w:val="0"/>
        </w:rPr>
        <w:tab/>
        <w:t>Pipeline construction and operation requirements</w:t>
      </w:r>
      <w:bookmarkEnd w:id="51"/>
      <w:bookmarkEnd w:id="52"/>
      <w:bookmarkEnd w:id="53"/>
      <w:bookmarkEnd w:id="54"/>
      <w:bookmarkEnd w:id="55"/>
    </w:p>
    <w:p>
      <w:pPr>
        <w:pStyle w:val="Subsection"/>
        <w:rPr>
          <w:snapToGrid w:val="0"/>
        </w:rPr>
      </w:pPr>
      <w:r>
        <w:rPr>
          <w:snapToGrid w:val="0"/>
        </w:rPr>
        <w:tab/>
      </w:r>
      <w:r>
        <w:rPr>
          <w:snapToGrid w:val="0"/>
        </w:rPr>
        <w:tab/>
        <w:t>The construction and operation of a pipeline shall be carried out — </w:t>
      </w:r>
    </w:p>
    <w:p>
      <w:pPr>
        <w:pStyle w:val="Indenta"/>
        <w:rPr>
          <w:snapToGrid w:val="0"/>
        </w:rPr>
      </w:pPr>
      <w:r>
        <w:rPr>
          <w:snapToGrid w:val="0"/>
        </w:rPr>
        <w:tab/>
        <w:t>(a)</w:t>
      </w:r>
      <w:r>
        <w:rPr>
          <w:snapToGrid w:val="0"/>
        </w:rPr>
        <w:tab/>
        <w:t>in a proper and workmanlike manner;</w:t>
      </w:r>
    </w:p>
    <w:p>
      <w:pPr>
        <w:pStyle w:val="Indenta"/>
        <w:rPr>
          <w:snapToGrid w:val="0"/>
        </w:rPr>
      </w:pPr>
      <w:r>
        <w:rPr>
          <w:snapToGrid w:val="0"/>
        </w:rPr>
        <w:tab/>
        <w:t>(b)</w:t>
      </w:r>
      <w:r>
        <w:rPr>
          <w:snapToGrid w:val="0"/>
        </w:rPr>
        <w:tab/>
        <w:t>in accordance with good pipeline construction and operation practice; and</w:t>
      </w:r>
    </w:p>
    <w:p>
      <w:pPr>
        <w:pStyle w:val="Indenta"/>
        <w:rPr>
          <w:snapToGrid w:val="0"/>
        </w:rPr>
      </w:pPr>
      <w:r>
        <w:rPr>
          <w:snapToGrid w:val="0"/>
        </w:rPr>
        <w:tab/>
        <w:t>(c)</w:t>
      </w:r>
      <w:r>
        <w:rPr>
          <w:snapToGrid w:val="0"/>
        </w:rPr>
        <w:tab/>
        <w:t>in such manner as to ensure the safety, health and welfare of persons engaged in the construction or operation.</w:t>
      </w:r>
    </w:p>
    <w:p>
      <w:pPr>
        <w:pStyle w:val="Heading5"/>
        <w:rPr>
          <w:snapToGrid w:val="0"/>
        </w:rPr>
      </w:pPr>
      <w:bookmarkStart w:id="56" w:name="_Toc511181434"/>
      <w:bookmarkStart w:id="57" w:name="_Toc512155989"/>
      <w:bookmarkStart w:id="58" w:name="_Toc513365344"/>
      <w:bookmarkStart w:id="59" w:name="_Toc34197862"/>
      <w:bookmarkStart w:id="60" w:name="_Toc261269759"/>
      <w:r>
        <w:rPr>
          <w:rStyle w:val="CharSectno"/>
        </w:rPr>
        <w:t>11</w:t>
      </w:r>
      <w:r>
        <w:rPr>
          <w:snapToGrid w:val="0"/>
        </w:rPr>
        <w:t>.</w:t>
      </w:r>
      <w:r>
        <w:rPr>
          <w:snapToGrid w:val="0"/>
        </w:rPr>
        <w:tab/>
      </w:r>
      <w:bookmarkEnd w:id="56"/>
      <w:bookmarkEnd w:id="57"/>
      <w:r>
        <w:rPr>
          <w:snapToGrid w:val="0"/>
        </w:rPr>
        <w:t>Pipeline construction and operation standards</w:t>
      </w:r>
      <w:bookmarkEnd w:id="58"/>
      <w:bookmarkEnd w:id="59"/>
      <w:bookmarkEnd w:id="60"/>
    </w:p>
    <w:p>
      <w:pPr>
        <w:pStyle w:val="Subsection"/>
        <w:rPr>
          <w:snapToGrid w:val="0"/>
        </w:rPr>
      </w:pPr>
      <w:r>
        <w:rPr>
          <w:snapToGrid w:val="0"/>
        </w:rPr>
        <w:tab/>
      </w:r>
      <w:r>
        <w:rPr>
          <w:snapToGrid w:val="0"/>
        </w:rPr>
        <w:tab/>
        <w:t>A pipeline shall be designed, constructed, operated, maintained and tested in accordance with the recommendations contained in the relevant provisions of — </w:t>
      </w:r>
    </w:p>
    <w:p>
      <w:pPr>
        <w:pStyle w:val="Indenta"/>
        <w:rPr>
          <w:snapToGrid w:val="0"/>
        </w:rPr>
      </w:pPr>
      <w:r>
        <w:rPr>
          <w:snapToGrid w:val="0"/>
        </w:rPr>
        <w:tab/>
        <w:t>(a)</w:t>
      </w:r>
      <w:r>
        <w:rPr>
          <w:snapToGrid w:val="0"/>
        </w:rPr>
        <w:tab/>
        <w:t>the U.S.A. Standard Code for Pressure Piping, Gas Transmission and the Distribution Piping Systems USAS B31.8</w:t>
      </w:r>
      <w:r>
        <w:rPr>
          <w:snapToGrid w:val="0"/>
        </w:rPr>
        <w:noBreakHyphen/>
        <w:t>1968, where the pipeline is for the conveyance of a hydrocarbon in a gaseous state;</w:t>
      </w:r>
    </w:p>
    <w:p>
      <w:pPr>
        <w:pStyle w:val="Indenta"/>
        <w:rPr>
          <w:snapToGrid w:val="0"/>
        </w:rPr>
      </w:pPr>
      <w:r>
        <w:rPr>
          <w:snapToGrid w:val="0"/>
        </w:rPr>
        <w:tab/>
        <w:t>(b)</w:t>
      </w:r>
      <w:r>
        <w:rPr>
          <w:snapToGrid w:val="0"/>
        </w:rPr>
        <w:tab/>
        <w:t>the U.S.A. Standard Code for Pressure Piping, Liquid Petroleum Transportation Piping Systems, USAS B31.4</w:t>
      </w:r>
      <w:r>
        <w:rPr>
          <w:snapToGrid w:val="0"/>
        </w:rPr>
        <w:noBreakHyphen/>
        <w:t>1966, where the pipeline is for the conveyance of a hydrocarbon in a liquid state;</w:t>
      </w:r>
    </w:p>
    <w:p>
      <w:pPr>
        <w:pStyle w:val="Indenta"/>
        <w:rPr>
          <w:snapToGrid w:val="0"/>
        </w:rPr>
      </w:pPr>
      <w:r>
        <w:rPr>
          <w:snapToGrid w:val="0"/>
        </w:rPr>
        <w:tab/>
        <w:t>(c)</w:t>
      </w:r>
      <w:r>
        <w:rPr>
          <w:snapToGrid w:val="0"/>
        </w:rPr>
        <w:tab/>
        <w:t>Chapter VI of the Institute of Petroleum Code of Safe Practice for Drilling, Production and Pipeline Operations in Marine Areas being Part VIII of the Institute of Petroleum Model Code of Safe Practice in the Petroleum Industry - 1964, where the pipeline is laid or to be laid in internal waters other than rivers or creeks,</w:t>
      </w:r>
    </w:p>
    <w:p>
      <w:pPr>
        <w:pStyle w:val="Subsection"/>
        <w:rPr>
          <w:snapToGrid w:val="0"/>
        </w:rPr>
      </w:pPr>
      <w:r>
        <w:rPr>
          <w:snapToGrid w:val="0"/>
        </w:rPr>
        <w:tab/>
      </w:r>
      <w:r>
        <w:rPr>
          <w:snapToGrid w:val="0"/>
        </w:rPr>
        <w:tab/>
        <w:t>except insofar as the Minister pursuant to the Act otherwise directs and, in relation to matters with respect to which there are no such relevant provisions, the pipeline shall be designed, constructed, operated, maintained and tested as the Minister so directs.</w:t>
      </w:r>
    </w:p>
    <w:p>
      <w:pPr>
        <w:pStyle w:val="Heading5"/>
        <w:rPr>
          <w:snapToGrid w:val="0"/>
        </w:rPr>
      </w:pPr>
      <w:bookmarkStart w:id="61" w:name="_Toc511181435"/>
      <w:bookmarkStart w:id="62" w:name="_Toc512155990"/>
      <w:bookmarkStart w:id="63" w:name="_Toc513365345"/>
      <w:bookmarkStart w:id="64" w:name="_Toc34197863"/>
      <w:bookmarkStart w:id="65" w:name="_Toc261269760"/>
      <w:r>
        <w:rPr>
          <w:rStyle w:val="CharSectno"/>
        </w:rPr>
        <w:t>12</w:t>
      </w:r>
      <w:r>
        <w:rPr>
          <w:snapToGrid w:val="0"/>
        </w:rPr>
        <w:t>.</w:t>
      </w:r>
      <w:r>
        <w:rPr>
          <w:snapToGrid w:val="0"/>
        </w:rPr>
        <w:tab/>
        <w:t>Pipelines in water, construction of</w:t>
      </w:r>
      <w:bookmarkEnd w:id="61"/>
      <w:bookmarkEnd w:id="62"/>
      <w:bookmarkEnd w:id="63"/>
      <w:bookmarkEnd w:id="64"/>
      <w:bookmarkEnd w:id="65"/>
    </w:p>
    <w:p>
      <w:pPr>
        <w:pStyle w:val="Subsection"/>
        <w:rPr>
          <w:snapToGrid w:val="0"/>
        </w:rPr>
      </w:pPr>
      <w:r>
        <w:rPr>
          <w:snapToGrid w:val="0"/>
        </w:rPr>
        <w:tab/>
      </w:r>
      <w:r>
        <w:rPr>
          <w:snapToGrid w:val="0"/>
        </w:rPr>
        <w:tab/>
        <w:t>Except as the Minister otherwise pursuant to the Act directs, a pipeline laid in internal waters other than rivers or creeks — </w:t>
      </w:r>
    </w:p>
    <w:p>
      <w:pPr>
        <w:pStyle w:val="Indenta"/>
        <w:rPr>
          <w:snapToGrid w:val="0"/>
        </w:rPr>
      </w:pPr>
      <w:r>
        <w:rPr>
          <w:snapToGrid w:val="0"/>
        </w:rPr>
        <w:tab/>
        <w:t>(a)</w:t>
      </w:r>
      <w:r>
        <w:rPr>
          <w:snapToGrid w:val="0"/>
        </w:rPr>
        <w:tab/>
        <w:t>shall be of steel and made by the seamless or double submerged arc process;</w:t>
      </w:r>
    </w:p>
    <w:p>
      <w:pPr>
        <w:pStyle w:val="Indenta"/>
        <w:rPr>
          <w:snapToGrid w:val="0"/>
        </w:rPr>
      </w:pPr>
      <w:r>
        <w:rPr>
          <w:snapToGrid w:val="0"/>
        </w:rPr>
        <w:tab/>
        <w:t>(b)</w:t>
      </w:r>
      <w:r>
        <w:rPr>
          <w:snapToGrid w:val="0"/>
        </w:rPr>
        <w:tab/>
        <w:t>shall be buried below the bed of those waters to a depth of 4 feet;</w:t>
      </w:r>
    </w:p>
    <w:p>
      <w:pPr>
        <w:pStyle w:val="Indenta"/>
        <w:rPr>
          <w:snapToGrid w:val="0"/>
        </w:rPr>
      </w:pPr>
      <w:r>
        <w:rPr>
          <w:snapToGrid w:val="0"/>
        </w:rPr>
        <w:tab/>
        <w:t>(c)</w:t>
      </w:r>
      <w:r>
        <w:rPr>
          <w:snapToGrid w:val="0"/>
        </w:rPr>
        <w:tab/>
        <w:t>shall, with respect to all field welds, be radiographed and evaluated in accordance with the relevant provisions of the American Petroleum Institute Standard 1104 “Standard for Field Welding of Pipelines” 11th Edition, January, 1968, and all welds thereby found to be defective shall be repaired to comply with those provisions or cut out; and</w:t>
      </w:r>
    </w:p>
    <w:p>
      <w:pPr>
        <w:pStyle w:val="Indenta"/>
        <w:rPr>
          <w:snapToGrid w:val="0"/>
        </w:rPr>
      </w:pPr>
      <w:r>
        <w:rPr>
          <w:snapToGrid w:val="0"/>
        </w:rPr>
        <w:tab/>
        <w:t>(d)</w:t>
      </w:r>
      <w:r>
        <w:rPr>
          <w:snapToGrid w:val="0"/>
        </w:rPr>
        <w:tab/>
        <w:t>shall, whatever the contents of the pipeline, have a negative buoyancy with respect to the water or bottom soil in which it is laid.</w:t>
      </w:r>
    </w:p>
    <w:p>
      <w:pPr>
        <w:pStyle w:val="Heading5"/>
        <w:rPr>
          <w:snapToGrid w:val="0"/>
        </w:rPr>
      </w:pPr>
      <w:bookmarkStart w:id="66" w:name="_Toc511181436"/>
      <w:bookmarkStart w:id="67" w:name="_Toc512155991"/>
      <w:bookmarkStart w:id="68" w:name="_Toc513365346"/>
      <w:bookmarkStart w:id="69" w:name="_Toc34197864"/>
      <w:bookmarkStart w:id="70" w:name="_Toc261269761"/>
      <w:r>
        <w:rPr>
          <w:rStyle w:val="CharSectno"/>
        </w:rPr>
        <w:t>13</w:t>
      </w:r>
      <w:r>
        <w:rPr>
          <w:snapToGrid w:val="0"/>
        </w:rPr>
        <w:t>.</w:t>
      </w:r>
      <w:r>
        <w:rPr>
          <w:snapToGrid w:val="0"/>
        </w:rPr>
        <w:tab/>
        <w:t>Testing</w:t>
      </w:r>
      <w:bookmarkEnd w:id="66"/>
      <w:bookmarkEnd w:id="67"/>
      <w:r>
        <w:rPr>
          <w:snapToGrid w:val="0"/>
        </w:rPr>
        <w:t xml:space="preserve"> of pipelines</w:t>
      </w:r>
      <w:bookmarkEnd w:id="68"/>
      <w:bookmarkEnd w:id="69"/>
      <w:bookmarkEnd w:id="70"/>
    </w:p>
    <w:p>
      <w:pPr>
        <w:pStyle w:val="Subsection"/>
        <w:rPr>
          <w:snapToGrid w:val="0"/>
        </w:rPr>
      </w:pPr>
      <w:r>
        <w:rPr>
          <w:snapToGrid w:val="0"/>
        </w:rPr>
        <w:tab/>
        <w:t>(1)</w:t>
      </w:r>
      <w:r>
        <w:rPr>
          <w:snapToGrid w:val="0"/>
        </w:rPr>
        <w:tab/>
        <w:t>Subject to subregulation (2), where a test of a pipeline is required to be carried out under these regulations or under a licence — </w:t>
      </w:r>
    </w:p>
    <w:p>
      <w:pPr>
        <w:pStyle w:val="Indenta"/>
        <w:rPr>
          <w:snapToGrid w:val="0"/>
        </w:rPr>
      </w:pPr>
      <w:r>
        <w:rPr>
          <w:snapToGrid w:val="0"/>
        </w:rPr>
        <w:tab/>
        <w:t>(a)</w:t>
      </w:r>
      <w:r>
        <w:rPr>
          <w:snapToGrid w:val="0"/>
        </w:rPr>
        <w:tab/>
        <w:t>the test shall be carried out in such a manner as will enable a document certifying the results of the test to be given to the licensee; and</w:t>
      </w:r>
    </w:p>
    <w:p>
      <w:pPr>
        <w:pStyle w:val="Indenta"/>
        <w:rPr>
          <w:snapToGrid w:val="0"/>
        </w:rPr>
      </w:pPr>
      <w:r>
        <w:rPr>
          <w:snapToGrid w:val="0"/>
        </w:rPr>
        <w:tab/>
        <w:t>(b)</w:t>
      </w:r>
      <w:r>
        <w:rPr>
          <w:snapToGrid w:val="0"/>
        </w:rPr>
        <w:tab/>
        <w:t>the certifying document shall be an endorsed “test document within the meaning of the By</w:t>
      </w:r>
      <w:r>
        <w:rPr>
          <w:snapToGrid w:val="0"/>
        </w:rPr>
        <w:noBreakHyphen/>
        <w:t>laws of the National Association of Testing Authorities, Australia”,</w:t>
      </w:r>
    </w:p>
    <w:p>
      <w:pPr>
        <w:pStyle w:val="Subsection"/>
        <w:rPr>
          <w:snapToGrid w:val="0"/>
        </w:rPr>
      </w:pPr>
      <w:r>
        <w:rPr>
          <w:snapToGrid w:val="0"/>
        </w:rPr>
        <w:tab/>
      </w:r>
      <w:r>
        <w:rPr>
          <w:snapToGrid w:val="0"/>
        </w:rPr>
        <w:tab/>
        <w:t>and the licensee shall, in respect of the test, obtain such a document.</w:t>
      </w:r>
    </w:p>
    <w:p>
      <w:pPr>
        <w:pStyle w:val="Subsection"/>
        <w:rPr>
          <w:snapToGrid w:val="0"/>
        </w:rPr>
      </w:pPr>
      <w:r>
        <w:rPr>
          <w:snapToGrid w:val="0"/>
        </w:rPr>
        <w:tab/>
        <w:t>(2)</w:t>
      </w:r>
      <w:r>
        <w:rPr>
          <w:snapToGrid w:val="0"/>
        </w:rPr>
        <w:tab/>
        <w:t>Where a test of a pipeline is required to be carried out under these regulations or a licence and is a test that is not included in a class of test in respect of which an endorsed test document of the kind referred to in subregulation (1) can be given, the result of the test shall be recorded and certified as the Minister directs pursuant to the Act.</w:t>
      </w:r>
    </w:p>
    <w:p>
      <w:pPr>
        <w:pStyle w:val="Subsection"/>
        <w:rPr>
          <w:snapToGrid w:val="0"/>
        </w:rPr>
      </w:pPr>
      <w:r>
        <w:rPr>
          <w:snapToGrid w:val="0"/>
        </w:rPr>
        <w:tab/>
        <w:t>(3)</w:t>
      </w:r>
      <w:r>
        <w:rPr>
          <w:snapToGrid w:val="0"/>
        </w:rPr>
        <w:tab/>
        <w:t>Subject to subregulation (4), all test certificates referred to in subregulation (1) or (2) and all radiographs relating to the test shall at all reasonable times be produced to an inspector for inspection on demand being made by him in that behalf.</w:t>
      </w:r>
    </w:p>
    <w:p>
      <w:pPr>
        <w:pStyle w:val="Subsection"/>
        <w:rPr>
          <w:snapToGrid w:val="0"/>
        </w:rPr>
      </w:pPr>
      <w:r>
        <w:rPr>
          <w:snapToGrid w:val="0"/>
        </w:rPr>
        <w:tab/>
        <w:t>(4)</w:t>
      </w:r>
      <w:r>
        <w:rPr>
          <w:snapToGrid w:val="0"/>
        </w:rPr>
        <w:tab/>
        <w:t>Any such test certificates and radiographs shall not be destroyed or disposed of, except with the permission in writing of the Minister.</w:t>
      </w:r>
    </w:p>
    <w:p>
      <w:pPr>
        <w:pStyle w:val="Heading5"/>
        <w:rPr>
          <w:snapToGrid w:val="0"/>
        </w:rPr>
      </w:pPr>
      <w:bookmarkStart w:id="71" w:name="_Toc511181437"/>
      <w:bookmarkStart w:id="72" w:name="_Toc512155992"/>
      <w:bookmarkStart w:id="73" w:name="_Toc513365347"/>
      <w:bookmarkStart w:id="74" w:name="_Toc34197865"/>
      <w:bookmarkStart w:id="75" w:name="_Toc261269762"/>
      <w:r>
        <w:rPr>
          <w:rStyle w:val="CharSectno"/>
        </w:rPr>
        <w:t>14</w:t>
      </w:r>
      <w:r>
        <w:rPr>
          <w:snapToGrid w:val="0"/>
        </w:rPr>
        <w:t>.</w:t>
      </w:r>
      <w:r>
        <w:rPr>
          <w:snapToGrid w:val="0"/>
        </w:rPr>
        <w:tab/>
      </w:r>
      <w:bookmarkEnd w:id="71"/>
      <w:bookmarkEnd w:id="72"/>
      <w:r>
        <w:rPr>
          <w:snapToGrid w:val="0"/>
        </w:rPr>
        <w:t>Pipeline trenches etc, safety requirements for</w:t>
      </w:r>
      <w:bookmarkEnd w:id="73"/>
      <w:bookmarkEnd w:id="74"/>
      <w:bookmarkEnd w:id="75"/>
    </w:p>
    <w:p>
      <w:pPr>
        <w:pStyle w:val="Subsection"/>
        <w:rPr>
          <w:snapToGrid w:val="0"/>
        </w:rPr>
      </w:pPr>
      <w:r>
        <w:rPr>
          <w:snapToGrid w:val="0"/>
        </w:rPr>
        <w:tab/>
      </w:r>
      <w:r>
        <w:rPr>
          <w:snapToGrid w:val="0"/>
        </w:rPr>
        <w:tab/>
        <w:t>A person shall not enter a trench or other excavation made in connection with the construction or maintenance of a pipeline where — </w:t>
      </w:r>
    </w:p>
    <w:p>
      <w:pPr>
        <w:pStyle w:val="Indenta"/>
        <w:rPr>
          <w:snapToGrid w:val="0"/>
        </w:rPr>
      </w:pPr>
      <w:r>
        <w:rPr>
          <w:snapToGrid w:val="0"/>
        </w:rPr>
        <w:tab/>
        <w:t>(a)</w:t>
      </w:r>
      <w:r>
        <w:rPr>
          <w:snapToGrid w:val="0"/>
        </w:rPr>
        <w:tab/>
        <w:t>the nature of the environment and properties and conditions of the soil in which the trench or excavation is made are such that the walls of the trench or excavation are likely to collapse; or</w:t>
      </w:r>
    </w:p>
    <w:p>
      <w:pPr>
        <w:pStyle w:val="Indenta"/>
        <w:rPr>
          <w:snapToGrid w:val="0"/>
        </w:rPr>
      </w:pPr>
      <w:r>
        <w:rPr>
          <w:snapToGrid w:val="0"/>
        </w:rPr>
        <w:tab/>
        <w:t>(b)</w:t>
      </w:r>
      <w:r>
        <w:rPr>
          <w:snapToGrid w:val="0"/>
        </w:rPr>
        <w:tab/>
        <w:t>the depth of the trench or excavation is greater than 5 feet — </w:t>
      </w:r>
    </w:p>
    <w:p>
      <w:pPr>
        <w:pStyle w:val="Subsection"/>
        <w:rPr>
          <w:snapToGrid w:val="0"/>
        </w:rPr>
      </w:pPr>
      <w:r>
        <w:rPr>
          <w:snapToGrid w:val="0"/>
        </w:rPr>
        <w:tab/>
      </w:r>
      <w:r>
        <w:rPr>
          <w:snapToGrid w:val="0"/>
        </w:rPr>
        <w:tab/>
        <w:t>unless the walls of the trench or excavation — </w:t>
      </w:r>
    </w:p>
    <w:p>
      <w:pPr>
        <w:pStyle w:val="Indenta"/>
        <w:rPr>
          <w:snapToGrid w:val="0"/>
        </w:rPr>
      </w:pPr>
      <w:r>
        <w:rPr>
          <w:snapToGrid w:val="0"/>
        </w:rPr>
        <w:tab/>
        <w:t>(c)</w:t>
      </w:r>
      <w:r>
        <w:rPr>
          <w:snapToGrid w:val="0"/>
        </w:rPr>
        <w:tab/>
        <w:t>have been provided with shoring; or</w:t>
      </w:r>
    </w:p>
    <w:p>
      <w:pPr>
        <w:pStyle w:val="Indenta"/>
        <w:rPr>
          <w:snapToGrid w:val="0"/>
        </w:rPr>
      </w:pPr>
      <w:r>
        <w:rPr>
          <w:snapToGrid w:val="0"/>
        </w:rPr>
        <w:tab/>
        <w:t>(d)</w:t>
      </w:r>
      <w:r>
        <w:rPr>
          <w:snapToGrid w:val="0"/>
        </w:rPr>
        <w:tab/>
        <w:t>have been battered — </w:t>
      </w:r>
    </w:p>
    <w:p>
      <w:pPr>
        <w:pStyle w:val="Subsection"/>
        <w:rPr>
          <w:snapToGrid w:val="0"/>
        </w:rPr>
      </w:pPr>
      <w:r>
        <w:rPr>
          <w:snapToGrid w:val="0"/>
        </w:rPr>
        <w:tab/>
      </w:r>
      <w:r>
        <w:rPr>
          <w:snapToGrid w:val="0"/>
        </w:rPr>
        <w:tab/>
        <w:t>in such a manner so as to prevent the collapse of the walls.</w:t>
      </w:r>
    </w:p>
    <w:p>
      <w:pPr>
        <w:pStyle w:val="Heading5"/>
        <w:rPr>
          <w:snapToGrid w:val="0"/>
        </w:rPr>
      </w:pPr>
      <w:bookmarkStart w:id="76" w:name="_Toc511181438"/>
      <w:bookmarkStart w:id="77" w:name="_Toc512155993"/>
      <w:bookmarkStart w:id="78" w:name="_Toc513365348"/>
      <w:bookmarkStart w:id="79" w:name="_Toc34197866"/>
      <w:bookmarkStart w:id="80" w:name="_Toc261269763"/>
      <w:r>
        <w:rPr>
          <w:rStyle w:val="CharSectno"/>
        </w:rPr>
        <w:t>15</w:t>
      </w:r>
      <w:r>
        <w:rPr>
          <w:snapToGrid w:val="0"/>
        </w:rPr>
        <w:t>.</w:t>
      </w:r>
      <w:r>
        <w:rPr>
          <w:snapToGrid w:val="0"/>
        </w:rPr>
        <w:tab/>
      </w:r>
      <w:bookmarkEnd w:id="76"/>
      <w:bookmarkEnd w:id="77"/>
      <w:r>
        <w:rPr>
          <w:snapToGrid w:val="0"/>
        </w:rPr>
        <w:t>Placing pipelines in trenches, safety requirements for</w:t>
      </w:r>
      <w:bookmarkEnd w:id="78"/>
      <w:bookmarkEnd w:id="79"/>
      <w:bookmarkEnd w:id="80"/>
    </w:p>
    <w:p>
      <w:pPr>
        <w:pStyle w:val="Subsection"/>
        <w:rPr>
          <w:snapToGrid w:val="0"/>
        </w:rPr>
      </w:pPr>
      <w:r>
        <w:rPr>
          <w:snapToGrid w:val="0"/>
        </w:rPr>
        <w:tab/>
      </w:r>
      <w:r>
        <w:rPr>
          <w:snapToGrid w:val="0"/>
        </w:rPr>
        <w:tab/>
        <w:t>Where operations in connection with the lowering of a pipeline into a trench or excavation are being carried out, a person shall not enter any part of the trench or excavation in which, or in the vicinity of which the operations are being carried out, unless it is necessary to remove, replace or adjust slings or bracing members supporting shoring; and in such cases the person shall remain above the top of the pipeline.</w:t>
      </w:r>
    </w:p>
    <w:p>
      <w:pPr>
        <w:pStyle w:val="Heading5"/>
        <w:rPr>
          <w:snapToGrid w:val="0"/>
        </w:rPr>
      </w:pPr>
      <w:bookmarkStart w:id="81" w:name="_Toc511181439"/>
      <w:bookmarkStart w:id="82" w:name="_Toc512155994"/>
      <w:bookmarkStart w:id="83" w:name="_Toc513365349"/>
      <w:bookmarkStart w:id="84" w:name="_Toc34197867"/>
      <w:bookmarkStart w:id="85" w:name="_Toc261269764"/>
      <w:r>
        <w:rPr>
          <w:rStyle w:val="CharSectno"/>
        </w:rPr>
        <w:t>16</w:t>
      </w:r>
      <w:r>
        <w:rPr>
          <w:snapToGrid w:val="0"/>
        </w:rPr>
        <w:t>.</w:t>
      </w:r>
      <w:r>
        <w:rPr>
          <w:snapToGrid w:val="0"/>
        </w:rPr>
        <w:tab/>
      </w:r>
      <w:bookmarkEnd w:id="81"/>
      <w:bookmarkEnd w:id="82"/>
      <w:r>
        <w:rPr>
          <w:snapToGrid w:val="0"/>
        </w:rPr>
        <w:t>Joining pipelines in trenches, safety requirements for</w:t>
      </w:r>
      <w:bookmarkEnd w:id="83"/>
      <w:bookmarkEnd w:id="84"/>
      <w:bookmarkEnd w:id="85"/>
    </w:p>
    <w:p>
      <w:pPr>
        <w:pStyle w:val="Subsection"/>
        <w:rPr>
          <w:snapToGrid w:val="0"/>
        </w:rPr>
      </w:pPr>
      <w:r>
        <w:rPr>
          <w:snapToGrid w:val="0"/>
        </w:rPr>
        <w:tab/>
      </w:r>
      <w:r>
        <w:rPr>
          <w:snapToGrid w:val="0"/>
        </w:rPr>
        <w:tab/>
        <w:t>Where any operation in connection with the aligning, clamping, welding or any other procedure associated with joining sections of pipelines in trenches or excavations is being carried out, a person shall not enter any part of the trench or excavation in which or in the vicinity of which the operation or procedure is being carried out unless — </w:t>
      </w:r>
    </w:p>
    <w:p>
      <w:pPr>
        <w:pStyle w:val="Indenta"/>
        <w:rPr>
          <w:snapToGrid w:val="0"/>
        </w:rPr>
      </w:pPr>
      <w:r>
        <w:rPr>
          <w:snapToGrid w:val="0"/>
        </w:rPr>
        <w:tab/>
        <w:t>(a)</w:t>
      </w:r>
      <w:r>
        <w:rPr>
          <w:snapToGrid w:val="0"/>
        </w:rPr>
        <w:tab/>
        <w:t>the pipe is not more than 6 inches above the bottom of the trench or excavation; and</w:t>
      </w:r>
    </w:p>
    <w:p>
      <w:pPr>
        <w:pStyle w:val="Indenta"/>
        <w:rPr>
          <w:snapToGrid w:val="0"/>
        </w:rPr>
      </w:pPr>
      <w:r>
        <w:rPr>
          <w:snapToGrid w:val="0"/>
        </w:rPr>
        <w:tab/>
        <w:t>(b)</w:t>
      </w:r>
      <w:r>
        <w:rPr>
          <w:snapToGrid w:val="0"/>
        </w:rPr>
        <w:tab/>
        <w:t>the part of the trench or excavation is a bell hole.</w:t>
      </w:r>
    </w:p>
    <w:p>
      <w:pPr>
        <w:pStyle w:val="Heading5"/>
        <w:rPr>
          <w:snapToGrid w:val="0"/>
        </w:rPr>
      </w:pPr>
      <w:bookmarkStart w:id="86" w:name="_Toc511181440"/>
      <w:bookmarkStart w:id="87" w:name="_Toc512155995"/>
      <w:bookmarkStart w:id="88" w:name="_Toc513365350"/>
      <w:bookmarkStart w:id="89" w:name="_Toc34197868"/>
      <w:bookmarkStart w:id="90" w:name="_Toc261269765"/>
      <w:r>
        <w:rPr>
          <w:rStyle w:val="CharSectno"/>
        </w:rPr>
        <w:t>17</w:t>
      </w:r>
      <w:r>
        <w:rPr>
          <w:snapToGrid w:val="0"/>
        </w:rPr>
        <w:t>.</w:t>
      </w:r>
      <w:r>
        <w:rPr>
          <w:snapToGrid w:val="0"/>
        </w:rPr>
        <w:tab/>
      </w:r>
      <w:bookmarkEnd w:id="86"/>
      <w:bookmarkEnd w:id="87"/>
      <w:r>
        <w:rPr>
          <w:snapToGrid w:val="0"/>
        </w:rPr>
        <w:t>Pipelines to be earthed in some cases</w:t>
      </w:r>
      <w:bookmarkEnd w:id="88"/>
      <w:bookmarkEnd w:id="89"/>
      <w:bookmarkEnd w:id="90"/>
    </w:p>
    <w:p>
      <w:pPr>
        <w:pStyle w:val="Subsection"/>
        <w:rPr>
          <w:snapToGrid w:val="0"/>
        </w:rPr>
      </w:pPr>
      <w:r>
        <w:rPr>
          <w:snapToGrid w:val="0"/>
        </w:rPr>
        <w:tab/>
      </w:r>
      <w:r>
        <w:rPr>
          <w:snapToGrid w:val="0"/>
        </w:rPr>
        <w:tab/>
        <w:t>Where induced electrical potential may be caused in a pipeline because it is in the vicinity of high tension electricity transmission lines or other electrical sources, the pipeline shall, at all times, be effectively earthed.</w:t>
      </w:r>
    </w:p>
    <w:p>
      <w:pPr>
        <w:pStyle w:val="Heading5"/>
        <w:rPr>
          <w:snapToGrid w:val="0"/>
        </w:rPr>
      </w:pPr>
      <w:bookmarkStart w:id="91" w:name="_Toc511181441"/>
      <w:bookmarkStart w:id="92" w:name="_Toc512155996"/>
      <w:bookmarkStart w:id="93" w:name="_Toc513365351"/>
      <w:bookmarkStart w:id="94" w:name="_Toc34197869"/>
      <w:bookmarkStart w:id="95" w:name="_Toc261269766"/>
      <w:r>
        <w:rPr>
          <w:rStyle w:val="CharSectno"/>
        </w:rPr>
        <w:t>18</w:t>
      </w:r>
      <w:r>
        <w:rPr>
          <w:snapToGrid w:val="0"/>
        </w:rPr>
        <w:t>.</w:t>
      </w:r>
      <w:r>
        <w:rPr>
          <w:snapToGrid w:val="0"/>
        </w:rPr>
        <w:tab/>
      </w:r>
      <w:bookmarkEnd w:id="91"/>
      <w:bookmarkEnd w:id="92"/>
      <w:r>
        <w:rPr>
          <w:snapToGrid w:val="0"/>
        </w:rPr>
        <w:t>Surveys of pipelines to be made and lodged</w:t>
      </w:r>
      <w:bookmarkEnd w:id="93"/>
      <w:bookmarkEnd w:id="94"/>
      <w:bookmarkEnd w:id="95"/>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Under Secretary for Mines</w:t>
      </w:r>
      <w:r>
        <w:rPr>
          <w:snapToGrid w:val="0"/>
          <w:vertAlign w:val="superscript"/>
        </w:rPr>
        <w:t> 5</w:t>
      </w:r>
      <w:r>
        <w:rPr>
          <w:snapToGrid w:val="0"/>
        </w:rPr>
        <w:t>.</w:t>
      </w:r>
    </w:p>
    <w:p>
      <w:pPr>
        <w:pStyle w:val="Heading5"/>
        <w:rPr>
          <w:snapToGrid w:val="0"/>
        </w:rPr>
      </w:pPr>
      <w:bookmarkStart w:id="96" w:name="_Toc511181442"/>
      <w:bookmarkStart w:id="97" w:name="_Toc512155997"/>
      <w:bookmarkStart w:id="98" w:name="_Toc513365352"/>
      <w:bookmarkStart w:id="99" w:name="_Toc34197870"/>
      <w:bookmarkStart w:id="100" w:name="_Toc261269767"/>
      <w:r>
        <w:rPr>
          <w:rStyle w:val="CharSectno"/>
        </w:rPr>
        <w:t>19</w:t>
      </w:r>
      <w:r>
        <w:rPr>
          <w:snapToGrid w:val="0"/>
        </w:rPr>
        <w:t>.</w:t>
      </w:r>
      <w:r>
        <w:rPr>
          <w:snapToGrid w:val="0"/>
        </w:rPr>
        <w:tab/>
        <w:t>Protective equipment</w:t>
      </w:r>
      <w:bookmarkEnd w:id="96"/>
      <w:bookmarkEnd w:id="97"/>
      <w:r>
        <w:rPr>
          <w:snapToGrid w:val="0"/>
        </w:rPr>
        <w:t xml:space="preserve"> for pipeline workers</w:t>
      </w:r>
      <w:bookmarkEnd w:id="98"/>
      <w:bookmarkEnd w:id="99"/>
      <w:bookmarkEnd w:id="100"/>
    </w:p>
    <w:p>
      <w:pPr>
        <w:pStyle w:val="Subsection"/>
        <w:rPr>
          <w:snapToGrid w:val="0"/>
        </w:rPr>
      </w:pPr>
      <w:r>
        <w:rPr>
          <w:snapToGrid w:val="0"/>
        </w:rPr>
        <w:tab/>
      </w:r>
      <w:r>
        <w:rPr>
          <w:snapToGrid w:val="0"/>
        </w:rPr>
        <w:tab/>
        <w:t>Except insofar as the Minister otherwise directs under the Act — </w:t>
      </w:r>
    </w:p>
    <w:p>
      <w:pPr>
        <w:pStyle w:val="Indenta"/>
        <w:rPr>
          <w:snapToGrid w:val="0"/>
        </w:rPr>
      </w:pPr>
      <w:r>
        <w:rPr>
          <w:snapToGrid w:val="0"/>
        </w:rPr>
        <w:tab/>
        <w:t>(a)</w:t>
      </w:r>
      <w:r>
        <w:rPr>
          <w:snapToGrid w:val="0"/>
        </w:rPr>
        <w:tab/>
        <w:t>a safety helmet that complies with the requirements of the Australian Standard Specification AS Z10</w:t>
      </w:r>
      <w:r>
        <w:rPr>
          <w:snapToGrid w:val="0"/>
        </w:rPr>
        <w:noBreakHyphen/>
        <w:t>1967, shall be provided for the purpose of protecting a person engaged in, or concerned with, operations being carried on, or works being executed in or in relation to a pipeline, on all occasions when injury to his head is likely to occur;</w:t>
      </w:r>
    </w:p>
    <w:p>
      <w:pPr>
        <w:pStyle w:val="Indenta"/>
        <w:rPr>
          <w:snapToGrid w:val="0"/>
        </w:rPr>
      </w:pPr>
      <w:r>
        <w:rPr>
          <w:snapToGrid w:val="0"/>
        </w:rPr>
        <w:tab/>
        <w:t>(b)</w:t>
      </w:r>
      <w:r>
        <w:rPr>
          <w:snapToGrid w:val="0"/>
        </w:rPr>
        <w:tab/>
        <w:t>a person using, or associated with the use of, electrical welding or oxy cutting plant shall be provided with suitable eye protection that complies with the requirements of Australian Standards AS CZ7</w:t>
      </w:r>
      <w:r>
        <w:rPr>
          <w:snapToGrid w:val="0"/>
        </w:rPr>
        <w:noBreakHyphen/>
        <w:t>1967, AS Z7</w:t>
      </w:r>
      <w:r>
        <w:rPr>
          <w:snapToGrid w:val="0"/>
        </w:rPr>
        <w:noBreakHyphen/>
        <w:t>1967 and AS Z45</w:t>
      </w:r>
      <w:r>
        <w:rPr>
          <w:snapToGrid w:val="0"/>
        </w:rPr>
        <w:noBreakHyphen/>
        <w:t>1967;</w:t>
      </w:r>
    </w:p>
    <w:p>
      <w:pPr>
        <w:pStyle w:val="Indenta"/>
        <w:rPr>
          <w:snapToGrid w:val="0"/>
        </w:rPr>
      </w:pPr>
      <w:r>
        <w:rPr>
          <w:snapToGrid w:val="0"/>
        </w:rPr>
        <w:tab/>
        <w:t>(c)</w:t>
      </w:r>
      <w:r>
        <w:rPr>
          <w:snapToGrid w:val="0"/>
        </w:rPr>
        <w:tab/>
        <w:t>a person engaged in, or concerned with, operations in which his eyes are exposed to risk or injury by flying chips of metal shall be provided with suitable eye protection equipment that complies with the requirements of Australian Standards AS CZ7</w:t>
      </w:r>
      <w:r>
        <w:rPr>
          <w:snapToGrid w:val="0"/>
        </w:rPr>
        <w:noBreakHyphen/>
        <w:t>1967 and AS Z7</w:t>
      </w:r>
      <w:r>
        <w:rPr>
          <w:snapToGrid w:val="0"/>
        </w:rPr>
        <w:noBreakHyphen/>
        <w:t>1967;</w:t>
      </w:r>
    </w:p>
    <w:p>
      <w:pPr>
        <w:pStyle w:val="Indenta"/>
        <w:rPr>
          <w:snapToGrid w:val="0"/>
        </w:rPr>
      </w:pPr>
      <w:r>
        <w:rPr>
          <w:snapToGrid w:val="0"/>
        </w:rPr>
        <w:tab/>
        <w:t>(d)</w:t>
      </w:r>
      <w:r>
        <w:rPr>
          <w:snapToGrid w:val="0"/>
        </w:rPr>
        <w:tab/>
        <w:t>a person handling equipment or material that is likely to cause injury to his hands shall be provided with suitable gloves complying with the requirements of Australian Standards Specification AS Z4</w:t>
      </w:r>
      <w:r>
        <w:rPr>
          <w:snapToGrid w:val="0"/>
        </w:rPr>
        <w:noBreakHyphen/>
        <w:t>1963;</w:t>
      </w:r>
    </w:p>
    <w:p>
      <w:pPr>
        <w:pStyle w:val="Indenta"/>
        <w:rPr>
          <w:snapToGrid w:val="0"/>
        </w:rPr>
      </w:pPr>
      <w:r>
        <w:rPr>
          <w:snapToGrid w:val="0"/>
        </w:rPr>
        <w:tab/>
        <w:t>(e)</w:t>
      </w:r>
      <w:r>
        <w:rPr>
          <w:snapToGrid w:val="0"/>
        </w:rPr>
        <w:tab/>
        <w:t>a person who has been provided with protective equipment under the preceding provisions of this regulation, shall wear it at all times while working under such conditions as require it to be provided;</w:t>
      </w:r>
    </w:p>
    <w:p>
      <w:pPr>
        <w:pStyle w:val="Indenta"/>
        <w:rPr>
          <w:snapToGrid w:val="0"/>
        </w:rPr>
      </w:pPr>
      <w:r>
        <w:rPr>
          <w:snapToGrid w:val="0"/>
        </w:rPr>
        <w:tab/>
        <w:t>(f)</w:t>
      </w:r>
      <w:r>
        <w:rPr>
          <w:snapToGrid w:val="0"/>
        </w:rPr>
        <w:tab/>
        <w:t>a person engaged in, or concerned with, operations in which his feet are exposed to risk of injury, shall wear safety boots complying with the requirements of Australian Standard Specification AS Z3</w:t>
      </w:r>
      <w:r>
        <w:rPr>
          <w:snapToGrid w:val="0"/>
        </w:rPr>
        <w:noBreakHyphen/>
        <w:t>1969 while working under such conditions as require them to be worn, unless where a legally qualified medical practitioner has certified that the wearing of those safety boots would be injurious to the health of that person.</w:t>
      </w:r>
    </w:p>
    <w:p>
      <w:pPr>
        <w:pStyle w:val="Heading5"/>
        <w:rPr>
          <w:snapToGrid w:val="0"/>
        </w:rPr>
      </w:pPr>
      <w:bookmarkStart w:id="101" w:name="_Toc511181443"/>
      <w:bookmarkStart w:id="102" w:name="_Toc512155998"/>
      <w:bookmarkStart w:id="103" w:name="_Toc513365353"/>
      <w:bookmarkStart w:id="104" w:name="_Toc34197871"/>
      <w:bookmarkStart w:id="105" w:name="_Toc261269768"/>
      <w:r>
        <w:rPr>
          <w:rStyle w:val="CharSectno"/>
        </w:rPr>
        <w:t>20</w:t>
      </w:r>
      <w:r>
        <w:rPr>
          <w:snapToGrid w:val="0"/>
        </w:rPr>
        <w:t>.</w:t>
      </w:r>
      <w:r>
        <w:rPr>
          <w:snapToGrid w:val="0"/>
        </w:rPr>
        <w:tab/>
      </w:r>
      <w:bookmarkEnd w:id="101"/>
      <w:bookmarkEnd w:id="102"/>
      <w:r>
        <w:rPr>
          <w:snapToGrid w:val="0"/>
        </w:rPr>
        <w:t>Pipeline’s position to be signposted</w:t>
      </w:r>
      <w:bookmarkEnd w:id="103"/>
      <w:bookmarkEnd w:id="104"/>
      <w:bookmarkEnd w:id="105"/>
    </w:p>
    <w:p>
      <w:pPr>
        <w:pStyle w:val="Subsection"/>
        <w:rPr>
          <w:snapToGrid w:val="0"/>
        </w:rPr>
      </w:pPr>
      <w:r>
        <w:rPr>
          <w:snapToGrid w:val="0"/>
        </w:rPr>
        <w:tab/>
        <w:t>(1)</w:t>
      </w:r>
      <w:r>
        <w:rPr>
          <w:snapToGrid w:val="0"/>
        </w:rPr>
        <w:tab/>
        <w:t>Signs designed as indicated in the Second Schedule, or 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Footnotesection"/>
      </w:pPr>
      <w:r>
        <w:tab/>
        <w:t xml:space="preserve">[Regulation 20 amended in Gazette 22 Jul 1994 p. 3780.] </w:t>
      </w:r>
    </w:p>
    <w:p>
      <w:pPr>
        <w:pStyle w:val="Heading5"/>
        <w:spacing w:before="180"/>
        <w:rPr>
          <w:snapToGrid w:val="0"/>
        </w:rPr>
      </w:pPr>
      <w:bookmarkStart w:id="106" w:name="_Toc511181444"/>
      <w:bookmarkStart w:id="107" w:name="_Toc512155999"/>
      <w:bookmarkStart w:id="108" w:name="_Toc513365354"/>
      <w:bookmarkStart w:id="109" w:name="_Toc34197872"/>
      <w:bookmarkStart w:id="110" w:name="_Toc261269769"/>
      <w:r>
        <w:rPr>
          <w:rStyle w:val="CharSectno"/>
        </w:rPr>
        <w:t>21</w:t>
      </w:r>
      <w:r>
        <w:rPr>
          <w:snapToGrid w:val="0"/>
        </w:rPr>
        <w:t>.</w:t>
      </w:r>
      <w:r>
        <w:rPr>
          <w:snapToGrid w:val="0"/>
        </w:rPr>
        <w:tab/>
        <w:t>Inspect</w:t>
      </w:r>
      <w:bookmarkEnd w:id="106"/>
      <w:bookmarkEnd w:id="107"/>
      <w:r>
        <w:rPr>
          <w:snapToGrid w:val="0"/>
        </w:rPr>
        <w:t>or’s powers</w:t>
      </w:r>
      <w:bookmarkEnd w:id="108"/>
      <w:bookmarkEnd w:id="109"/>
      <w:bookmarkEnd w:id="110"/>
    </w:p>
    <w:p>
      <w:pPr>
        <w:pStyle w:val="Subsection"/>
        <w:rPr>
          <w:snapToGrid w:val="0"/>
        </w:rPr>
      </w:pPr>
      <w:r>
        <w:rPr>
          <w:snapToGrid w:val="0"/>
        </w:rPr>
        <w:tab/>
      </w:r>
      <w:r>
        <w:rPr>
          <w:snapToGrid w:val="0"/>
        </w:rPr>
        <w:tab/>
        <w:t>An inspector may examine or inquire into any phase of a construction of a pipeline or the installation of any component part of any pipeline, and may request rectification by the licensee of any part of the construction or installation that is not in accord with the Act or these regulations.</w:t>
      </w:r>
    </w:p>
    <w:p>
      <w:pPr>
        <w:pStyle w:val="Heading5"/>
        <w:spacing w:before="180"/>
        <w:rPr>
          <w:snapToGrid w:val="0"/>
        </w:rPr>
      </w:pPr>
      <w:bookmarkStart w:id="111" w:name="_Toc511181445"/>
      <w:bookmarkStart w:id="112" w:name="_Toc512156000"/>
      <w:bookmarkStart w:id="113" w:name="_Toc513365355"/>
      <w:bookmarkStart w:id="114" w:name="_Toc34197873"/>
      <w:bookmarkStart w:id="115" w:name="_Toc261269770"/>
      <w:r>
        <w:rPr>
          <w:rStyle w:val="CharSectno"/>
        </w:rPr>
        <w:t>22</w:t>
      </w:r>
      <w:r>
        <w:rPr>
          <w:snapToGrid w:val="0"/>
        </w:rPr>
        <w:t>.</w:t>
      </w:r>
      <w:r>
        <w:rPr>
          <w:snapToGrid w:val="0"/>
        </w:rPr>
        <w:tab/>
      </w:r>
      <w:bookmarkEnd w:id="111"/>
      <w:bookmarkEnd w:id="112"/>
      <w:r>
        <w:rPr>
          <w:snapToGrid w:val="0"/>
        </w:rPr>
        <w:t>Disobeying inspector, consequence of</w:t>
      </w:r>
      <w:bookmarkEnd w:id="113"/>
      <w:bookmarkEnd w:id="114"/>
      <w:bookmarkEnd w:id="115"/>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116" w:name="_Toc511181446"/>
      <w:bookmarkStart w:id="117" w:name="_Toc512156001"/>
      <w:bookmarkStart w:id="118" w:name="_Toc513365356"/>
      <w:bookmarkStart w:id="119" w:name="_Toc34197874"/>
      <w:bookmarkStart w:id="120" w:name="_Toc261269771"/>
      <w:r>
        <w:rPr>
          <w:rStyle w:val="CharSectno"/>
        </w:rPr>
        <w:t>23</w:t>
      </w:r>
      <w:r>
        <w:rPr>
          <w:snapToGrid w:val="0"/>
        </w:rPr>
        <w:t>.</w:t>
      </w:r>
      <w:r>
        <w:rPr>
          <w:snapToGrid w:val="0"/>
        </w:rPr>
        <w:tab/>
      </w:r>
      <w:bookmarkEnd w:id="116"/>
      <w:bookmarkEnd w:id="117"/>
      <w:r>
        <w:rPr>
          <w:snapToGrid w:val="0"/>
        </w:rPr>
        <w:t>Pipeline failures and fires, duties of licensee</w:t>
      </w:r>
      <w:bookmarkEnd w:id="118"/>
      <w:bookmarkEnd w:id="119"/>
      <w:bookmarkEnd w:id="120"/>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Indenta"/>
        <w:rPr>
          <w:snapToGrid w:val="0"/>
        </w:rPr>
      </w:pPr>
      <w:r>
        <w:rPr>
          <w:snapToGrid w:val="0"/>
        </w:rPr>
        <w:tab/>
        <w:t>(a)</w:t>
      </w:r>
      <w:r>
        <w:rPr>
          <w:snapToGrid w:val="0"/>
        </w:rPr>
        <w:tab/>
        <w:t>shall forthwith take steps to notify, by telephone or telegram, an inspector of the escape or ignition; and</w:t>
      </w:r>
    </w:p>
    <w:p>
      <w:pPr>
        <w:pStyle w:val="Indenta"/>
        <w:rPr>
          <w:snapToGrid w:val="0"/>
        </w:rPr>
      </w:pPr>
      <w:r>
        <w:rPr>
          <w:snapToGrid w:val="0"/>
        </w:rPr>
        <w:tab/>
        <w:t>(b)</w:t>
      </w:r>
      <w:r>
        <w:rPr>
          <w:snapToGrid w:val="0"/>
        </w:rPr>
        <w:tab/>
      </w:r>
      <w:r>
        <w:rPr>
          <w:snapToGrid w:val="0"/>
          <w:spacing w:val="-4"/>
        </w:rPr>
        <w:t>shall take such action as is necessary to safeguard human life and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Under Secretary for Mines</w:t>
      </w:r>
      <w:r>
        <w:rPr>
          <w:snapToGrid w:val="0"/>
          <w:vertAlign w:val="superscript"/>
        </w:rPr>
        <w:t> 5</w:t>
      </w:r>
      <w:r>
        <w:rPr>
          <w:snapToGrid w:val="0"/>
        </w:rPr>
        <w:t xml:space="preserve">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rPr>
          <w:snapToGrid w:val="0"/>
        </w:rPr>
      </w:pPr>
      <w:r>
        <w:rPr>
          <w:snapToGrid w:val="0"/>
        </w:rPr>
        <w:tab/>
        <w:t>(e)</w:t>
      </w:r>
      <w:r>
        <w:rPr>
          <w:snapToGrid w:val="0"/>
        </w:rPr>
        <w:tab/>
        <w:t>the methods adopted to carry out the repairs to the pipeline.</w:t>
      </w:r>
    </w:p>
    <w:p>
      <w:pPr>
        <w:pStyle w:val="Heading5"/>
        <w:rPr>
          <w:snapToGrid w:val="0"/>
        </w:rPr>
      </w:pPr>
      <w:bookmarkStart w:id="121" w:name="_Toc511181447"/>
      <w:bookmarkStart w:id="122" w:name="_Toc512156002"/>
      <w:bookmarkStart w:id="123" w:name="_Toc513365357"/>
      <w:bookmarkStart w:id="124" w:name="_Toc34197875"/>
      <w:bookmarkStart w:id="125" w:name="_Toc261269772"/>
      <w:r>
        <w:rPr>
          <w:rStyle w:val="CharSectno"/>
        </w:rPr>
        <w:t>24</w:t>
      </w:r>
      <w:r>
        <w:rPr>
          <w:snapToGrid w:val="0"/>
        </w:rPr>
        <w:t>.</w:t>
      </w:r>
      <w:r>
        <w:rPr>
          <w:snapToGrid w:val="0"/>
        </w:rPr>
        <w:tab/>
      </w:r>
      <w:bookmarkEnd w:id="121"/>
      <w:bookmarkEnd w:id="122"/>
      <w:r>
        <w:rPr>
          <w:snapToGrid w:val="0"/>
        </w:rPr>
        <w:t>Serious accidents, duties of licensee</w:t>
      </w:r>
      <w:bookmarkEnd w:id="123"/>
      <w:bookmarkEnd w:id="124"/>
      <w:bookmarkEnd w:id="125"/>
    </w:p>
    <w:p>
      <w:pPr>
        <w:pStyle w:val="Subsection"/>
        <w:rPr>
          <w:snapToGrid w:val="0"/>
        </w:rPr>
      </w:pPr>
      <w:r>
        <w:rPr>
          <w:snapToGrid w:val="0"/>
        </w:rPr>
        <w:tab/>
        <w:t>(1)</w:t>
      </w:r>
      <w:r>
        <w:rPr>
          <w:snapToGrid w:val="0"/>
        </w:rPr>
        <w:tab/>
        <w:t>Where, during the construction and operation of the pipeline, any accident occurs directly arising therefrom, wherein death or serious injury is suffered by any person, or any property is seriously damaged, the licensee shall immediately report the accident by telephone or telegram to an inspector.</w:t>
      </w:r>
    </w:p>
    <w:p>
      <w:pPr>
        <w:pStyle w:val="Subsection"/>
        <w:rPr>
          <w:snapToGrid w:val="0"/>
        </w:rPr>
      </w:pPr>
      <w:r>
        <w:rPr>
          <w:snapToGrid w:val="0"/>
        </w:rPr>
        <w:tab/>
        <w:t>(2)</w:t>
      </w:r>
      <w:r>
        <w:rPr>
          <w:snapToGrid w:val="0"/>
        </w:rPr>
        <w:tab/>
        <w:t>The place of the accident shall not be interfered with by any person without the permission of an inspector, except where, and only insofar as it is necessary, for the purposes of providing for the immediate protection or saving of the health or life of any person or the protection of property.</w:t>
      </w:r>
    </w:p>
    <w:p>
      <w:pPr>
        <w:pStyle w:val="Subsection"/>
        <w:rPr>
          <w:snapToGrid w:val="0"/>
        </w:rPr>
      </w:pPr>
      <w:r>
        <w:rPr>
          <w:snapToGrid w:val="0"/>
        </w:rPr>
        <w:tab/>
        <w:t>(3)</w:t>
      </w:r>
      <w:r>
        <w:rPr>
          <w:snapToGrid w:val="0"/>
        </w:rPr>
        <w:tab/>
        <w:t>As soon as possible after the occurrence of the accident the licensee shall submit a written report to the Under Secretary for Mines</w:t>
      </w:r>
      <w:r>
        <w:rPr>
          <w:snapToGrid w:val="0"/>
          <w:vertAlign w:val="superscript"/>
        </w:rPr>
        <w:t> 5</w:t>
      </w:r>
      <w:r>
        <w:rPr>
          <w:snapToGrid w:val="0"/>
        </w:rPr>
        <w:t>, giving full information on the accident.</w:t>
      </w:r>
    </w:p>
    <w:p>
      <w:pPr>
        <w:pStyle w:val="Heading5"/>
        <w:rPr>
          <w:snapToGrid w:val="0"/>
        </w:rPr>
      </w:pPr>
      <w:bookmarkStart w:id="126" w:name="_Toc511181448"/>
      <w:bookmarkStart w:id="127" w:name="_Toc512156003"/>
      <w:bookmarkStart w:id="128" w:name="_Toc513365358"/>
      <w:bookmarkStart w:id="129" w:name="_Toc34197876"/>
      <w:bookmarkStart w:id="130" w:name="_Toc261269773"/>
      <w:r>
        <w:rPr>
          <w:rStyle w:val="CharSectno"/>
        </w:rPr>
        <w:t>25</w:t>
      </w:r>
      <w:r>
        <w:rPr>
          <w:snapToGrid w:val="0"/>
        </w:rPr>
        <w:t>.</w:t>
      </w:r>
      <w:r>
        <w:rPr>
          <w:snapToGrid w:val="0"/>
        </w:rPr>
        <w:tab/>
      </w:r>
      <w:bookmarkEnd w:id="126"/>
      <w:bookmarkEnd w:id="127"/>
      <w:r>
        <w:rPr>
          <w:snapToGrid w:val="0"/>
        </w:rPr>
        <w:t>Reports to Minister by licensee</w:t>
      </w:r>
      <w:bookmarkEnd w:id="128"/>
      <w:bookmarkEnd w:id="129"/>
      <w:bookmarkEnd w:id="130"/>
    </w:p>
    <w:p>
      <w:pPr>
        <w:pStyle w:val="Subsection"/>
        <w:rPr>
          <w:snapToGrid w:val="0"/>
        </w:rPr>
      </w:pPr>
      <w:r>
        <w:rPr>
          <w:snapToGrid w:val="0"/>
        </w:rPr>
        <w:tab/>
      </w:r>
      <w:r>
        <w:rPr>
          <w:snapToGrid w:val="0"/>
        </w:rPr>
        <w:tab/>
        <w:t>The licensee shall submit to the Minister — </w:t>
      </w:r>
    </w:p>
    <w:p>
      <w:pPr>
        <w:pStyle w:val="Indenta"/>
        <w:rPr>
          <w:snapToGrid w:val="0"/>
        </w:rPr>
      </w:pPr>
      <w:r>
        <w:rPr>
          <w:snapToGrid w:val="0"/>
        </w:rPr>
        <w:tab/>
        <w:t>(a)</w:t>
      </w:r>
      <w:r>
        <w:rPr>
          <w:snapToGrid w:val="0"/>
        </w:rPr>
        <w:tab/>
        <w:t>a weekly progress report during the period of construction of the pipeline; and</w:t>
      </w:r>
    </w:p>
    <w:p>
      <w:pPr>
        <w:pStyle w:val="Indenta"/>
        <w:rPr>
          <w:snapToGrid w:val="0"/>
        </w:rPr>
      </w:pPr>
      <w:r>
        <w:rPr>
          <w:snapToGrid w:val="0"/>
        </w:rPr>
        <w:tab/>
        <w:t>(b)</w:t>
      </w:r>
      <w:r>
        <w:rPr>
          <w:snapToGrid w:val="0"/>
        </w:rPr>
        <w:tab/>
        <w:t>such reports on the operation of the pipeline as the Minister may direct under the Act.</w:t>
      </w:r>
    </w:p>
    <w:p>
      <w:pPr>
        <w:pStyle w:val="Heading5"/>
        <w:rPr>
          <w:snapToGrid w:val="0"/>
        </w:rPr>
      </w:pPr>
      <w:bookmarkStart w:id="131" w:name="_Toc511181449"/>
      <w:bookmarkStart w:id="132" w:name="_Toc512156004"/>
      <w:bookmarkStart w:id="133" w:name="_Toc513365359"/>
      <w:bookmarkStart w:id="134" w:name="_Toc34197877"/>
      <w:bookmarkStart w:id="135" w:name="_Toc261269774"/>
      <w:r>
        <w:rPr>
          <w:rStyle w:val="CharSectno"/>
        </w:rPr>
        <w:t>26</w:t>
      </w:r>
      <w:r>
        <w:rPr>
          <w:snapToGrid w:val="0"/>
        </w:rPr>
        <w:t>.</w:t>
      </w:r>
      <w:r>
        <w:rPr>
          <w:snapToGrid w:val="0"/>
        </w:rPr>
        <w:tab/>
        <w:t>Plan of operational procedure</w:t>
      </w:r>
      <w:bookmarkEnd w:id="131"/>
      <w:bookmarkEnd w:id="132"/>
      <w:r>
        <w:rPr>
          <w:snapToGrid w:val="0"/>
        </w:rPr>
        <w:t xml:space="preserve"> to be submitted with application under Act s. 36</w:t>
      </w:r>
      <w:bookmarkEnd w:id="133"/>
      <w:bookmarkEnd w:id="134"/>
      <w:bookmarkEnd w:id="135"/>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Heading5"/>
        <w:rPr>
          <w:snapToGrid w:val="0"/>
        </w:rPr>
      </w:pPr>
      <w:bookmarkStart w:id="136" w:name="_Toc511181450"/>
      <w:bookmarkStart w:id="137" w:name="_Toc512156005"/>
      <w:bookmarkStart w:id="138" w:name="_Toc513365360"/>
      <w:bookmarkStart w:id="139" w:name="_Toc34197878"/>
      <w:bookmarkStart w:id="140" w:name="_Toc261269775"/>
      <w:r>
        <w:rPr>
          <w:rStyle w:val="CharSectno"/>
        </w:rPr>
        <w:t>27</w:t>
      </w:r>
      <w:r>
        <w:rPr>
          <w:snapToGrid w:val="0"/>
        </w:rPr>
        <w:t>.</w:t>
      </w:r>
      <w:r>
        <w:rPr>
          <w:snapToGrid w:val="0"/>
        </w:rPr>
        <w:tab/>
        <w:t>Penalties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person who contravenes or fails to comply with any of these regulations is guilty of an offence and is liable to a fine of $500, and if the offence is a continuing one, to a further fine of $500 for every day on which the offence continues.</w:t>
      </w:r>
    </w:p>
    <w:p>
      <w:pPr>
        <w:pStyle w:val="Subsection"/>
        <w:rPr>
          <w:snapToGrid w:val="0"/>
        </w:rPr>
      </w:pPr>
      <w:r>
        <w:rPr>
          <w:snapToGrid w:val="0"/>
        </w:rPr>
        <w:tab/>
        <w:t>(2)</w:t>
      </w:r>
      <w:r>
        <w:rPr>
          <w:snapToGrid w:val="0"/>
        </w:rPr>
        <w:tab/>
        <w:t>Where an offence is committed by a person by reason of his failure to comply with any provision of these regulations by or under which he is required or directed to do anything within a particular period, that offence, without affecting the operation of subregulation (1), for the purposes of that subregulation shall be deemed to continue so long as the thing so required or directed to be done by him remains undone notwithstanding that this particular period has elapsed.</w:t>
      </w:r>
    </w:p>
    <w:p>
      <w:pPr>
        <w:pStyle w:val="yEdnoteschedule"/>
      </w:pPr>
      <w:r>
        <w:t>[First Schedule deleted in Gazette 22 Jul 1994 p. 3780.]</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41" w:name="_Toc513365361"/>
      <w:bookmarkStart w:id="142" w:name="_Toc34197879"/>
      <w:bookmarkStart w:id="143" w:name="_Toc233694387"/>
      <w:bookmarkStart w:id="144" w:name="_Toc253405542"/>
      <w:bookmarkStart w:id="145" w:name="_Toc253405600"/>
      <w:bookmarkStart w:id="146" w:name="_Toc261269776"/>
      <w:r>
        <w:rPr>
          <w:rStyle w:val="CharSchNo"/>
        </w:rPr>
        <w:t>Second Schedule</w:t>
      </w:r>
      <w:bookmarkEnd w:id="141"/>
      <w:bookmarkEnd w:id="142"/>
      <w:bookmarkEnd w:id="143"/>
      <w:bookmarkEnd w:id="144"/>
      <w:bookmarkEnd w:id="145"/>
      <w:bookmarkEnd w:id="146"/>
      <w:r>
        <w:rPr>
          <w:rStyle w:val="CharSchText"/>
        </w:rPr>
        <w:t xml:space="preserve"> </w:t>
      </w:r>
    </w:p>
    <w:p>
      <w:pPr>
        <w:pStyle w:val="yShoulderClause"/>
        <w:spacing w:before="0"/>
        <w:rPr>
          <w:snapToGrid w:val="0"/>
        </w:rPr>
      </w:pPr>
      <w:r>
        <w:rPr>
          <w:snapToGrid w:val="0"/>
        </w:rPr>
        <w:t>(Regulation 20)</w:t>
      </w:r>
    </w:p>
    <w:p>
      <w:pPr>
        <w:pStyle w:val="MiscellaneousHeading"/>
        <w:keepNext w:val="0"/>
        <w:spacing w:before="0"/>
        <w:rPr>
          <w:i/>
          <w:snapToGrid w:val="0"/>
          <w:sz w:val="22"/>
        </w:rPr>
      </w:pPr>
      <w:r>
        <w:rPr>
          <w:i/>
          <w:snapToGrid w:val="0"/>
          <w:sz w:val="22"/>
        </w:rPr>
        <w:t>Petroleum Pipelines Act 1969</w:t>
      </w:r>
    </w:p>
    <w:p>
      <w:pPr>
        <w:pStyle w:val="MiscellaneousHeading"/>
        <w:keepNext w:val="0"/>
        <w:spacing w:before="0"/>
        <w:ind w:left="720"/>
        <w:rPr>
          <w:snapToGrid w:val="0"/>
          <w:sz w:val="22"/>
        </w:rPr>
      </w:pPr>
      <w:r>
        <w:rPr>
          <w:snapToGrid w:val="0"/>
          <w:sz w:val="22"/>
        </w:rPr>
        <w:t>Section 38</w:t>
      </w:r>
    </w:p>
    <w:p>
      <w:pPr>
        <w:jc w:val="center"/>
      </w:pPr>
      <w:bookmarkStart w:id="147" w:name="_Toc513365362"/>
      <w:r>
        <w:rPr>
          <w:noProof/>
          <w:lang w:eastAsia="en-AU"/>
        </w:rPr>
        <w:drawing>
          <wp:inline distT="0" distB="0" distL="0" distR="0">
            <wp:extent cx="3581400" cy="5619750"/>
            <wp:effectExtent l="0" t="0" r="0" b="0"/>
            <wp:docPr id="2" name="Picture 2" descr="pe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81400" cy="5619750"/>
                    </a:xfrm>
                    <a:prstGeom prst="rect">
                      <a:avLst/>
                    </a:prstGeom>
                    <a:noFill/>
                    <a:ln>
                      <a:noFill/>
                    </a:ln>
                  </pic:spPr>
                </pic:pic>
              </a:graphicData>
            </a:graphic>
          </wp:inline>
        </w:drawing>
      </w:r>
    </w:p>
    <w:p>
      <w:pPr>
        <w:pStyle w:val="yScheduleHeading"/>
      </w:pPr>
      <w:bookmarkStart w:id="148" w:name="_Toc261269777"/>
      <w:bookmarkStart w:id="149" w:name="_Toc513365363"/>
      <w:bookmarkStart w:id="150" w:name="_Toc34197882"/>
      <w:bookmarkStart w:id="151" w:name="_Toc233694389"/>
      <w:bookmarkStart w:id="152" w:name="_Toc253405544"/>
      <w:bookmarkStart w:id="153" w:name="_Toc253405602"/>
      <w:bookmarkEnd w:id="147"/>
      <w:r>
        <w:rPr>
          <w:rStyle w:val="CharSchNo"/>
        </w:rPr>
        <w:t>Third Schedule</w:t>
      </w:r>
      <w:r>
        <w:t> — </w:t>
      </w:r>
      <w:r>
        <w:rPr>
          <w:rStyle w:val="CharSchText"/>
        </w:rPr>
        <w:t>Fees</w:t>
      </w:r>
      <w:bookmarkEnd w:id="148"/>
    </w:p>
    <w:p>
      <w:pPr>
        <w:pStyle w:val="yShoulderClause"/>
      </w:pPr>
      <w:r>
        <w:t>[r. 4]</w:t>
      </w:r>
    </w:p>
    <w:p>
      <w:pPr>
        <w:pStyle w:val="yFootnoteheading"/>
        <w:spacing w:after="120"/>
      </w:pPr>
      <w:r>
        <w:tab/>
        <w:t>[Heading inserted in Gazette 11 May 2010 p. 1823.]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75"/>
      </w:tblGrid>
      <w:tr>
        <w:trPr>
          <w:tblHeader/>
        </w:trPr>
        <w:tc>
          <w:tcPr>
            <w:tcW w:w="709" w:type="dxa"/>
          </w:tcPr>
          <w:p>
            <w:pPr>
              <w:pStyle w:val="yTableNAm"/>
              <w:jc w:val="center"/>
              <w:rPr>
                <w:b/>
                <w:bCs/>
              </w:rPr>
            </w:pPr>
            <w:r>
              <w:rPr>
                <w:b/>
                <w:bCs/>
              </w:rPr>
              <w:t>Item no.</w:t>
            </w:r>
          </w:p>
        </w:tc>
        <w:tc>
          <w:tcPr>
            <w:tcW w:w="2977" w:type="dxa"/>
          </w:tcPr>
          <w:p>
            <w:pPr>
              <w:pStyle w:val="yTableNAm"/>
              <w:jc w:val="center"/>
              <w:rPr>
                <w:b/>
                <w:bCs/>
              </w:rPr>
            </w:pPr>
            <w:r>
              <w:rPr>
                <w:b/>
                <w:bCs/>
              </w:rPr>
              <w:t>Purpose</w:t>
            </w:r>
          </w:p>
        </w:tc>
        <w:tc>
          <w:tcPr>
            <w:tcW w:w="1417" w:type="dxa"/>
          </w:tcPr>
          <w:p>
            <w:pPr>
              <w:pStyle w:val="yTableNAm"/>
              <w:jc w:val="center"/>
              <w:rPr>
                <w:b/>
                <w:bCs/>
              </w:rPr>
            </w:pPr>
            <w:r>
              <w:rPr>
                <w:b/>
                <w:bCs/>
              </w:rPr>
              <w:t>Provision of Act</w:t>
            </w:r>
          </w:p>
        </w:tc>
        <w:tc>
          <w:tcPr>
            <w:tcW w:w="1275" w:type="dxa"/>
          </w:tcPr>
          <w:p>
            <w:pPr>
              <w:pStyle w:val="yTableNAm"/>
              <w:jc w:val="center"/>
              <w:rPr>
                <w:b/>
                <w:bCs/>
              </w:rPr>
            </w:pPr>
            <w:r>
              <w:rPr>
                <w:b/>
                <w:bCs/>
              </w:rPr>
              <w:t>Fee</w:t>
            </w:r>
            <w:r>
              <w:rPr>
                <w:b/>
                <w:bCs/>
              </w:rPr>
              <w:br/>
              <w:t>($)</w:t>
            </w:r>
          </w:p>
        </w:tc>
      </w:tr>
      <w:tr>
        <w:tc>
          <w:tcPr>
            <w:tcW w:w="709" w:type="dxa"/>
          </w:tcPr>
          <w:p>
            <w:pPr>
              <w:pStyle w:val="yTableNAm"/>
            </w:pPr>
            <w:r>
              <w:t>1.</w:t>
            </w:r>
          </w:p>
        </w:tc>
        <w:tc>
          <w:tcPr>
            <w:tcW w:w="2977" w:type="dxa"/>
          </w:tcPr>
          <w:p>
            <w:pPr>
              <w:pStyle w:val="yTableNAm"/>
            </w:pPr>
            <w:r>
              <w:t>Application for licence</w:t>
            </w:r>
          </w:p>
        </w:tc>
        <w:tc>
          <w:tcPr>
            <w:tcW w:w="1417" w:type="dxa"/>
          </w:tcPr>
          <w:p>
            <w:pPr>
              <w:pStyle w:val="yTableNAm"/>
            </w:pPr>
            <w:r>
              <w:t>s. 8(l)(j)</w:t>
            </w:r>
          </w:p>
        </w:tc>
        <w:tc>
          <w:tcPr>
            <w:tcW w:w="1275" w:type="dxa"/>
          </w:tcPr>
          <w:p>
            <w:pPr>
              <w:pStyle w:val="yTableNAm"/>
            </w:pPr>
            <w:r>
              <w:t>4 690.00</w:t>
            </w:r>
          </w:p>
        </w:tc>
      </w:tr>
      <w:tr>
        <w:tc>
          <w:tcPr>
            <w:tcW w:w="709" w:type="dxa"/>
          </w:tcPr>
          <w:p>
            <w:pPr>
              <w:pStyle w:val="yTableNAm"/>
            </w:pPr>
            <w:r>
              <w:t>2.</w:t>
            </w:r>
          </w:p>
        </w:tc>
        <w:tc>
          <w:tcPr>
            <w:tcW w:w="2977" w:type="dxa"/>
          </w:tcPr>
          <w:p>
            <w:pPr>
              <w:pStyle w:val="yTableNAm"/>
            </w:pPr>
            <w:r>
              <w:t>Application for renewal of licence</w:t>
            </w:r>
          </w:p>
        </w:tc>
        <w:tc>
          <w:tcPr>
            <w:tcW w:w="1417" w:type="dxa"/>
          </w:tcPr>
          <w:p>
            <w:pPr>
              <w:pStyle w:val="yTableNAm"/>
            </w:pPr>
            <w:r>
              <w:br/>
              <w:t>s. 11(2)(d)</w:t>
            </w:r>
          </w:p>
        </w:tc>
        <w:tc>
          <w:tcPr>
            <w:tcW w:w="1275" w:type="dxa"/>
          </w:tcPr>
          <w:p>
            <w:pPr>
              <w:pStyle w:val="yTableNAm"/>
            </w:pPr>
            <w:r>
              <w:br/>
              <w:t>1 877.00</w:t>
            </w:r>
          </w:p>
        </w:tc>
      </w:tr>
      <w:tr>
        <w:tc>
          <w:tcPr>
            <w:tcW w:w="709" w:type="dxa"/>
          </w:tcPr>
          <w:p>
            <w:pPr>
              <w:pStyle w:val="yTableNAm"/>
            </w:pPr>
            <w:r>
              <w:t>3.</w:t>
            </w:r>
          </w:p>
        </w:tc>
        <w:tc>
          <w:tcPr>
            <w:tcW w:w="2977" w:type="dxa"/>
          </w:tcPr>
          <w:p>
            <w:pPr>
              <w:pStyle w:val="yTableNAm"/>
            </w:pPr>
            <w:r>
              <w:t>Application for variation of licence</w:t>
            </w:r>
          </w:p>
        </w:tc>
        <w:tc>
          <w:tcPr>
            <w:tcW w:w="1417" w:type="dxa"/>
          </w:tcPr>
          <w:p>
            <w:pPr>
              <w:pStyle w:val="yTableNAm"/>
            </w:pPr>
            <w:r>
              <w:br/>
              <w:t>s. 15(2)(d)</w:t>
            </w:r>
          </w:p>
        </w:tc>
        <w:tc>
          <w:tcPr>
            <w:tcW w:w="1275" w:type="dxa"/>
          </w:tcPr>
          <w:p>
            <w:pPr>
              <w:pStyle w:val="yTableNAm"/>
            </w:pPr>
            <w:r>
              <w:br/>
              <w:t>938.00</w:t>
            </w:r>
          </w:p>
        </w:tc>
      </w:tr>
      <w:tr>
        <w:tc>
          <w:tcPr>
            <w:tcW w:w="709" w:type="dxa"/>
          </w:tcPr>
          <w:p>
            <w:pPr>
              <w:pStyle w:val="yTableNAm"/>
            </w:pPr>
            <w:r>
              <w:t>4.</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75" w:type="dxa"/>
          </w:tcPr>
          <w:p>
            <w:pPr>
              <w:pStyle w:val="yTableNAm"/>
            </w:pPr>
            <w:r>
              <w:br/>
            </w:r>
            <w:r>
              <w:br/>
              <w:t>93.00</w:t>
            </w:r>
          </w:p>
        </w:tc>
      </w:tr>
      <w:tr>
        <w:tc>
          <w:tcPr>
            <w:tcW w:w="709" w:type="dxa"/>
          </w:tcPr>
          <w:p>
            <w:pPr>
              <w:pStyle w:val="yTableNAm"/>
            </w:pPr>
            <w:r>
              <w:t>5.</w:t>
            </w:r>
          </w:p>
        </w:tc>
        <w:tc>
          <w:tcPr>
            <w:tcW w:w="2977" w:type="dxa"/>
          </w:tcPr>
          <w:p>
            <w:pPr>
              <w:pStyle w:val="yTableNAm"/>
            </w:pPr>
            <w:r>
              <w:t>Registration as licensee on devolution by operation of law</w:t>
            </w:r>
          </w:p>
        </w:tc>
        <w:tc>
          <w:tcPr>
            <w:tcW w:w="1417" w:type="dxa"/>
          </w:tcPr>
          <w:p>
            <w:pPr>
              <w:pStyle w:val="yTableNAm"/>
            </w:pPr>
            <w:r>
              <w:br/>
              <w:t>s. 45(2)</w:t>
            </w:r>
          </w:p>
        </w:tc>
        <w:tc>
          <w:tcPr>
            <w:tcW w:w="1275" w:type="dxa"/>
          </w:tcPr>
          <w:p>
            <w:pPr>
              <w:pStyle w:val="yTableNAm"/>
            </w:pPr>
            <w:r>
              <w:br/>
              <w:t>93.00</w:t>
            </w:r>
          </w:p>
        </w:tc>
      </w:tr>
      <w:tr>
        <w:tc>
          <w:tcPr>
            <w:tcW w:w="709" w:type="dxa"/>
          </w:tcPr>
          <w:p>
            <w:pPr>
              <w:pStyle w:val="yTableNAm"/>
            </w:pPr>
            <w:r>
              <w:t>6.</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75" w:type="dxa"/>
          </w:tcPr>
          <w:p>
            <w:pPr>
              <w:pStyle w:val="yTableNAm"/>
            </w:pPr>
            <w:r>
              <w:br/>
            </w:r>
            <w:r>
              <w:br/>
              <w:t>93.00</w:t>
            </w:r>
          </w:p>
        </w:tc>
      </w:tr>
      <w:tr>
        <w:tc>
          <w:tcPr>
            <w:tcW w:w="709" w:type="dxa"/>
          </w:tcPr>
          <w:p>
            <w:pPr>
              <w:pStyle w:val="yTableNAm"/>
            </w:pPr>
            <w:r>
              <w:t>7.</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75" w:type="dxa"/>
          </w:tcPr>
          <w:p>
            <w:pPr>
              <w:pStyle w:val="yTableNAm"/>
            </w:pPr>
            <w:r>
              <w:br/>
            </w:r>
            <w:r>
              <w:br/>
              <w:t>93.00</w:t>
            </w:r>
          </w:p>
        </w:tc>
      </w:tr>
      <w:tr>
        <w:tc>
          <w:tcPr>
            <w:tcW w:w="709" w:type="dxa"/>
          </w:tcPr>
          <w:p>
            <w:pPr>
              <w:pStyle w:val="yTableNAm"/>
            </w:pPr>
            <w:r>
              <w:t>8.</w:t>
            </w:r>
          </w:p>
        </w:tc>
        <w:tc>
          <w:tcPr>
            <w:tcW w:w="2977" w:type="dxa"/>
          </w:tcPr>
          <w:p>
            <w:pPr>
              <w:pStyle w:val="yTableNAm"/>
            </w:pPr>
            <w:r>
              <w:t>Inspection of register</w:t>
            </w:r>
          </w:p>
        </w:tc>
        <w:tc>
          <w:tcPr>
            <w:tcW w:w="1417" w:type="dxa"/>
          </w:tcPr>
          <w:p>
            <w:pPr>
              <w:pStyle w:val="yTableNAm"/>
            </w:pPr>
            <w:r>
              <w:t>s. 52(1)</w:t>
            </w:r>
          </w:p>
        </w:tc>
        <w:tc>
          <w:tcPr>
            <w:tcW w:w="1275" w:type="dxa"/>
          </w:tcPr>
          <w:p>
            <w:pPr>
              <w:pStyle w:val="yTableNAm"/>
            </w:pPr>
            <w:r>
              <w:t>20.00</w:t>
            </w:r>
          </w:p>
        </w:tc>
      </w:tr>
      <w:tr>
        <w:tc>
          <w:tcPr>
            <w:tcW w:w="709" w:type="dxa"/>
          </w:tcPr>
          <w:p>
            <w:pPr>
              <w:pStyle w:val="yTableNAm"/>
            </w:pPr>
            <w:r>
              <w:t>9.</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75" w:type="dxa"/>
          </w:tcPr>
          <w:p>
            <w:pPr>
              <w:pStyle w:val="yTableNAm"/>
            </w:pPr>
            <w:r>
              <w:br/>
            </w:r>
            <w:r>
              <w:br/>
            </w:r>
            <w:r>
              <w:br/>
              <w:t>3.50</w:t>
            </w:r>
          </w:p>
        </w:tc>
      </w:tr>
      <w:tr>
        <w:tc>
          <w:tcPr>
            <w:tcW w:w="709" w:type="dxa"/>
          </w:tcPr>
          <w:p>
            <w:pPr>
              <w:pStyle w:val="yTableNAm"/>
            </w:pPr>
            <w:r>
              <w:t>10.</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75" w:type="dxa"/>
          </w:tcPr>
          <w:p>
            <w:pPr>
              <w:pStyle w:val="yTableNAm"/>
            </w:pPr>
            <w:r>
              <w:br/>
            </w:r>
            <w:r>
              <w:br/>
              <w:t>47.00</w:t>
            </w:r>
          </w:p>
        </w:tc>
      </w:tr>
    </w:tbl>
    <w:p>
      <w:pPr>
        <w:pStyle w:val="yFootnotesection"/>
      </w:pPr>
      <w:r>
        <w:tab/>
        <w:t>[Third Schedule inserted in Gazette 11 May 2010 p. 1823-4.]</w:t>
      </w:r>
    </w:p>
    <w:p>
      <w:pPr>
        <w:pStyle w:val="yScheduleHeading"/>
      </w:pPr>
      <w:bookmarkStart w:id="154" w:name="_Toc261269778"/>
      <w:r>
        <w:rPr>
          <w:rStyle w:val="CharSchNo"/>
        </w:rPr>
        <w:t>Fourth Schedule</w:t>
      </w:r>
      <w:bookmarkEnd w:id="149"/>
      <w:bookmarkEnd w:id="150"/>
      <w:bookmarkEnd w:id="151"/>
      <w:bookmarkEnd w:id="152"/>
      <w:bookmarkEnd w:id="153"/>
      <w:bookmarkEnd w:id="154"/>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55" w:name="_Toc233694390"/>
      <w:bookmarkStart w:id="156" w:name="_Toc253405545"/>
      <w:bookmarkStart w:id="157" w:name="_Toc253405603"/>
      <w:bookmarkStart w:id="158" w:name="_Toc261269779"/>
      <w:r>
        <w:t>Notes</w:t>
      </w:r>
      <w:bookmarkEnd w:id="155"/>
      <w:bookmarkEnd w:id="156"/>
      <w:bookmarkEnd w:id="157"/>
      <w:bookmarkEnd w:id="158"/>
    </w:p>
    <w:p>
      <w:pPr>
        <w:pStyle w:val="nSubsection"/>
      </w:pPr>
      <w:r>
        <w:rPr>
          <w:vertAlign w:val="superscript"/>
        </w:rPr>
        <w:t>1</w:t>
      </w:r>
      <w:r>
        <w:tab/>
        <w:t xml:space="preserve">This is a compilation of the </w:t>
      </w:r>
      <w:r>
        <w:rPr>
          <w:i/>
        </w:rPr>
        <w:t>Petroleum Pipelines Regulations 1970</w:t>
      </w:r>
      <w:r>
        <w:t xml:space="preserve"> and includes the amendments made by the other written laws referred to in the following table.</w:t>
      </w:r>
    </w:p>
    <w:p>
      <w:pPr>
        <w:pStyle w:val="nHeading3"/>
      </w:pPr>
      <w:bookmarkStart w:id="159" w:name="UpToHere"/>
      <w:bookmarkStart w:id="160" w:name="_Toc261269780"/>
      <w:r>
        <w:t>Compilation table</w:t>
      </w:r>
      <w:bookmarkEnd w:id="159"/>
      <w:bookmarkEnd w:id="16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113"/>
              <w:rPr>
                <w:b/>
                <w:sz w:val="19"/>
              </w:rPr>
            </w:pPr>
            <w:r>
              <w:rPr>
                <w:b/>
                <w:sz w:val="19"/>
              </w:rPr>
              <w:t>Gazettal</w:t>
            </w:r>
          </w:p>
        </w:tc>
        <w:tc>
          <w:tcPr>
            <w:tcW w:w="2693" w:type="dxa"/>
            <w:tcBorders>
              <w:top w:val="single" w:sz="8" w:space="0" w:color="auto"/>
              <w:bottom w:val="single" w:sz="8" w:space="0" w:color="auto"/>
            </w:tcBorders>
          </w:tcPr>
          <w:p>
            <w:pPr>
              <w:pStyle w:val="nTable"/>
              <w:spacing w:after="40"/>
              <w:ind w:left="113"/>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Petroleum Pipelines Regulations 1970</w:t>
            </w:r>
          </w:p>
        </w:tc>
        <w:tc>
          <w:tcPr>
            <w:tcW w:w="1276" w:type="dxa"/>
            <w:tcBorders>
              <w:top w:val="single" w:sz="8" w:space="0" w:color="auto"/>
            </w:tcBorders>
          </w:tcPr>
          <w:p>
            <w:pPr>
              <w:pStyle w:val="nTable"/>
              <w:spacing w:after="40"/>
              <w:ind w:left="113"/>
              <w:rPr>
                <w:sz w:val="19"/>
              </w:rPr>
            </w:pPr>
            <w:r>
              <w:rPr>
                <w:sz w:val="19"/>
              </w:rPr>
              <w:t>30 Jul 1970 p. 2242</w:t>
            </w:r>
            <w:r>
              <w:rPr>
                <w:sz w:val="19"/>
              </w:rPr>
              <w:noBreakHyphen/>
              <w:t>52</w:t>
            </w:r>
          </w:p>
        </w:tc>
        <w:tc>
          <w:tcPr>
            <w:tcW w:w="2693" w:type="dxa"/>
            <w:tcBorders>
              <w:top w:val="single" w:sz="8" w:space="0" w:color="auto"/>
            </w:tcBorders>
          </w:tcPr>
          <w:p>
            <w:pPr>
              <w:pStyle w:val="nTable"/>
              <w:spacing w:after="40"/>
              <w:ind w:left="113"/>
              <w:rPr>
                <w:sz w:val="19"/>
              </w:rPr>
            </w:pPr>
            <w:r>
              <w:rPr>
                <w:sz w:val="19"/>
              </w:rPr>
              <w:t>30 Jul 1970</w:t>
            </w:r>
          </w:p>
        </w:tc>
      </w:tr>
      <w:tr>
        <w:trPr>
          <w:cantSplit/>
        </w:trPr>
        <w:tc>
          <w:tcPr>
            <w:tcW w:w="3119" w:type="dxa"/>
          </w:tcPr>
          <w:p>
            <w:pPr>
              <w:pStyle w:val="nTable"/>
              <w:spacing w:after="40"/>
              <w:ind w:right="113"/>
              <w:rPr>
                <w:i/>
                <w:sz w:val="19"/>
              </w:rPr>
            </w:pPr>
            <w:r>
              <w:rPr>
                <w:i/>
                <w:sz w:val="19"/>
              </w:rPr>
              <w:t>Petroleum Pipelines Amendment Regulations 1983</w:t>
            </w:r>
          </w:p>
        </w:tc>
        <w:tc>
          <w:tcPr>
            <w:tcW w:w="1276" w:type="dxa"/>
          </w:tcPr>
          <w:p>
            <w:pPr>
              <w:pStyle w:val="nTable"/>
              <w:spacing w:after="40"/>
              <w:ind w:left="113"/>
              <w:rPr>
                <w:sz w:val="19"/>
              </w:rPr>
            </w:pPr>
            <w:r>
              <w:rPr>
                <w:sz w:val="19"/>
              </w:rPr>
              <w:t>11 Nov 1983 p. 4543</w:t>
            </w:r>
          </w:p>
        </w:tc>
        <w:tc>
          <w:tcPr>
            <w:tcW w:w="2693" w:type="dxa"/>
          </w:tcPr>
          <w:p>
            <w:pPr>
              <w:pStyle w:val="nTable"/>
              <w:spacing w:after="40"/>
              <w:ind w:left="113"/>
              <w:rPr>
                <w:sz w:val="19"/>
              </w:rPr>
            </w:pPr>
            <w:r>
              <w:rPr>
                <w:sz w:val="19"/>
              </w:rPr>
              <w:t xml:space="preserve">11 Nov 1983 (see r. 2 and </w:t>
            </w:r>
            <w:r>
              <w:rPr>
                <w:i/>
                <w:sz w:val="19"/>
              </w:rPr>
              <w:t>Gazette</w:t>
            </w:r>
            <w:r>
              <w:rPr>
                <w:sz w:val="19"/>
              </w:rPr>
              <w:t xml:space="preserve"> 11 Nov 1983 p. 4503)</w:t>
            </w:r>
          </w:p>
        </w:tc>
      </w:tr>
      <w:tr>
        <w:trPr>
          <w:cantSplit/>
        </w:trPr>
        <w:tc>
          <w:tcPr>
            <w:tcW w:w="3119" w:type="dxa"/>
          </w:tcPr>
          <w:p>
            <w:pPr>
              <w:pStyle w:val="nTable"/>
              <w:spacing w:after="40"/>
              <w:ind w:right="113"/>
              <w:rPr>
                <w:sz w:val="19"/>
              </w:rPr>
            </w:pPr>
            <w:r>
              <w:rPr>
                <w:i/>
                <w:sz w:val="19"/>
              </w:rPr>
              <w:t>Petroleum Pipelines Amendment Regulations 1990</w:t>
            </w:r>
          </w:p>
        </w:tc>
        <w:tc>
          <w:tcPr>
            <w:tcW w:w="1276" w:type="dxa"/>
          </w:tcPr>
          <w:p>
            <w:pPr>
              <w:pStyle w:val="nTable"/>
              <w:spacing w:after="40"/>
              <w:ind w:left="113"/>
              <w:rPr>
                <w:sz w:val="19"/>
              </w:rPr>
            </w:pPr>
            <w:r>
              <w:rPr>
                <w:sz w:val="19"/>
              </w:rPr>
              <w:t>28 Sep 1990 p. 5103</w:t>
            </w:r>
            <w:r>
              <w:rPr>
                <w:sz w:val="19"/>
              </w:rPr>
              <w:noBreakHyphen/>
              <w:t>5</w:t>
            </w:r>
          </w:p>
        </w:tc>
        <w:tc>
          <w:tcPr>
            <w:tcW w:w="2693" w:type="dxa"/>
          </w:tcPr>
          <w:p>
            <w:pPr>
              <w:pStyle w:val="nTable"/>
              <w:spacing w:after="40"/>
              <w:ind w:left="113"/>
              <w:rPr>
                <w:sz w:val="19"/>
              </w:rPr>
            </w:pPr>
            <w:r>
              <w:rPr>
                <w:sz w:val="19"/>
              </w:rPr>
              <w:t xml:space="preserve">1 Oct 1990 (see r. 2 and </w:t>
            </w:r>
            <w:r>
              <w:rPr>
                <w:i/>
                <w:sz w:val="19"/>
              </w:rPr>
              <w:t>Gazette</w:t>
            </w:r>
            <w:r>
              <w:rPr>
                <w:sz w:val="19"/>
              </w:rPr>
              <w:t xml:space="preserve"> 28 Sep 1990 p. 5099)</w:t>
            </w:r>
          </w:p>
        </w:tc>
      </w:tr>
      <w:tr>
        <w:trPr>
          <w:cantSplit/>
        </w:trPr>
        <w:tc>
          <w:tcPr>
            <w:tcW w:w="3119" w:type="dxa"/>
          </w:tcPr>
          <w:p>
            <w:pPr>
              <w:pStyle w:val="nTable"/>
              <w:spacing w:after="40"/>
              <w:ind w:right="113"/>
              <w:rPr>
                <w:sz w:val="19"/>
              </w:rPr>
            </w:pPr>
            <w:r>
              <w:rPr>
                <w:i/>
                <w:sz w:val="19"/>
              </w:rPr>
              <w:t>Petroleum Pipelines Amendment Regulations 1993</w:t>
            </w:r>
          </w:p>
        </w:tc>
        <w:tc>
          <w:tcPr>
            <w:tcW w:w="1276" w:type="dxa"/>
          </w:tcPr>
          <w:p>
            <w:pPr>
              <w:pStyle w:val="nTable"/>
              <w:spacing w:after="40"/>
              <w:ind w:left="113"/>
              <w:rPr>
                <w:sz w:val="19"/>
              </w:rPr>
            </w:pPr>
            <w:r>
              <w:rPr>
                <w:sz w:val="19"/>
              </w:rPr>
              <w:t>24 Dec 1993 p. 6832</w:t>
            </w:r>
            <w:r>
              <w:rPr>
                <w:sz w:val="19"/>
              </w:rPr>
              <w:noBreakHyphen/>
              <w:t>3</w:t>
            </w:r>
          </w:p>
        </w:tc>
        <w:tc>
          <w:tcPr>
            <w:tcW w:w="2693" w:type="dxa"/>
          </w:tcPr>
          <w:p>
            <w:pPr>
              <w:pStyle w:val="nTable"/>
              <w:spacing w:after="40"/>
              <w:ind w:left="113"/>
              <w:rPr>
                <w:sz w:val="19"/>
              </w:rPr>
            </w:pPr>
            <w:r>
              <w:rPr>
                <w:sz w:val="19"/>
              </w:rPr>
              <w:t>24 Dec 1993</w:t>
            </w:r>
          </w:p>
        </w:tc>
      </w:tr>
      <w:tr>
        <w:trPr>
          <w:cantSplit/>
        </w:trPr>
        <w:tc>
          <w:tcPr>
            <w:tcW w:w="3119" w:type="dxa"/>
          </w:tcPr>
          <w:p>
            <w:pPr>
              <w:pStyle w:val="nTable"/>
              <w:spacing w:after="40"/>
              <w:ind w:right="113"/>
              <w:rPr>
                <w:sz w:val="19"/>
              </w:rPr>
            </w:pPr>
            <w:r>
              <w:rPr>
                <w:i/>
                <w:sz w:val="19"/>
              </w:rPr>
              <w:t>Petroleum Pipelines Amendment Regulations 1994</w:t>
            </w:r>
          </w:p>
        </w:tc>
        <w:tc>
          <w:tcPr>
            <w:tcW w:w="1276" w:type="dxa"/>
          </w:tcPr>
          <w:p>
            <w:pPr>
              <w:pStyle w:val="nTable"/>
              <w:spacing w:after="40"/>
              <w:ind w:left="113"/>
              <w:rPr>
                <w:sz w:val="19"/>
              </w:rPr>
            </w:pPr>
            <w:r>
              <w:rPr>
                <w:sz w:val="19"/>
              </w:rPr>
              <w:t>22 Jul 1994 p. 3780</w:t>
            </w:r>
          </w:p>
        </w:tc>
        <w:tc>
          <w:tcPr>
            <w:tcW w:w="2693" w:type="dxa"/>
          </w:tcPr>
          <w:p>
            <w:pPr>
              <w:pStyle w:val="nTable"/>
              <w:spacing w:after="40"/>
              <w:ind w:left="113"/>
              <w:rPr>
                <w:sz w:val="19"/>
              </w:rPr>
            </w:pPr>
            <w:r>
              <w:rPr>
                <w:sz w:val="19"/>
              </w:rPr>
              <w:t xml:space="preserve">22 Jul 1994 (see r. 2 and </w:t>
            </w:r>
            <w:r>
              <w:rPr>
                <w:i/>
                <w:sz w:val="19"/>
              </w:rPr>
              <w:t>Gazette</w:t>
            </w:r>
            <w:r>
              <w:rPr>
                <w:sz w:val="19"/>
              </w:rPr>
              <w:t xml:space="preserve"> 22 Jul 1994 p. 3728)</w:t>
            </w:r>
          </w:p>
        </w:tc>
      </w:tr>
      <w:tr>
        <w:trPr>
          <w:cantSplit/>
        </w:trPr>
        <w:tc>
          <w:tcPr>
            <w:tcW w:w="3119" w:type="dxa"/>
          </w:tcPr>
          <w:p>
            <w:pPr>
              <w:pStyle w:val="nTable"/>
              <w:spacing w:after="40"/>
              <w:ind w:right="113"/>
              <w:rPr>
                <w:i/>
                <w:sz w:val="19"/>
              </w:rPr>
            </w:pPr>
            <w:r>
              <w:rPr>
                <w:i/>
                <w:sz w:val="19"/>
              </w:rPr>
              <w:t>Petroleum Pipelines Amendment Regulations 2000</w:t>
            </w:r>
          </w:p>
        </w:tc>
        <w:tc>
          <w:tcPr>
            <w:tcW w:w="1276" w:type="dxa"/>
          </w:tcPr>
          <w:p>
            <w:pPr>
              <w:pStyle w:val="nTable"/>
              <w:spacing w:after="40"/>
              <w:ind w:left="113"/>
              <w:rPr>
                <w:sz w:val="19"/>
              </w:rPr>
            </w:pPr>
            <w:r>
              <w:rPr>
                <w:sz w:val="19"/>
              </w:rPr>
              <w:t>8 Feb 2000 p. 455</w:t>
            </w:r>
            <w:r>
              <w:rPr>
                <w:sz w:val="19"/>
              </w:rPr>
              <w:noBreakHyphen/>
              <w:t>6</w:t>
            </w:r>
          </w:p>
        </w:tc>
        <w:tc>
          <w:tcPr>
            <w:tcW w:w="2693" w:type="dxa"/>
          </w:tcPr>
          <w:p>
            <w:pPr>
              <w:pStyle w:val="nTable"/>
              <w:spacing w:after="40"/>
              <w:ind w:left="113"/>
              <w:rPr>
                <w:sz w:val="19"/>
              </w:rPr>
            </w:pPr>
            <w:r>
              <w:rPr>
                <w:sz w:val="19"/>
              </w:rPr>
              <w:t>8 Feb 2000</w:t>
            </w:r>
          </w:p>
        </w:tc>
      </w:tr>
      <w:tr>
        <w:trPr>
          <w:cantSplit/>
        </w:trPr>
        <w:tc>
          <w:tcPr>
            <w:tcW w:w="3119" w:type="dxa"/>
          </w:tcPr>
          <w:p>
            <w:pPr>
              <w:pStyle w:val="nTable"/>
              <w:spacing w:after="40"/>
              <w:ind w:right="113"/>
              <w:rPr>
                <w:i/>
                <w:sz w:val="19"/>
              </w:rPr>
            </w:pPr>
            <w:r>
              <w:rPr>
                <w:i/>
                <w:sz w:val="19"/>
              </w:rPr>
              <w:t>Petroleum Pipelines Amendment Regulations (No. 2) 2000</w:t>
            </w:r>
          </w:p>
        </w:tc>
        <w:tc>
          <w:tcPr>
            <w:tcW w:w="1276" w:type="dxa"/>
          </w:tcPr>
          <w:p>
            <w:pPr>
              <w:pStyle w:val="nTable"/>
              <w:spacing w:after="40"/>
              <w:ind w:left="113"/>
              <w:rPr>
                <w:sz w:val="19"/>
              </w:rPr>
            </w:pPr>
            <w:r>
              <w:rPr>
                <w:sz w:val="19"/>
              </w:rPr>
              <w:t xml:space="preserve">27 Jun 2000 </w:t>
            </w:r>
            <w:r>
              <w:rPr>
                <w:sz w:val="19"/>
              </w:rPr>
              <w:br/>
              <w:t>p. 3251</w:t>
            </w:r>
          </w:p>
        </w:tc>
        <w:tc>
          <w:tcPr>
            <w:tcW w:w="2693" w:type="dxa"/>
          </w:tcPr>
          <w:p>
            <w:pPr>
              <w:pStyle w:val="nTable"/>
              <w:spacing w:after="40"/>
              <w:ind w:left="113"/>
              <w:rPr>
                <w:sz w:val="19"/>
              </w:rPr>
            </w:pPr>
            <w:r>
              <w:rPr>
                <w:sz w:val="19"/>
              </w:rPr>
              <w:t>1 Jul 2000 (see r. 2)</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Petroleum Pipelines Amendment Regulations 2002</w:t>
            </w:r>
          </w:p>
        </w:tc>
        <w:tc>
          <w:tcPr>
            <w:tcW w:w="1276" w:type="dxa"/>
          </w:tcPr>
          <w:p>
            <w:pPr>
              <w:pStyle w:val="nTable"/>
              <w:spacing w:after="40"/>
              <w:ind w:left="113"/>
              <w:rPr>
                <w:sz w:val="19"/>
              </w:rPr>
            </w:pPr>
            <w:r>
              <w:rPr>
                <w:sz w:val="19"/>
              </w:rPr>
              <w:t>28 Jun 2002 p. 3095-6</w:t>
            </w:r>
          </w:p>
        </w:tc>
        <w:tc>
          <w:tcPr>
            <w:tcW w:w="2693" w:type="dxa"/>
          </w:tcPr>
          <w:p>
            <w:pPr>
              <w:pStyle w:val="nTable"/>
              <w:spacing w:after="40"/>
              <w:ind w:left="113"/>
              <w:rPr>
                <w:sz w:val="19"/>
              </w:rPr>
            </w:pPr>
            <w:r>
              <w:rPr>
                <w:sz w:val="19"/>
              </w:rPr>
              <w:t>1 Jul 2002 (see r. 2)</w:t>
            </w:r>
          </w:p>
        </w:tc>
      </w:tr>
      <w:tr>
        <w:trPr>
          <w:cantSplit/>
        </w:trPr>
        <w:tc>
          <w:tcPr>
            <w:tcW w:w="3119" w:type="dxa"/>
          </w:tcPr>
          <w:p>
            <w:pPr>
              <w:pStyle w:val="nTable"/>
              <w:spacing w:after="40"/>
              <w:ind w:right="113"/>
              <w:rPr>
                <w:i/>
                <w:sz w:val="19"/>
              </w:rPr>
            </w:pPr>
            <w:r>
              <w:rPr>
                <w:i/>
                <w:sz w:val="19"/>
              </w:rPr>
              <w:t>Petroleum Pipelines Amendment Regulations 2003</w:t>
            </w:r>
          </w:p>
        </w:tc>
        <w:tc>
          <w:tcPr>
            <w:tcW w:w="1276" w:type="dxa"/>
          </w:tcPr>
          <w:p>
            <w:pPr>
              <w:pStyle w:val="nTable"/>
              <w:spacing w:after="40"/>
              <w:ind w:left="113"/>
              <w:rPr>
                <w:sz w:val="19"/>
              </w:rPr>
            </w:pPr>
            <w:r>
              <w:rPr>
                <w:sz w:val="19"/>
              </w:rPr>
              <w:t>28 Feb 2003 p. 671-2</w:t>
            </w:r>
          </w:p>
        </w:tc>
        <w:tc>
          <w:tcPr>
            <w:tcW w:w="2693" w:type="dxa"/>
          </w:tcPr>
          <w:p>
            <w:pPr>
              <w:pStyle w:val="nTable"/>
              <w:spacing w:after="40"/>
              <w:ind w:left="113"/>
              <w:rPr>
                <w:sz w:val="19"/>
              </w:rPr>
            </w:pPr>
            <w:r>
              <w:rPr>
                <w:sz w:val="19"/>
              </w:rPr>
              <w:t>28 Feb 2003</w:t>
            </w:r>
          </w:p>
        </w:tc>
      </w:tr>
      <w:tr>
        <w:trPr>
          <w:cantSplit/>
        </w:trPr>
        <w:tc>
          <w:tcPr>
            <w:tcW w:w="3119" w:type="dxa"/>
          </w:tcPr>
          <w:p>
            <w:pPr>
              <w:pStyle w:val="nTable"/>
              <w:spacing w:after="40"/>
              <w:ind w:right="113"/>
              <w:rPr>
                <w:i/>
                <w:sz w:val="19"/>
              </w:rPr>
            </w:pPr>
            <w:r>
              <w:rPr>
                <w:i/>
                <w:sz w:val="19"/>
              </w:rPr>
              <w:t>Petroleum Pipelines Amendment Regulations (No. 2) 2009</w:t>
            </w:r>
          </w:p>
        </w:tc>
        <w:tc>
          <w:tcPr>
            <w:tcW w:w="1276" w:type="dxa"/>
          </w:tcPr>
          <w:p>
            <w:pPr>
              <w:pStyle w:val="nTable"/>
              <w:spacing w:after="40"/>
              <w:ind w:left="113"/>
              <w:rPr>
                <w:sz w:val="19"/>
              </w:rPr>
            </w:pPr>
            <w:r>
              <w:rPr>
                <w:sz w:val="19"/>
              </w:rPr>
              <w:t>23 Jun 2009 p. 2478-80</w:t>
            </w:r>
          </w:p>
        </w:tc>
        <w:tc>
          <w:tcPr>
            <w:tcW w:w="2693" w:type="dxa"/>
          </w:tcPr>
          <w:p>
            <w:pPr>
              <w:pStyle w:val="nTable"/>
              <w:spacing w:after="40"/>
              <w:ind w:left="113"/>
              <w:rPr>
                <w:sz w:val="19"/>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Petroleum Pipelines Amendment Regulations 2010</w:t>
            </w:r>
          </w:p>
        </w:tc>
        <w:tc>
          <w:tcPr>
            <w:tcW w:w="1276" w:type="dxa"/>
          </w:tcPr>
          <w:p>
            <w:pPr>
              <w:pStyle w:val="nTable"/>
              <w:spacing w:after="40"/>
              <w:ind w:left="113"/>
              <w:rPr>
                <w:sz w:val="19"/>
              </w:rPr>
            </w:pPr>
            <w:r>
              <w:rPr>
                <w:sz w:val="19"/>
              </w:rPr>
              <w:t>9 Feb 2010 p. 269</w:t>
            </w:r>
          </w:p>
        </w:tc>
        <w:tc>
          <w:tcPr>
            <w:tcW w:w="2693" w:type="dxa"/>
          </w:tcPr>
          <w:p>
            <w:pPr>
              <w:pStyle w:val="nTable"/>
              <w:spacing w:after="40"/>
              <w:ind w:left="113"/>
              <w:rPr>
                <w:snapToGrid w:val="0"/>
                <w:sz w:val="19"/>
                <w:lang w:val="en-US"/>
              </w:rPr>
            </w:pPr>
            <w:r>
              <w:rPr>
                <w:snapToGrid w:val="0"/>
                <w:sz w:val="19"/>
                <w:lang w:val="en-US"/>
              </w:rPr>
              <w:t>r. 1 and 2: 9 Feb 2010 (see r. 2(a));</w:t>
            </w:r>
            <w:r>
              <w:rPr>
                <w:snapToGrid w:val="0"/>
                <w:sz w:val="19"/>
                <w:lang w:val="en-US"/>
              </w:rPr>
              <w:br/>
              <w:t>Regulations other than r. 1 and 2: 10 Feb 2010 (see r. 2(b))</w:t>
            </w:r>
          </w:p>
        </w:tc>
      </w:tr>
      <w:tr>
        <w:trPr>
          <w:cantSplit/>
        </w:trPr>
        <w:tc>
          <w:tcPr>
            <w:tcW w:w="3118" w:type="dxa"/>
            <w:tcBorders>
              <w:bottom w:val="single" w:sz="8" w:space="0" w:color="auto"/>
            </w:tcBorders>
          </w:tcPr>
          <w:p>
            <w:pPr>
              <w:pStyle w:val="nTable"/>
              <w:spacing w:after="40"/>
              <w:ind w:right="113"/>
              <w:rPr>
                <w:i/>
                <w:sz w:val="19"/>
              </w:rPr>
            </w:pPr>
            <w:r>
              <w:rPr>
                <w:i/>
                <w:sz w:val="19"/>
              </w:rPr>
              <w:t>Petroleum Pipelines Amendment Regulations (No. 3) 2010</w:t>
            </w:r>
          </w:p>
        </w:tc>
        <w:tc>
          <w:tcPr>
            <w:tcW w:w="1276" w:type="dxa"/>
            <w:tcBorders>
              <w:bottom w:val="single" w:sz="8" w:space="0" w:color="auto"/>
            </w:tcBorders>
          </w:tcPr>
          <w:p>
            <w:pPr>
              <w:pStyle w:val="nTable"/>
              <w:spacing w:after="40"/>
              <w:ind w:left="113"/>
              <w:rPr>
                <w:sz w:val="19"/>
              </w:rPr>
            </w:pPr>
            <w:r>
              <w:rPr>
                <w:sz w:val="19"/>
              </w:rPr>
              <w:t>11 May 2010 p. 1823-4</w:t>
            </w:r>
          </w:p>
        </w:tc>
        <w:tc>
          <w:tcPr>
            <w:tcW w:w="2693" w:type="dxa"/>
            <w:tcBorders>
              <w:bottom w:val="single" w:sz="8" w:space="0" w:color="auto"/>
            </w:tcBorders>
          </w:tcPr>
          <w:p>
            <w:pPr>
              <w:pStyle w:val="nTable"/>
              <w:spacing w:after="40"/>
              <w:ind w:left="113"/>
              <w:rPr>
                <w:snapToGrid w:val="0"/>
                <w:sz w:val="19"/>
                <w:lang w:val="en-US"/>
              </w:rPr>
            </w:pPr>
            <w:r>
              <w:rPr>
                <w:snapToGrid w:val="0"/>
                <w:sz w:val="19"/>
                <w:lang w:val="en-US"/>
              </w:rPr>
              <w:t>r. 1 and 2: 11 May 2010 (see r. 2(a));</w:t>
            </w:r>
            <w:r>
              <w:rPr>
                <w:snapToGrid w:val="0"/>
                <w:sz w:val="19"/>
                <w:lang w:val="en-US"/>
              </w:rPr>
              <w:br/>
              <w:t>Regulations other than r. 1 and 2: 12 May 2010 (see r. 2(b))</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The </w:t>
      </w:r>
      <w:r>
        <w:rPr>
          <w:i/>
        </w:rPr>
        <w:t>Acts Amendment (Petroleum) Act 1990</w:t>
      </w:r>
      <w:r>
        <w:t xml:space="preserve"> was proclaimed on 1 Oct 1990 (see </w:t>
      </w:r>
      <w:r>
        <w:rPr>
          <w:i/>
        </w:rPr>
        <w:t>Gazette</w:t>
      </w:r>
      <w:r>
        <w:t xml:space="preserve"> 28 Sep 1990 p. 5099).</w:t>
      </w:r>
    </w:p>
    <w:p>
      <w:pPr>
        <w:pStyle w:val="nSubsection"/>
      </w:pPr>
      <w:r>
        <w:rPr>
          <w:vertAlign w:val="superscript"/>
        </w:rPr>
        <w:t>4</w:t>
      </w:r>
      <w:r>
        <w:tab/>
      </w:r>
      <w:r>
        <w:rPr>
          <w:i/>
        </w:rPr>
        <w:t>Petroleum Pipelines Act 1969</w:t>
      </w:r>
      <w:r>
        <w:t xml:space="preserve"> s. 32B and 32D repealed by </w:t>
      </w:r>
      <w:r>
        <w:rPr>
          <w:i/>
        </w:rPr>
        <w:t>Acts Amendment and Repeal (Native Title) Act 1995</w:t>
      </w:r>
      <w:r>
        <w:t xml:space="preserve"> s.44.</w:t>
      </w:r>
    </w:p>
    <w:p>
      <w:pPr>
        <w:pStyle w:val="nSubsection"/>
      </w:pPr>
      <w:r>
        <w:rPr>
          <w:vertAlign w:val="superscript"/>
        </w:rPr>
        <w:t>5</w:t>
      </w:r>
      <w:r>
        <w:tab/>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  At the time of this reprint the former Department of Mines is called the Department of Minerals and Energy and its administrative head is called the Director General.</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4697</Words>
  <Characters>23442</Characters>
  <Application>Microsoft Office Word</Application>
  <DocSecurity>0</DocSecurity>
  <Lines>732</Lines>
  <Paragraphs>401</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27738</CharactersWithSpaces>
  <SharedDoc>false</SharedDoc>
  <HLinks>
    <vt:vector size="6" baseType="variant">
      <vt:variant>
        <vt:i4>8061035</vt:i4>
      </vt:variant>
      <vt:variant>
        <vt:i4>23762</vt:i4>
      </vt:variant>
      <vt:variant>
        <vt:i4>1025</vt:i4>
      </vt:variant>
      <vt:variant>
        <vt:i4>1</vt:i4>
      </vt:variant>
      <vt:variant>
        <vt:lpwstr>petrol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1970 - 01-e0-01</dc:title>
  <dc:subject/>
  <dc:creator/>
  <cp:keywords/>
  <dc:description/>
  <cp:lastModifiedBy>svcMRProcess</cp:lastModifiedBy>
  <cp:revision>4</cp:revision>
  <cp:lastPrinted>2001-05-29T06:33:00Z</cp:lastPrinted>
  <dcterms:created xsi:type="dcterms:W3CDTF">2020-02-27T13:17:00Z</dcterms:created>
  <dcterms:modified xsi:type="dcterms:W3CDTF">2020-02-27T13:17:00Z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20100512</vt:lpwstr>
  </property>
  <property fmtid="{D5CDD505-2E9C-101B-9397-08002B2CF9AE}" pid="4" name="DocumentType">
    <vt:lpwstr>Reg</vt:lpwstr>
  </property>
  <property fmtid="{D5CDD505-2E9C-101B-9397-08002B2CF9AE}" pid="5" name="AsAtDate">
    <vt:lpwstr>12 May 2010</vt:lpwstr>
  </property>
  <property fmtid="{D5CDD505-2E9C-101B-9397-08002B2CF9AE}" pid="6" name="Suffix">
    <vt:lpwstr>01-e0-01</vt:lpwstr>
  </property>
  <property fmtid="{D5CDD505-2E9C-101B-9397-08002B2CF9AE}" pid="7" name="OwlsUID">
    <vt:i4>4688</vt:i4>
  </property>
</Properties>
</file>