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E" w:rsidRDefault="0052702E">
      <w:pPr>
        <w:pStyle w:val="WA"/>
      </w:pPr>
      <w:bookmarkStart w:id="0" w:name="_GoBack"/>
      <w:bookmarkEnd w:id="0"/>
      <w:r>
        <w:t>Western Australia</w:t>
      </w:r>
    </w:p>
    <w:p w:rsidR="00D20D2E" w:rsidRDefault="0052702E">
      <w:pPr>
        <w:pStyle w:val="PrincipalActReg"/>
        <w:spacing w:before="2600" w:after="0"/>
      </w:pPr>
      <w:r>
        <w:t>Sentence Administration Act 2003</w:t>
      </w:r>
    </w:p>
    <w:p w:rsidR="00D20D2E" w:rsidRDefault="0052702E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4047">
        <w:rPr>
          <w:noProof/>
        </w:rPr>
        <w:t>Sentence Administration (Community Corrections Centres) Notice 2008</w:t>
      </w:r>
      <w:r>
        <w:fldChar w:fldCharType="end"/>
      </w:r>
    </w:p>
    <w:p w:rsidR="00D20D2E" w:rsidRDefault="00D20D2E">
      <w:pPr>
        <w:jc w:val="center"/>
        <w:rPr>
          <w:b/>
        </w:rPr>
        <w:sectPr w:rsidR="00D20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20D2E" w:rsidRDefault="0052702E">
      <w:pPr>
        <w:pStyle w:val="WA"/>
      </w:pPr>
      <w:r>
        <w:lastRenderedPageBreak/>
        <w:t>Western Australia</w:t>
      </w:r>
    </w:p>
    <w:p w:rsidR="00D20D2E" w:rsidRDefault="0052702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4047">
        <w:rPr>
          <w:noProof/>
        </w:rPr>
        <w:t>Sentence Administration (Community Corrections Centres) Notice 2008</w:t>
      </w:r>
      <w:r>
        <w:fldChar w:fldCharType="end"/>
      </w:r>
    </w:p>
    <w:p w:rsidR="00D20D2E" w:rsidRDefault="0052702E">
      <w:pPr>
        <w:pStyle w:val="Arrangement"/>
      </w:pPr>
      <w:r>
        <w:t>CONTENTS</w:t>
      </w:r>
    </w:p>
    <w:p w:rsidR="00D20D2E" w:rsidRDefault="0052702E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_Toc261352605 \h </w:instrText>
      </w:r>
      <w:r>
        <w:fldChar w:fldCharType="separate"/>
      </w:r>
      <w:r w:rsidR="00F34047">
        <w:t>1</w:t>
      </w:r>
      <w:r>
        <w:fldChar w:fldCharType="end"/>
      </w:r>
    </w:p>
    <w:p w:rsidR="00D20D2E" w:rsidRDefault="0052702E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_Toc261352606 \h </w:instrText>
      </w:r>
      <w:r>
        <w:fldChar w:fldCharType="separate"/>
      </w:r>
      <w:r w:rsidR="00F34047">
        <w:t>1</w:t>
      </w:r>
      <w:r>
        <w:fldChar w:fldCharType="end"/>
      </w:r>
    </w:p>
    <w:p w:rsidR="00D20D2E" w:rsidRDefault="0052702E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i/>
          <w:szCs w:val="24"/>
        </w:rPr>
        <w:t>Sentence Administration (Community Corrections Centres) Order 2002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_Toc261352607 \h </w:instrText>
      </w:r>
      <w:r>
        <w:fldChar w:fldCharType="separate"/>
      </w:r>
      <w:r w:rsidR="00F34047">
        <w:t>12</w:t>
      </w:r>
      <w:r>
        <w:fldChar w:fldCharType="end"/>
      </w:r>
    </w:p>
    <w:p w:rsidR="00D20D2E" w:rsidRDefault="0052702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D20D2E" w:rsidRDefault="0052702E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_Toc261352609 \h </w:instrText>
      </w:r>
      <w:r>
        <w:fldChar w:fldCharType="separate"/>
      </w:r>
      <w:r w:rsidR="00F34047">
        <w:t>13</w:t>
      </w:r>
      <w:r>
        <w:fldChar w:fldCharType="end"/>
      </w:r>
    </w:p>
    <w:p w:rsidR="00D20D2E" w:rsidRDefault="0052702E">
      <w:pPr>
        <w:pStyle w:val="TOC8"/>
      </w:pPr>
      <w:r>
        <w:fldChar w:fldCharType="end"/>
      </w:r>
    </w:p>
    <w:p w:rsidR="00D20D2E" w:rsidRDefault="0052702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D20D2E" w:rsidRDefault="00D20D2E">
      <w:pPr>
        <w:pStyle w:val="NoteHeading"/>
        <w:sectPr w:rsidR="00D20D2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20D2E" w:rsidRDefault="0052702E">
      <w:pPr>
        <w:pStyle w:val="WA"/>
      </w:pPr>
      <w:r>
        <w:t>Western Australia</w:t>
      </w:r>
    </w:p>
    <w:p w:rsidR="00D20D2E" w:rsidRDefault="0052702E">
      <w:pPr>
        <w:pStyle w:val="PrincipalActReg"/>
      </w:pPr>
      <w:r>
        <w:t>Sentence Administration Act 2003</w:t>
      </w:r>
    </w:p>
    <w:p w:rsidR="00D20D2E" w:rsidRDefault="0052702E">
      <w:pPr>
        <w:pStyle w:val="NameofActReg"/>
      </w:pPr>
      <w:r>
        <w:t>Sentence Administration (Community Corrections Centres) Notice 2008</w:t>
      </w:r>
    </w:p>
    <w:p w:rsidR="00D20D2E" w:rsidRDefault="0052702E">
      <w:pPr>
        <w:pStyle w:val="Heading5"/>
      </w:pPr>
      <w:bookmarkStart w:id="1" w:name="_Toc26135260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D20D2E" w:rsidRDefault="0052702E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D20D2E" w:rsidRDefault="0052702E">
      <w:pPr>
        <w:pStyle w:val="Heading5"/>
      </w:pPr>
      <w:bookmarkStart w:id="2" w:name="_Toc26135260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D20D2E" w:rsidRDefault="0052702E"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 w:rsidR="00D20D2E" w:rsidRDefault="0052702E">
      <w:pPr>
        <w:pStyle w:val="THeadingNAm"/>
      </w:pPr>
      <w:r>
        <w:t>Table 1</w:t>
      </w:r>
    </w:p>
    <w:p w:rsidR="00D20D2E" w:rsidRDefault="0052702E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20D2E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39 Abernethy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Level 1, 8 Holdsworth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65 Grand Boulevard 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272 Pinjarra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Unit 1, 3-7 The Crescent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Ground Floor, 6 Ilkeston Place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3 Walcott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D20D2E" w:rsidRDefault="0052702E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D20D2E" w:rsidRDefault="0052702E">
            <w:pPr>
              <w:pStyle w:val="TableNAm"/>
            </w:pPr>
            <w:r>
              <w:t>Level 1, 68 Milligan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269 Albany Highway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Unit 1, 22 Dugdale Street</w:t>
            </w:r>
          </w:p>
        </w:tc>
      </w:tr>
    </w:tbl>
    <w:p w:rsidR="00D20D2E" w:rsidRDefault="0052702E">
      <w:pPr>
        <w:pStyle w:val="THeadingNAm"/>
      </w:pPr>
      <w:r>
        <w:t>Table 2</w:t>
      </w:r>
    </w:p>
    <w:p w:rsidR="00D20D2E" w:rsidRDefault="0052702E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20D2E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Cnr Frederick and Weld Streets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Level 2 and 3, 65 Wittenoom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Suite 11, Balmoral Square, 53 The Esplanade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45 Cathedral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Cnr Bridge Street and Duncan Highway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Suite 9, 35 Brookman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149 Clive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Cnr Savage and Spencer Streets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25 Fortune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McIver House, 297 Fitzgerald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Lot 26, Wellard Street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 w:rsidR="00D20D2E" w:rsidRDefault="0052702E">
      <w:pPr>
        <w:pStyle w:val="THeadingNAm"/>
      </w:pPr>
      <w:r>
        <w:t>Table 3</w:t>
      </w:r>
    </w:p>
    <w:p w:rsidR="00D20D2E" w:rsidRDefault="0052702E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20D2E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Collie Court House, Wittenoom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Coolgardie Telecentre, Bailey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West Kimberley House, Loch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152 High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Shire of Jerramungup, Vasey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Kambalda Telecentre, Emu Rocks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Kulin Police Station, Johnson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1/70 Attfield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Manjimup Court House, Mount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Marble Bar Court House, Station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5 Brockman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Pingelly Police Station, Queen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Pinjarra Police Station, 24 St Georges 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Tambellup Police Station, Owen Street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 w:rsidR="00D20D2E">
        <w:trPr>
          <w:cantSplit/>
        </w:trPr>
        <w:tc>
          <w:tcPr>
            <w:tcW w:w="2551" w:type="dxa"/>
          </w:tcPr>
          <w:p w:rsidR="00D20D2E" w:rsidRDefault="0052702E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D20D2E" w:rsidRDefault="0052702E"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DCP Building, Thompson Street</w:t>
            </w:r>
          </w:p>
        </w:tc>
      </w:tr>
    </w:tbl>
    <w:p w:rsidR="00D20D2E" w:rsidRDefault="0052702E">
      <w:pPr>
        <w:pStyle w:val="Footnotesection"/>
      </w:pPr>
      <w:r>
        <w:tab/>
        <w:t>[Table 3 inserted in Gazette 28 Jul 2009 p. 2977-8.]</w:t>
      </w:r>
    </w:p>
    <w:p w:rsidR="00D20D2E" w:rsidRDefault="0052702E">
      <w:pPr>
        <w:pStyle w:val="THeadingNAm"/>
      </w:pPr>
      <w:r>
        <w:t>Table 4</w:t>
      </w:r>
    </w:p>
    <w:p w:rsidR="00D20D2E" w:rsidRDefault="0052702E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D20D2E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>Demountable Buildings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>Office Buildings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>Office Buildings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</w:tcPr>
          <w:p w:rsidR="00D20D2E" w:rsidRDefault="0052702E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D20D2E" w:rsidRDefault="0052702E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20D2E" w:rsidRDefault="0052702E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20D2E" w:rsidRDefault="0052702E">
            <w:pPr>
              <w:pStyle w:val="TableNAm"/>
            </w:pPr>
            <w:r>
              <w:t xml:space="preserve">Office Buildings </w:t>
            </w:r>
          </w:p>
        </w:tc>
      </w:tr>
      <w:tr w:rsidR="00D20D2E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Office Buildings</w:t>
            </w:r>
          </w:p>
        </w:tc>
      </w:tr>
    </w:tbl>
    <w:p w:rsidR="00D20D2E" w:rsidRDefault="0052702E">
      <w:pPr>
        <w:pStyle w:val="THeadingNAm"/>
      </w:pPr>
      <w:r>
        <w:t>Table 5</w:t>
      </w:r>
    </w:p>
    <w:p w:rsidR="00D20D2E" w:rsidRDefault="0052702E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20D2E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Leedham Cameron House, Lot 17, 246 Lester Avenue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337/A &amp; 337/B Hannan Street</w:t>
            </w:r>
          </w:p>
        </w:tc>
      </w:tr>
    </w:tbl>
    <w:p w:rsidR="00D20D2E" w:rsidRDefault="0052702E">
      <w:pPr>
        <w:pStyle w:val="THeadingNAm"/>
      </w:pPr>
      <w:r>
        <w:t>Table 6</w:t>
      </w:r>
    </w:p>
    <w:p w:rsidR="00D20D2E" w:rsidRDefault="0052702E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20D2E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D2E" w:rsidRDefault="0052702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130 Hamersley Road</w:t>
            </w:r>
          </w:p>
        </w:tc>
      </w:tr>
      <w:tr w:rsidR="00D20D2E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D2E" w:rsidRDefault="0052702E">
            <w:pPr>
              <w:pStyle w:val="TableNAm"/>
            </w:pPr>
            <w:r>
              <w:t>32 Seabrook Way</w:t>
            </w:r>
          </w:p>
        </w:tc>
      </w:tr>
    </w:tbl>
    <w:p w:rsidR="00D20D2E" w:rsidRDefault="0052702E">
      <w:pPr>
        <w:pStyle w:val="Footnotesection"/>
      </w:pPr>
      <w:r>
        <w:tab/>
        <w:t>[Table 6 inserted in Gazette 28 Aug 2009 p. 3353; amended in Gazette 23 Oct 2009 p. 4160.]</w:t>
      </w:r>
    </w:p>
    <w:p w:rsidR="00D20D2E" w:rsidRDefault="0052702E">
      <w:pPr>
        <w:pStyle w:val="Heading5"/>
        <w:rPr>
          <w:i/>
        </w:rPr>
      </w:pPr>
      <w:bookmarkStart w:id="3" w:name="_Toc26135260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D20D2E" w:rsidRDefault="0052702E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D20D2E" w:rsidRDefault="00D20D2E">
      <w:pPr>
        <w:sectPr w:rsidR="00D20D2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20D2E" w:rsidRDefault="0052702E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20D2E" w:rsidRDefault="0052702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D20D2E" w:rsidRDefault="0052702E">
      <w:pPr>
        <w:pStyle w:val="nHeading3"/>
      </w:pPr>
      <w:bookmarkStart w:id="12" w:name="_Toc70311430"/>
      <w:bookmarkStart w:id="13" w:name="_Toc113695923"/>
      <w:bookmarkStart w:id="14" w:name="_Toc261352609"/>
      <w:r>
        <w:t>Compilation table</w:t>
      </w:r>
      <w:bookmarkEnd w:id="12"/>
      <w:bookmarkEnd w:id="13"/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20D2E">
        <w:trPr>
          <w:tblHeader/>
        </w:trPr>
        <w:tc>
          <w:tcPr>
            <w:tcW w:w="3118" w:type="dxa"/>
          </w:tcPr>
          <w:p w:rsidR="00D20D2E" w:rsidRDefault="0052702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D20D2E" w:rsidRDefault="0052702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D20D2E" w:rsidRDefault="0052702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20D2E">
        <w:tc>
          <w:tcPr>
            <w:tcW w:w="3118" w:type="dxa"/>
            <w:tcBorders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D20D2E">
        <w:tc>
          <w:tcPr>
            <w:tcW w:w="3118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D20D2E">
        <w:tc>
          <w:tcPr>
            <w:tcW w:w="3118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D20D2E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20D2E" w:rsidRDefault="0052702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20D2E" w:rsidRDefault="005270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  <w:bookmarkStart w:id="15" w:name="UpToHere"/>
            <w:bookmarkEnd w:id="15"/>
          </w:p>
        </w:tc>
      </w:tr>
    </w:tbl>
    <w:p w:rsidR="00D20D2E" w:rsidRDefault="00D20D2E"/>
    <w:p w:rsidR="00D20D2E" w:rsidRDefault="00D20D2E">
      <w:pPr>
        <w:sectPr w:rsidR="00D20D2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20D2E" w:rsidRDefault="00D20D2E"/>
    <w:sectPr w:rsidR="00D20D2E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2E" w:rsidRDefault="0052702E">
      <w:r>
        <w:separator/>
      </w:r>
    </w:p>
  </w:endnote>
  <w:endnote w:type="continuationSeparator" w:id="0">
    <w:p w:rsidR="00D20D2E" w:rsidRDefault="005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3404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4047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4047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Footer"/>
      <w:tabs>
        <w:tab w:val="clear" w:pos="4153"/>
        <w:tab w:val="right" w:pos="7088"/>
      </w:tabs>
      <w:rPr>
        <w:rStyle w:val="PageNumber"/>
      </w:rPr>
    </w:pPr>
  </w:p>
  <w:p w:rsidR="00D20D2E" w:rsidRDefault="005270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24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4047">
      <w:rPr>
        <w:rFonts w:ascii="Arial" w:hAnsi="Arial" w:cs="Arial"/>
        <w:sz w:val="20"/>
        <w:lang w:val="en-US"/>
      </w:rPr>
      <w:t>00-d0-01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404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20D2E" w:rsidRDefault="005270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2E" w:rsidRDefault="0052702E">
      <w:r>
        <w:separator/>
      </w:r>
    </w:p>
  </w:footnote>
  <w:footnote w:type="continuationSeparator" w:id="0">
    <w:p w:rsidR="00D20D2E" w:rsidRDefault="0052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52702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4047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D20D2E" w:rsidRDefault="0052702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20D2E" w:rsidRDefault="0052702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20D2E" w:rsidRDefault="00D20D2E">
    <w:pPr>
      <w:pStyle w:val="headerpart"/>
    </w:pPr>
  </w:p>
  <w:p w:rsidR="00D20D2E" w:rsidRDefault="00D20D2E">
    <w:pPr>
      <w:pBdr>
        <w:bottom w:val="single" w:sz="6" w:space="1" w:color="auto"/>
      </w:pBdr>
      <w:rPr>
        <w:b/>
      </w:rPr>
    </w:pPr>
  </w:p>
  <w:p w:rsidR="00D20D2E" w:rsidRDefault="00D20D2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Right"/>
            <w:ind w:right="17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5715" w:type="dxa"/>
        </w:tcPr>
        <w:p w:rsidR="00D20D2E" w:rsidRDefault="00D20D2E">
          <w:pPr>
            <w:pStyle w:val="HeaderTextRight"/>
          </w:pPr>
        </w:p>
      </w:tc>
      <w:tc>
        <w:tcPr>
          <w:tcW w:w="1548" w:type="dxa"/>
        </w:tcPr>
        <w:p w:rsidR="00D20D2E" w:rsidRDefault="00D20D2E">
          <w:pPr>
            <w:pStyle w:val="HeaderNumberRight"/>
            <w:ind w:right="17"/>
          </w:pPr>
        </w:p>
      </w:tc>
    </w:tr>
    <w:tr w:rsidR="00D20D2E">
      <w:tc>
        <w:tcPr>
          <w:tcW w:w="5715" w:type="dxa"/>
        </w:tcPr>
        <w:p w:rsidR="00D20D2E" w:rsidRDefault="00D20D2E">
          <w:pPr>
            <w:pStyle w:val="HeaderTextRight"/>
          </w:pPr>
        </w:p>
      </w:tc>
      <w:tc>
        <w:tcPr>
          <w:tcW w:w="1548" w:type="dxa"/>
        </w:tcPr>
        <w:p w:rsidR="00D20D2E" w:rsidRDefault="00D20D2E">
          <w:pPr>
            <w:pStyle w:val="HeaderNumberRight"/>
            <w:ind w:right="17"/>
          </w:pP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D20D2E">
          <w:pPr>
            <w:pStyle w:val="HeaderSectionRight"/>
            <w:ind w:right="17"/>
          </w:pPr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20D2E">
      <w:trPr>
        <w:cantSplit/>
      </w:trPr>
      <w:tc>
        <w:tcPr>
          <w:tcW w:w="7312" w:type="dxa"/>
          <w:gridSpan w:val="2"/>
        </w:tcPr>
        <w:p w:rsidR="00D20D2E" w:rsidRDefault="0052702E">
          <w:pPr>
            <w:pStyle w:val="HeaderActNameLeft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64" w:type="dxa"/>
        </w:tcPr>
        <w:p w:rsidR="00D20D2E" w:rsidRDefault="00D20D2E">
          <w:pPr>
            <w:pStyle w:val="HeaderTextLeft"/>
          </w:pPr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64" w:type="dxa"/>
        </w:tcPr>
        <w:p w:rsidR="00D20D2E" w:rsidRDefault="00D20D2E">
          <w:pPr>
            <w:pStyle w:val="HeaderTextLeft"/>
          </w:pPr>
        </w:p>
      </w:tc>
    </w:tr>
    <w:tr w:rsidR="00D20D2E">
      <w:trPr>
        <w:cantSplit/>
      </w:trPr>
      <w:tc>
        <w:tcPr>
          <w:tcW w:w="7312" w:type="dxa"/>
          <w:gridSpan w:val="2"/>
        </w:tcPr>
        <w:p w:rsidR="00D20D2E" w:rsidRDefault="00D20D2E">
          <w:pPr>
            <w:pStyle w:val="HeaderSectionLeft"/>
          </w:pPr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Left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15" w:type="dxa"/>
        </w:tcPr>
        <w:p w:rsidR="00D20D2E" w:rsidRDefault="00D20D2E">
          <w:pPr>
            <w:pStyle w:val="HeaderTextLeft"/>
          </w:pPr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15" w:type="dxa"/>
        </w:tcPr>
        <w:p w:rsidR="00D20D2E" w:rsidRDefault="00D20D2E">
          <w:pPr>
            <w:pStyle w:val="HeaderTextLeft"/>
          </w:pP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Right"/>
            <w:ind w:right="17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5715" w:type="dxa"/>
        </w:tcPr>
        <w:p w:rsidR="00D20D2E" w:rsidRDefault="00D20D2E">
          <w:pPr>
            <w:pStyle w:val="HeaderTextRight"/>
          </w:pPr>
        </w:p>
      </w:tc>
      <w:tc>
        <w:tcPr>
          <w:tcW w:w="1548" w:type="dxa"/>
        </w:tcPr>
        <w:p w:rsidR="00D20D2E" w:rsidRDefault="00D20D2E">
          <w:pPr>
            <w:pStyle w:val="HeaderNumberRight"/>
            <w:ind w:right="17"/>
          </w:pPr>
        </w:p>
      </w:tc>
    </w:tr>
    <w:tr w:rsidR="00D20D2E">
      <w:tc>
        <w:tcPr>
          <w:tcW w:w="5715" w:type="dxa"/>
        </w:tcPr>
        <w:p w:rsidR="00D20D2E" w:rsidRDefault="00D20D2E">
          <w:pPr>
            <w:pStyle w:val="HeaderTextRight"/>
          </w:pPr>
        </w:p>
      </w:tc>
      <w:tc>
        <w:tcPr>
          <w:tcW w:w="1548" w:type="dxa"/>
        </w:tcPr>
        <w:p w:rsidR="00D20D2E" w:rsidRDefault="00D20D2E">
          <w:pPr>
            <w:pStyle w:val="HeaderNumberRight"/>
            <w:ind w:right="17"/>
          </w:pP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Left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1548" w:type="dxa"/>
        </w:tcPr>
        <w:p w:rsidR="00D20D2E" w:rsidRDefault="0052702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20D2E" w:rsidRDefault="0052702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20D2E">
      <w:tc>
        <w:tcPr>
          <w:tcW w:w="1548" w:type="dxa"/>
        </w:tcPr>
        <w:p w:rsidR="00D20D2E" w:rsidRDefault="0052702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20D2E" w:rsidRDefault="0052702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SectionLeft"/>
          </w:pPr>
          <w:r>
            <w:t xml:space="preserve">cl. </w:t>
          </w:r>
          <w:fldSimple w:instr=" styleref CharSectno ">
            <w:r w:rsidR="00F34047">
              <w:rPr>
                <w:noProof/>
              </w:rPr>
              <w:t>1</w:t>
            </w:r>
          </w:fldSimple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Right"/>
            <w:ind w:right="17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5715" w:type="dxa"/>
        </w:tcPr>
        <w:p w:rsidR="00D20D2E" w:rsidRDefault="0052702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20D2E" w:rsidRDefault="0052702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20D2E">
      <w:tc>
        <w:tcPr>
          <w:tcW w:w="5715" w:type="dxa"/>
        </w:tcPr>
        <w:p w:rsidR="00D20D2E" w:rsidRDefault="0052702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20D2E" w:rsidRDefault="0052702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F34047">
              <w:rPr>
                <w:noProof/>
              </w:rPr>
              <w:t>1</w:t>
            </w:r>
          </w:fldSimple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E" w:rsidRDefault="00D20D2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20D2E">
      <w:trPr>
        <w:cantSplit/>
      </w:trPr>
      <w:tc>
        <w:tcPr>
          <w:tcW w:w="7258" w:type="dxa"/>
          <w:gridSpan w:val="2"/>
        </w:tcPr>
        <w:p w:rsidR="00D20D2E" w:rsidRDefault="0052702E">
          <w:pPr>
            <w:pStyle w:val="HeaderActNameLeft"/>
          </w:pPr>
          <w:fldSimple w:instr=" Styleref &quot;Name of Act/Reg&quot; ">
            <w:r w:rsidR="00F34047">
              <w:rPr>
                <w:noProof/>
              </w:rPr>
              <w:t>Sentence Administration (Community Corrections Centres) Notice 2008</w:t>
            </w:r>
          </w:fldSimple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15" w:type="dxa"/>
        </w:tcPr>
        <w:p w:rsidR="00D20D2E" w:rsidRDefault="00D20D2E">
          <w:pPr>
            <w:pStyle w:val="HeaderTextLeft"/>
          </w:pPr>
        </w:p>
      </w:tc>
    </w:tr>
    <w:tr w:rsidR="00D20D2E">
      <w:tc>
        <w:tcPr>
          <w:tcW w:w="1548" w:type="dxa"/>
        </w:tcPr>
        <w:p w:rsidR="00D20D2E" w:rsidRDefault="00D20D2E">
          <w:pPr>
            <w:pStyle w:val="HeaderNumberLeft"/>
          </w:pPr>
        </w:p>
      </w:tc>
      <w:tc>
        <w:tcPr>
          <w:tcW w:w="5715" w:type="dxa"/>
        </w:tcPr>
        <w:p w:rsidR="00D20D2E" w:rsidRDefault="00D20D2E">
          <w:pPr>
            <w:pStyle w:val="HeaderTextLeft"/>
          </w:pPr>
        </w:p>
      </w:tc>
    </w:tr>
    <w:tr w:rsidR="00D20D2E">
      <w:trPr>
        <w:cantSplit/>
      </w:trPr>
      <w:tc>
        <w:tcPr>
          <w:tcW w:w="7258" w:type="dxa"/>
          <w:gridSpan w:val="2"/>
        </w:tcPr>
        <w:p w:rsidR="00D20D2E" w:rsidRDefault="00D20D2E">
          <w:pPr>
            <w:pStyle w:val="HeaderSectionRight"/>
            <w:ind w:right="17"/>
            <w:jc w:val="left"/>
          </w:pPr>
        </w:p>
      </w:tc>
    </w:tr>
  </w:tbl>
  <w:p w:rsidR="00D20D2E" w:rsidRDefault="00D20D2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E"/>
    <w:rsid w:val="00015F8B"/>
    <w:rsid w:val="0052702E"/>
    <w:rsid w:val="005F75B6"/>
    <w:rsid w:val="00D20D2E"/>
    <w:rsid w:val="00F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1534</Words>
  <Characters>9743</Characters>
  <Application>Microsoft Office Word</Application>
  <DocSecurity>0</DocSecurity>
  <Lines>811</Lines>
  <Paragraphs>663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2008 - 00-d0-01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2013-02-18T11:17:00Z</dcterms:created>
  <dcterms:modified xsi:type="dcterms:W3CDTF">2013-02-18T11:17:00Z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20091024</vt:lpwstr>
  </property>
  <property fmtid="{D5CDD505-2E9C-101B-9397-08002B2CF9AE}" pid="4" name="DocumentType">
    <vt:lpwstr>Reg</vt:lpwstr>
  </property>
  <property fmtid="{D5CDD505-2E9C-101B-9397-08002B2CF9AE}" pid="5" name="AsAtDate">
    <vt:lpwstr>24 Oct 2009</vt:lpwstr>
  </property>
  <property fmtid="{D5CDD505-2E9C-101B-9397-08002B2CF9AE}" pid="6" name="Suffix">
    <vt:lpwstr>00-d0-01</vt:lpwstr>
  </property>
  <property fmtid="{D5CDD505-2E9C-101B-9397-08002B2CF9AE}" pid="7" name="OwlsUID">
    <vt:i4>38525</vt:i4>
  </property>
</Properties>
</file>