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 Standardisation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_Toc125264072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_Toc125264073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Approval of agreement</w:t>
      </w:r>
      <w:r>
        <w:rPr>
          <w:noProof/>
        </w:rPr>
        <w:tab/>
      </w:r>
      <w:r>
        <w:rPr>
          <w:noProof/>
        </w:rPr>
        <w:fldChar w:fldCharType="begin"/>
      </w:r>
      <w:r>
        <w:rPr>
          <w:noProof/>
        </w:rPr>
        <w:instrText xml:space="preserve"> PAGEREF _Toc125264074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Approval of amending agreement</w:t>
      </w:r>
      <w:r>
        <w:rPr>
          <w:noProof/>
        </w:rPr>
        <w:tab/>
      </w:r>
      <w:r>
        <w:rPr>
          <w:noProof/>
        </w:rPr>
        <w:fldChar w:fldCharType="begin"/>
      </w:r>
      <w:r>
        <w:rPr>
          <w:noProof/>
        </w:rPr>
        <w:instrText xml:space="preserve"> PAGEREF _Toc125264075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Appropriation</w:t>
      </w:r>
      <w:r>
        <w:rPr>
          <w:noProof/>
        </w:rPr>
        <w:tab/>
      </w:r>
      <w:r>
        <w:rPr>
          <w:noProof/>
        </w:rPr>
        <w:fldChar w:fldCharType="begin"/>
      </w:r>
      <w:r>
        <w:rPr>
          <w:noProof/>
        </w:rPr>
        <w:instrText xml:space="preserve"> PAGEREF _Toc125264076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The Schedules</w:t>
      </w:r>
      <w:r>
        <w:rPr>
          <w:noProof/>
        </w:rPr>
        <w:tab/>
      </w:r>
      <w:r>
        <w:rPr>
          <w:noProof/>
        </w:rPr>
        <w:fldChar w:fldCharType="begin"/>
      </w:r>
      <w:r>
        <w:rPr>
          <w:noProof/>
        </w:rPr>
        <w:instrText xml:space="preserve"> PAGEREF _Toc125264077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_Toc125264078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_Toc125264079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_Toc125264081 \h </w:instrText>
      </w:r>
      <w:r>
        <w:rPr>
          <w:noProof/>
        </w:rPr>
      </w:r>
      <w:r>
        <w:rPr>
          <w:noProof/>
        </w:rPr>
        <w:fldChar w:fldCharType="separate"/>
      </w:r>
      <w:r>
        <w:rPr>
          <w:noProof/>
        </w:rPr>
        <w:t>21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1" w:name="_Toc459175835"/>
      <w:bookmarkStart w:id="2" w:name="_Toc531407295"/>
      <w:bookmarkStart w:id="3" w:name="_Toc533217159"/>
      <w:bookmarkStart w:id="4" w:name="_Toc12526407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5" w:name="_Toc459175836"/>
      <w:bookmarkStart w:id="6" w:name="_Toc531407296"/>
      <w:bookmarkStart w:id="7" w:name="_Toc533217160"/>
      <w:bookmarkStart w:id="8" w:name="_Toc12526407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forth in the First Schedule;</w:t>
      </w:r>
    </w:p>
    <w:p>
      <w:pPr>
        <w:pStyle w:val="Defstart"/>
      </w:pPr>
      <w:r>
        <w:rPr>
          <w:b/>
        </w:rPr>
        <w:tab/>
        <w:t>“</w:t>
      </w:r>
      <w:r>
        <w:rPr>
          <w:rStyle w:val="CharDefText"/>
        </w:rPr>
        <w:t>the amending agreement</w:t>
      </w:r>
      <w:r>
        <w:rPr>
          <w:b/>
        </w:rPr>
        <w: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9" w:name="_Toc459175837"/>
      <w:bookmarkStart w:id="10" w:name="_Toc531407297"/>
      <w:bookmarkStart w:id="11" w:name="_Toc533217161"/>
      <w:bookmarkStart w:id="12" w:name="_Toc125264074"/>
      <w:r>
        <w:rPr>
          <w:rStyle w:val="CharSectno"/>
        </w:rPr>
        <w:t>3</w:t>
      </w:r>
      <w:r>
        <w:rPr>
          <w:snapToGrid w:val="0"/>
        </w:rPr>
        <w:t>.</w:t>
      </w:r>
      <w:r>
        <w:rPr>
          <w:snapToGrid w:val="0"/>
        </w:rPr>
        <w:tab/>
        <w:t>Approval of agreement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3" w:name="_Toc459175838"/>
      <w:bookmarkStart w:id="14" w:name="_Toc531407298"/>
      <w:bookmarkStart w:id="15" w:name="_Toc533217162"/>
      <w:bookmarkStart w:id="16" w:name="_Toc125264075"/>
      <w:r>
        <w:rPr>
          <w:rStyle w:val="CharSectno"/>
        </w:rPr>
        <w:t>3A</w:t>
      </w:r>
      <w:r>
        <w:rPr>
          <w:snapToGrid w:val="0"/>
        </w:rPr>
        <w:t>.</w:t>
      </w:r>
      <w:r>
        <w:rPr>
          <w:snapToGrid w:val="0"/>
        </w:rPr>
        <w:tab/>
        <w:t>Approval of amending agreement</w:t>
      </w:r>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17" w:name="_Toc459175839"/>
      <w:bookmarkStart w:id="18" w:name="_Toc531407299"/>
      <w:bookmarkStart w:id="19" w:name="_Toc533217163"/>
      <w:bookmarkStart w:id="20" w:name="_Toc125264076"/>
      <w:r>
        <w:rPr>
          <w:rStyle w:val="CharSectno"/>
        </w:rPr>
        <w:t>4</w:t>
      </w:r>
      <w:r>
        <w:rPr>
          <w:snapToGrid w:val="0"/>
        </w:rPr>
        <w:t>.</w:t>
      </w:r>
      <w:r>
        <w:rPr>
          <w:snapToGrid w:val="0"/>
        </w:rPr>
        <w:tab/>
        <w:t>Appropriation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Fund is, without other authorisation than this Act, hereby appropriated.</w:t>
      </w:r>
    </w:p>
    <w:p>
      <w:pPr>
        <w:pStyle w:val="Footnotesection"/>
      </w:pPr>
      <w:r>
        <w:tab/>
        <w:t xml:space="preserve">[Section 4 amended by No. 51 of 1971 s. 5; No. 6 of 1993 s. 11.]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1" w:name="_Toc531411017"/>
      <w:bookmarkStart w:id="22" w:name="_Toc533217164"/>
      <w:bookmarkStart w:id="23" w:name="_Toc125264077"/>
      <w:r>
        <w:t>The Schedules</w:t>
      </w:r>
      <w:bookmarkEnd w:id="21"/>
      <w:bookmarkEnd w:id="22"/>
      <w:bookmarkEnd w:id="23"/>
    </w:p>
    <w:p>
      <w:pPr>
        <w:pStyle w:val="yScheduleHeading"/>
        <w:pageBreakBefore w:val="0"/>
      </w:pPr>
      <w:bookmarkStart w:id="24" w:name="_Toc533217165"/>
      <w:bookmarkStart w:id="25" w:name="_Toc125264078"/>
      <w:r>
        <w:rPr>
          <w:rStyle w:val="CharSchNo"/>
        </w:rPr>
        <w:t>First Schedule</w:t>
      </w:r>
      <w:bookmarkEnd w:id="24"/>
      <w:bookmarkEnd w:id="25"/>
      <w:r>
        <w:rPr>
          <w:rStyle w:val="CharSchText"/>
        </w:rPr>
        <w:t xml:space="preserve"> </w:t>
      </w:r>
    </w:p>
    <w:p>
      <w:pPr>
        <w:pStyle w:val="yFootnoteheading"/>
        <w:rPr>
          <w:snapToGrid w:val="0"/>
        </w:rPr>
      </w:pPr>
      <w:r>
        <w:rPr>
          <w:snapToGrid w:val="0"/>
        </w:rPr>
        <w:tab/>
        <w:t>[Headings inserted by No. 51 of 1971 s. 5.]</w:t>
      </w:r>
    </w:p>
    <w:p>
      <w:pPr>
        <w:pStyle w:val="yShoulderClause"/>
        <w:rPr>
          <w:snapToGrid w:val="0"/>
        </w:rPr>
      </w:pPr>
      <w:r>
        <w:rPr>
          <w:snapToGrid w:val="0"/>
        </w:rPr>
        <w:t>[Section 2]</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w:t>
      </w:r>
      <w:r>
        <w:rPr>
          <w:rStyle w:val="CharDefText"/>
          <w:b w:val="0"/>
          <w:sz w:val="22"/>
        </w:rPr>
        <w:t>financial year</w:t>
      </w:r>
      <w:r>
        <w:rPr>
          <w:sz w:val="22"/>
        </w:rPr>
        <w:t>” means a period of twelve calendar months ending on the 30th day of June;</w:t>
      </w:r>
    </w:p>
    <w:p>
      <w:pPr>
        <w:pStyle w:val="MiscellaneousBody"/>
        <w:tabs>
          <w:tab w:val="left" w:pos="567"/>
        </w:tabs>
        <w:ind w:left="1134" w:hanging="1134"/>
        <w:rPr>
          <w:sz w:val="22"/>
        </w:rPr>
      </w:pPr>
      <w:r>
        <w:rPr>
          <w:sz w:val="22"/>
        </w:rPr>
        <w:tab/>
        <w:t>“</w:t>
      </w:r>
      <w:r>
        <w:rPr>
          <w:rStyle w:val="CharDefText"/>
          <w:b w:val="0"/>
          <w:sz w:val="22"/>
        </w:rPr>
        <w:t>narrow gauge</w:t>
      </w:r>
      <w:r>
        <w:rPr>
          <w:sz w:val="22"/>
        </w:rPr>
        <w:t>” means a gauge of three feet six inches;</w:t>
      </w:r>
    </w:p>
    <w:p>
      <w:pPr>
        <w:pStyle w:val="MiscellaneousBody"/>
        <w:tabs>
          <w:tab w:val="left" w:pos="567"/>
        </w:tabs>
        <w:ind w:left="1134" w:hanging="1134"/>
        <w:rPr>
          <w:sz w:val="22"/>
        </w:rPr>
      </w:pPr>
      <w:r>
        <w:rPr>
          <w:sz w:val="22"/>
        </w:rPr>
        <w:tab/>
        <w:t>“</w:t>
      </w:r>
      <w:r>
        <w:rPr>
          <w:rStyle w:val="CharDefText"/>
          <w:b w:val="0"/>
          <w:sz w:val="22"/>
        </w:rPr>
        <w:t>party</w:t>
      </w:r>
      <w:r>
        <w:rPr>
          <w:sz w:val="22"/>
        </w:rPr>
        <w:t>”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w:t>
      </w:r>
      <w:r>
        <w:t>standard gauge</w:t>
      </w:r>
      <w:r>
        <w:rPr>
          <w:sz w:val="22"/>
        </w:rPr>
        <w:t>”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26" w:name="endcomma"/>
      <w:bookmarkEnd w:id="26"/>
      <w:r>
        <w:rPr>
          <w:sz w:val="22"/>
        </w:rPr>
        <w:t xml:space="preserve">the work” </w:t>
      </w:r>
      <w:bookmarkStart w:id="27" w:name="comma"/>
      <w:bookmarkEnd w:id="27"/>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lang w:eastAsia="en-AU"/>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pPr>
    </w:p>
    <w:p>
      <w:pPr>
        <w:pStyle w:val="yFootnotesection"/>
      </w:pPr>
      <w:r>
        <w:tab/>
        <w:t>[First Schedule amended by No. 6 of 1993 s. 12.]</w:t>
      </w:r>
    </w:p>
    <w:p>
      <w:pPr>
        <w:pStyle w:val="yScheduleHeading"/>
      </w:pPr>
      <w:bookmarkStart w:id="28" w:name="_Toc533217166"/>
      <w:bookmarkStart w:id="29" w:name="_Toc125264079"/>
      <w:r>
        <w:rPr>
          <w:rStyle w:val="CharSchNo"/>
        </w:rPr>
        <w:t>Second Schedule</w:t>
      </w:r>
      <w:bookmarkEnd w:id="28"/>
      <w:bookmarkEnd w:id="29"/>
    </w:p>
    <w:p>
      <w:pPr>
        <w:pStyle w:val="yShoulderClause"/>
        <w:rPr>
          <w:snapToGrid w:val="0"/>
        </w:rPr>
      </w:pPr>
      <w:r>
        <w:rPr>
          <w:snapToGrid w:val="0"/>
        </w:rPr>
        <w:t>[S.2]</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0" w:name="_Toc125264080"/>
      <w:r>
        <w:t>Notes</w:t>
      </w:r>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Railway Standardisation Agreement Act 1961</w:t>
      </w:r>
      <w:r>
        <w:rPr>
          <w:snapToGrid w:val="0"/>
        </w:rPr>
        <w:t xml:space="preserve"> and includes the amendments made by the other written laws referred to in the following table.</w:t>
      </w:r>
    </w:p>
    <w:p>
      <w:pPr>
        <w:pStyle w:val="nHeading3"/>
        <w:rPr>
          <w:snapToGrid w:val="0"/>
        </w:rPr>
      </w:pPr>
      <w:bookmarkStart w:id="31" w:name="_Toc533217167"/>
      <w:bookmarkStart w:id="32" w:name="_Toc125264081"/>
      <w:r>
        <w:rPr>
          <w:snapToGrid w:val="0"/>
        </w:rPr>
        <w:t>Compilation table</w:t>
      </w:r>
      <w:bookmarkEnd w:id="31"/>
      <w:bookmarkEnd w:id="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4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4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Railway Standardisation Agreement Act 1961</w:t>
            </w:r>
          </w:p>
        </w:tc>
        <w:tc>
          <w:tcPr>
            <w:tcW w:w="1134" w:type="dxa"/>
          </w:tcPr>
          <w:p>
            <w:pPr>
              <w:pStyle w:val="nTable"/>
              <w:spacing w:before="120"/>
              <w:rPr>
                <w:sz w:val="19"/>
              </w:rPr>
            </w:pPr>
            <w:r>
              <w:rPr>
                <w:sz w:val="19"/>
              </w:rPr>
              <w:t>26 of 1961</w:t>
            </w:r>
          </w:p>
        </w:tc>
        <w:tc>
          <w:tcPr>
            <w:tcW w:w="1144" w:type="dxa"/>
          </w:tcPr>
          <w:p>
            <w:pPr>
              <w:pStyle w:val="nTable"/>
              <w:spacing w:before="120"/>
              <w:rPr>
                <w:sz w:val="19"/>
              </w:rPr>
            </w:pPr>
            <w:r>
              <w:rPr>
                <w:sz w:val="19"/>
              </w:rPr>
              <w:t>30 Oct 1961</w:t>
            </w:r>
          </w:p>
        </w:tc>
        <w:tc>
          <w:tcPr>
            <w:tcW w:w="2552" w:type="dxa"/>
          </w:tcPr>
          <w:p>
            <w:pPr>
              <w:pStyle w:val="nTable"/>
              <w:spacing w:before="120"/>
              <w:ind w:left="57"/>
              <w:rPr>
                <w:sz w:val="19"/>
              </w:rPr>
            </w:pPr>
            <w:r>
              <w:rPr>
                <w:sz w:val="19"/>
              </w:rPr>
              <w:t>30 Oct 1961</w:t>
            </w:r>
          </w:p>
        </w:tc>
      </w:tr>
      <w:tr>
        <w:trPr>
          <w:cantSplit/>
        </w:trPr>
        <w:tc>
          <w:tcPr>
            <w:tcW w:w="2268" w:type="dxa"/>
          </w:tcPr>
          <w:p>
            <w:pPr>
              <w:pStyle w:val="nTable"/>
              <w:spacing w:before="120"/>
              <w:ind w:right="113"/>
              <w:rPr>
                <w:i/>
                <w:sz w:val="19"/>
              </w:rPr>
            </w:pPr>
            <w:r>
              <w:rPr>
                <w:i/>
                <w:sz w:val="19"/>
              </w:rPr>
              <w:t>Railway Standardisation Agreement Act Amendment Act 1971</w:t>
            </w:r>
          </w:p>
        </w:tc>
        <w:tc>
          <w:tcPr>
            <w:tcW w:w="1134" w:type="dxa"/>
          </w:tcPr>
          <w:p>
            <w:pPr>
              <w:pStyle w:val="nTable"/>
              <w:spacing w:before="120"/>
              <w:rPr>
                <w:sz w:val="19"/>
              </w:rPr>
            </w:pPr>
            <w:r>
              <w:rPr>
                <w:sz w:val="19"/>
              </w:rPr>
              <w:t>51 of 1971</w:t>
            </w:r>
          </w:p>
        </w:tc>
        <w:tc>
          <w:tcPr>
            <w:tcW w:w="1144" w:type="dxa"/>
          </w:tcPr>
          <w:p>
            <w:pPr>
              <w:pStyle w:val="nTable"/>
              <w:spacing w:before="120"/>
              <w:rPr>
                <w:sz w:val="19"/>
              </w:rPr>
            </w:pPr>
            <w:r>
              <w:rPr>
                <w:sz w:val="19"/>
              </w:rPr>
              <w:t>10 Dec 1971</w:t>
            </w:r>
          </w:p>
        </w:tc>
        <w:tc>
          <w:tcPr>
            <w:tcW w:w="2552" w:type="dxa"/>
          </w:tcPr>
          <w:p>
            <w:pPr>
              <w:pStyle w:val="nTable"/>
              <w:spacing w:before="120"/>
              <w:ind w:left="57"/>
              <w:rPr>
                <w:sz w:val="19"/>
              </w:rPr>
            </w:pPr>
            <w:r>
              <w:rPr>
                <w:sz w:val="19"/>
              </w:rPr>
              <w:t>10 Dec 1971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 and 12</w:t>
            </w:r>
          </w:p>
        </w:tc>
        <w:tc>
          <w:tcPr>
            <w:tcW w:w="1134" w:type="dxa"/>
          </w:tcPr>
          <w:p>
            <w:pPr>
              <w:pStyle w:val="nTable"/>
              <w:spacing w:before="120"/>
              <w:rPr>
                <w:sz w:val="19"/>
              </w:rPr>
            </w:pPr>
            <w:r>
              <w:rPr>
                <w:sz w:val="19"/>
              </w:rPr>
              <w:t>6 of 1993</w:t>
            </w:r>
          </w:p>
        </w:tc>
        <w:tc>
          <w:tcPr>
            <w:tcW w:w="1144" w:type="dxa"/>
          </w:tcPr>
          <w:p>
            <w:pPr>
              <w:pStyle w:val="nTable"/>
              <w:spacing w:before="120"/>
              <w:rPr>
                <w:sz w:val="19"/>
              </w:rPr>
            </w:pPr>
            <w:r>
              <w:rPr>
                <w:sz w:val="19"/>
              </w:rPr>
              <w:t>27 Aug 1993</w:t>
            </w:r>
          </w:p>
        </w:tc>
        <w:tc>
          <w:tcPr>
            <w:tcW w:w="2552" w:type="dxa"/>
          </w:tcPr>
          <w:p>
            <w:pPr>
              <w:pStyle w:val="nTable"/>
              <w:spacing w:before="120"/>
              <w:ind w:left="57"/>
              <w:rPr>
                <w:sz w:val="19"/>
              </w:rPr>
            </w:pPr>
            <w:r>
              <w:rPr>
                <w:sz w:val="19"/>
              </w:rPr>
              <w:t>Deemed operative 1 Jul 1993 (see s. 2(1))</w:t>
            </w:r>
          </w:p>
        </w:tc>
      </w:tr>
      <w:tr>
        <w:trPr>
          <w:cantSplit/>
        </w:trPr>
        <w:tc>
          <w:tcPr>
            <w:tcW w:w="7098" w:type="dxa"/>
            <w:gridSpan w:val="4"/>
            <w:tcBorders>
              <w:bottom w:val="single" w:sz="4" w:space="0" w:color="auto"/>
            </w:tcBorders>
          </w:tcPr>
          <w:p>
            <w:pPr>
              <w:pStyle w:val="nTable"/>
              <w:spacing w:before="12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58" w:type="dxa"/>
          <w:gridSpan w:val="2"/>
        </w:tcPr>
        <w:p>
          <w:pPr>
            <w:pStyle w:val="HeaderActNameRight"/>
            <w:ind w:right="17"/>
          </w:pPr>
          <w:fldSimple w:instr=" Styleref &quot;Name of Act/Reg&quot; ">
            <w:r>
              <w:rPr>
                <w:noProof/>
              </w:rPr>
              <w:t>Railway Standardisation Agreement Act 1961</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r>
            <w:fldChar w:fldCharType="begin"/>
          </w:r>
          <w:r>
            <w:instrText xml:space="preserve"> STYLEREF CharSchText \* MERGEFORMAT </w:instrText>
          </w:r>
          <w:r>
            <w:fldChar w:fldCharType="end"/>
          </w:r>
        </w:p>
      </w:tc>
      <w:tc>
        <w:tcPr>
          <w:tcW w:w="184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Railway Standardisation Agreement Act 1961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FA51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42CB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1222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A25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1C24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D4C8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74B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870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765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D0CA54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E603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99EE6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5277</Words>
  <Characters>27389</Characters>
  <Application>Microsoft Office Word</Application>
  <DocSecurity>0</DocSecurity>
  <Lines>805</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1961 - 01-a0-05</dc:title>
  <dc:subject/>
  <dc:creator/>
  <cp:keywords/>
  <dc:description/>
  <cp:lastModifiedBy>svcMRProcess</cp:lastModifiedBy>
  <cp:revision>4</cp:revision>
  <cp:lastPrinted>2001-12-10T03:42:00Z</cp:lastPrinted>
  <dcterms:created xsi:type="dcterms:W3CDTF">2020-02-18T04:45:00Z</dcterms:created>
  <dcterms:modified xsi:type="dcterms:W3CDTF">2020-02-18T04:45:00Z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20011207</vt:lpwstr>
  </property>
  <property fmtid="{D5CDD505-2E9C-101B-9397-08002B2CF9AE}" pid="4" name="DocumentType">
    <vt:lpwstr>Act</vt:lpwstr>
  </property>
  <property fmtid="{D5CDD505-2E9C-101B-9397-08002B2CF9AE}" pid="5" name="AsAtDate">
    <vt:lpwstr>07 Dec 2001</vt:lpwstr>
  </property>
  <property fmtid="{D5CDD505-2E9C-101B-9397-08002B2CF9AE}" pid="6" name="Suffix">
    <vt:lpwstr>01-a0-05</vt:lpwstr>
  </property>
</Properties>
</file>