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Dangerous Goods Safety Act 2004</w:t>
      </w:r>
    </w:p>
    <w:p>
      <w:pPr>
        <w:pStyle w:val="NameofActRegPage1"/>
        <w:spacing w:before="1800" w:after="4200"/>
        <w:ind w:left="238" w:right="255"/>
      </w:pPr>
      <w:r>
        <w:fldChar w:fldCharType="begin"/>
      </w:r>
      <w:r>
        <w:instrText xml:space="preserve"> STYLEREF "Name Of Act/Reg"</w:instrText>
      </w:r>
      <w:r>
        <w:fldChar w:fldCharType="separate"/>
      </w:r>
      <w:r>
        <w:rPr>
          <w:noProof/>
        </w:rPr>
        <w:t>Dangerous Goods Safety (General)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Dangerous Goods Safety (General)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_Toc264887002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_Toc264887003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_Toc264887004 \h </w:instrText>
      </w:r>
      <w:r>
        <w:fldChar w:fldCharType="separate"/>
      </w:r>
      <w:r>
        <w:t>1</w:t>
      </w:r>
      <w:r>
        <w:fldChar w:fldCharType="end"/>
      </w:r>
    </w:p>
    <w:p>
      <w:pPr>
        <w:pStyle w:val="TOC2"/>
        <w:tabs>
          <w:tab w:val="right" w:leader="dot" w:pos="7086"/>
        </w:tabs>
        <w:rPr>
          <w:b w:val="0"/>
          <w:sz w:val="24"/>
          <w:szCs w:val="24"/>
        </w:rPr>
      </w:pPr>
      <w:r>
        <w:rPr>
          <w:szCs w:val="30"/>
        </w:rPr>
        <w:t>Part 2 — Matters for the Act Parts 1 and 2</w:t>
      </w:r>
    </w:p>
    <w:p>
      <w:pPr>
        <w:pStyle w:val="TOC8"/>
        <w:rPr>
          <w:sz w:val="24"/>
          <w:szCs w:val="24"/>
        </w:rPr>
      </w:pPr>
      <w:r>
        <w:rPr>
          <w:szCs w:val="24"/>
        </w:rPr>
        <w:t>4.</w:t>
      </w:r>
      <w:r>
        <w:rPr>
          <w:szCs w:val="24"/>
        </w:rPr>
        <w:tab/>
        <w:t>“Dangerous goods” prescribed (Act s. 3(1)(a))</w:t>
      </w:r>
      <w:r>
        <w:tab/>
      </w:r>
      <w:r>
        <w:fldChar w:fldCharType="begin"/>
      </w:r>
      <w:r>
        <w:instrText xml:space="preserve"> PAGEREF _Toc264887006 \h </w:instrText>
      </w:r>
      <w:r>
        <w:fldChar w:fldCharType="separate"/>
      </w:r>
      <w:r>
        <w:t>3</w:t>
      </w:r>
      <w:r>
        <w:fldChar w:fldCharType="end"/>
      </w:r>
    </w:p>
    <w:p>
      <w:pPr>
        <w:pStyle w:val="TOC8"/>
        <w:rPr>
          <w:sz w:val="24"/>
          <w:szCs w:val="24"/>
        </w:rPr>
      </w:pPr>
      <w:r>
        <w:rPr>
          <w:szCs w:val="24"/>
        </w:rPr>
        <w:t>5.</w:t>
      </w:r>
      <w:r>
        <w:rPr>
          <w:szCs w:val="24"/>
        </w:rPr>
        <w:tab/>
        <w:t>“Dangerous goods”, how Chief Officer determines (Act s. 3(1)(b))</w:t>
      </w:r>
      <w:r>
        <w:tab/>
      </w:r>
      <w:r>
        <w:fldChar w:fldCharType="begin"/>
      </w:r>
      <w:r>
        <w:instrText xml:space="preserve"> PAGEREF _Toc264887007 \h </w:instrText>
      </w:r>
      <w:r>
        <w:fldChar w:fldCharType="separate"/>
      </w:r>
      <w:r>
        <w:t>5</w:t>
      </w:r>
      <w:r>
        <w:fldChar w:fldCharType="end"/>
      </w:r>
    </w:p>
    <w:p>
      <w:pPr>
        <w:pStyle w:val="TOC8"/>
        <w:rPr>
          <w:sz w:val="24"/>
          <w:szCs w:val="24"/>
        </w:rPr>
      </w:pPr>
      <w:r>
        <w:rPr>
          <w:szCs w:val="24"/>
        </w:rPr>
        <w:t>6.</w:t>
      </w:r>
      <w:r>
        <w:rPr>
          <w:szCs w:val="24"/>
        </w:rPr>
        <w:tab/>
        <w:t>Goods too dangerous to transport (Act s. 16)</w:t>
      </w:r>
      <w:r>
        <w:tab/>
      </w:r>
      <w:r>
        <w:fldChar w:fldCharType="begin"/>
      </w:r>
      <w:r>
        <w:instrText xml:space="preserve"> PAGEREF _Toc264887008 \h </w:instrText>
      </w:r>
      <w:r>
        <w:fldChar w:fldCharType="separate"/>
      </w:r>
      <w:r>
        <w:t>5</w:t>
      </w:r>
      <w:r>
        <w:fldChar w:fldCharType="end"/>
      </w:r>
    </w:p>
    <w:p>
      <w:pPr>
        <w:pStyle w:val="TOC2"/>
        <w:tabs>
          <w:tab w:val="right" w:leader="dot" w:pos="7086"/>
        </w:tabs>
        <w:rPr>
          <w:b w:val="0"/>
          <w:sz w:val="24"/>
          <w:szCs w:val="24"/>
        </w:rPr>
      </w:pPr>
      <w:r>
        <w:rPr>
          <w:szCs w:val="30"/>
        </w:rPr>
        <w:t>Part 3 — Matters for the Act Part 4</w:t>
      </w:r>
    </w:p>
    <w:p>
      <w:pPr>
        <w:pStyle w:val="TOC8"/>
        <w:rPr>
          <w:sz w:val="24"/>
          <w:szCs w:val="24"/>
        </w:rPr>
      </w:pPr>
      <w:r>
        <w:rPr>
          <w:szCs w:val="24"/>
        </w:rPr>
        <w:t>7.</w:t>
      </w:r>
      <w:r>
        <w:rPr>
          <w:szCs w:val="24"/>
        </w:rPr>
        <w:tab/>
        <w:t>Applying for an exemption</w:t>
      </w:r>
      <w:r>
        <w:tab/>
      </w:r>
      <w:r>
        <w:fldChar w:fldCharType="begin"/>
      </w:r>
      <w:r>
        <w:instrText xml:space="preserve"> PAGEREF _Toc264887010 \h </w:instrText>
      </w:r>
      <w:r>
        <w:fldChar w:fldCharType="separate"/>
      </w:r>
      <w:r>
        <w:t>7</w:t>
      </w:r>
      <w:r>
        <w:fldChar w:fldCharType="end"/>
      </w:r>
    </w:p>
    <w:p>
      <w:pPr>
        <w:pStyle w:val="TOC8"/>
        <w:rPr>
          <w:sz w:val="24"/>
          <w:szCs w:val="24"/>
        </w:rPr>
      </w:pPr>
      <w:r>
        <w:rPr>
          <w:szCs w:val="24"/>
        </w:rPr>
        <w:t>8.</w:t>
      </w:r>
      <w:r>
        <w:rPr>
          <w:szCs w:val="24"/>
        </w:rPr>
        <w:tab/>
        <w:t>Dealing with an application for an exemption</w:t>
      </w:r>
      <w:r>
        <w:tab/>
      </w:r>
      <w:r>
        <w:fldChar w:fldCharType="begin"/>
      </w:r>
      <w:r>
        <w:instrText xml:space="preserve"> PAGEREF _Toc264887011 \h </w:instrText>
      </w:r>
      <w:r>
        <w:fldChar w:fldCharType="separate"/>
      </w:r>
      <w:r>
        <w:t>8</w:t>
      </w:r>
      <w:r>
        <w:fldChar w:fldCharType="end"/>
      </w:r>
    </w:p>
    <w:p>
      <w:pPr>
        <w:pStyle w:val="TOC8"/>
        <w:rPr>
          <w:sz w:val="24"/>
          <w:szCs w:val="24"/>
        </w:rPr>
      </w:pPr>
      <w:r>
        <w:rPr>
          <w:szCs w:val="24"/>
        </w:rPr>
        <w:t>9.</w:t>
      </w:r>
      <w:r>
        <w:rPr>
          <w:szCs w:val="24"/>
        </w:rPr>
        <w:tab/>
        <w:t>Register of exemptions</w:t>
      </w:r>
      <w:r>
        <w:tab/>
      </w:r>
      <w:r>
        <w:fldChar w:fldCharType="begin"/>
      </w:r>
      <w:r>
        <w:instrText xml:space="preserve"> PAGEREF _Toc264887012 \h </w:instrText>
      </w:r>
      <w:r>
        <w:fldChar w:fldCharType="separate"/>
      </w:r>
      <w:r>
        <w:t>8</w:t>
      </w:r>
      <w:r>
        <w:fldChar w:fldCharType="end"/>
      </w:r>
    </w:p>
    <w:p>
      <w:pPr>
        <w:pStyle w:val="TOC2"/>
        <w:tabs>
          <w:tab w:val="right" w:leader="dot" w:pos="7086"/>
        </w:tabs>
        <w:rPr>
          <w:b w:val="0"/>
          <w:sz w:val="24"/>
          <w:szCs w:val="24"/>
        </w:rPr>
      </w:pPr>
      <w:r>
        <w:rPr>
          <w:szCs w:val="30"/>
        </w:rPr>
        <w:t>Part 4 — Matters for the Act Part 5</w:t>
      </w:r>
    </w:p>
    <w:p>
      <w:pPr>
        <w:pStyle w:val="TOC8"/>
        <w:rPr>
          <w:sz w:val="24"/>
          <w:szCs w:val="24"/>
        </w:rPr>
      </w:pPr>
      <w:r>
        <w:rPr>
          <w:szCs w:val="24"/>
        </w:rPr>
        <w:t>10.</w:t>
      </w:r>
      <w:r>
        <w:rPr>
          <w:szCs w:val="24"/>
        </w:rPr>
        <w:tab/>
        <w:t>Identity cards, prescribed details (Act s. 28)</w:t>
      </w:r>
      <w:r>
        <w:tab/>
      </w:r>
      <w:r>
        <w:fldChar w:fldCharType="begin"/>
      </w:r>
      <w:r>
        <w:instrText xml:space="preserve"> PAGEREF _Toc264887014 \h </w:instrText>
      </w:r>
      <w:r>
        <w:fldChar w:fldCharType="separate"/>
      </w:r>
      <w:r>
        <w:t>10</w:t>
      </w:r>
      <w:r>
        <w:fldChar w:fldCharType="end"/>
      </w:r>
    </w:p>
    <w:p>
      <w:pPr>
        <w:pStyle w:val="TOC2"/>
        <w:tabs>
          <w:tab w:val="right" w:leader="dot" w:pos="7086"/>
        </w:tabs>
        <w:rPr>
          <w:b w:val="0"/>
          <w:sz w:val="24"/>
          <w:szCs w:val="24"/>
        </w:rPr>
      </w:pPr>
      <w:r>
        <w:rPr>
          <w:szCs w:val="30"/>
        </w:rPr>
        <w:t>Part 5 — Infringement notices</w:t>
      </w:r>
    </w:p>
    <w:p>
      <w:pPr>
        <w:pStyle w:val="TOC8"/>
        <w:rPr>
          <w:sz w:val="24"/>
          <w:szCs w:val="24"/>
        </w:rPr>
      </w:pPr>
      <w:r>
        <w:rPr>
          <w:szCs w:val="24"/>
        </w:rPr>
        <w:t>11.</w:t>
      </w:r>
      <w:r>
        <w:rPr>
          <w:szCs w:val="24"/>
        </w:rPr>
        <w:tab/>
        <w:t>Prescribed offences (Act s. 56)</w:t>
      </w:r>
      <w:r>
        <w:tab/>
      </w:r>
      <w:r>
        <w:fldChar w:fldCharType="begin"/>
      </w:r>
      <w:r>
        <w:instrText xml:space="preserve"> PAGEREF _Toc264887016 \h </w:instrText>
      </w:r>
      <w:r>
        <w:fldChar w:fldCharType="separate"/>
      </w:r>
      <w:r>
        <w:t>11</w:t>
      </w:r>
      <w:r>
        <w:fldChar w:fldCharType="end"/>
      </w:r>
    </w:p>
    <w:p>
      <w:pPr>
        <w:pStyle w:val="TOC8"/>
        <w:rPr>
          <w:sz w:val="24"/>
          <w:szCs w:val="24"/>
        </w:rPr>
      </w:pPr>
      <w:r>
        <w:rPr>
          <w:szCs w:val="24"/>
        </w:rPr>
        <w:t>12.</w:t>
      </w:r>
      <w:r>
        <w:rPr>
          <w:szCs w:val="24"/>
        </w:rPr>
        <w:tab/>
        <w:t>Infringement notice, form of (Act s. 56)</w:t>
      </w:r>
      <w:r>
        <w:tab/>
      </w:r>
      <w:r>
        <w:fldChar w:fldCharType="begin"/>
      </w:r>
      <w:r>
        <w:instrText xml:space="preserve"> PAGEREF _Toc264887017 \h </w:instrText>
      </w:r>
      <w:r>
        <w:fldChar w:fldCharType="separate"/>
      </w:r>
      <w:r>
        <w:t>11</w:t>
      </w:r>
      <w:r>
        <w:fldChar w:fldCharType="end"/>
      </w:r>
    </w:p>
    <w:p>
      <w:pPr>
        <w:pStyle w:val="TOC8"/>
        <w:rPr>
          <w:sz w:val="24"/>
          <w:szCs w:val="24"/>
        </w:rPr>
      </w:pPr>
      <w:r>
        <w:rPr>
          <w:szCs w:val="24"/>
        </w:rPr>
        <w:t>13.</w:t>
      </w:r>
      <w:r>
        <w:rPr>
          <w:szCs w:val="24"/>
        </w:rPr>
        <w:tab/>
        <w:t>Withdrawal of infringement notice, form of (Act s. 56)</w:t>
      </w:r>
      <w:r>
        <w:tab/>
      </w:r>
      <w:r>
        <w:fldChar w:fldCharType="begin"/>
      </w:r>
      <w:r>
        <w:instrText xml:space="preserve"> PAGEREF _Toc264887018 \h </w:instrText>
      </w:r>
      <w:r>
        <w:fldChar w:fldCharType="separate"/>
      </w:r>
      <w:r>
        <w:t>11</w:t>
      </w:r>
      <w:r>
        <w:fldChar w:fldCharType="end"/>
      </w:r>
    </w:p>
    <w:p>
      <w:pPr>
        <w:pStyle w:val="TOC2"/>
        <w:tabs>
          <w:tab w:val="right" w:leader="dot" w:pos="7086"/>
        </w:tabs>
        <w:rPr>
          <w:b w:val="0"/>
          <w:sz w:val="24"/>
          <w:szCs w:val="24"/>
        </w:rPr>
      </w:pPr>
      <w:r>
        <w:rPr>
          <w:szCs w:val="28"/>
        </w:rPr>
        <w:lastRenderedPageBreak/>
        <w:t>Schedule 1</w:t>
      </w:r>
      <w:r>
        <w:rPr>
          <w:sz w:val="24"/>
          <w:szCs w:val="28"/>
        </w:rPr>
        <w:t> </w:t>
      </w:r>
      <w:r>
        <w:rPr>
          <w:szCs w:val="28"/>
        </w:rPr>
        <w:t>—</w:t>
      </w:r>
      <w:r>
        <w:rPr>
          <w:sz w:val="24"/>
          <w:szCs w:val="28"/>
        </w:rPr>
        <w:t> </w:t>
      </w:r>
      <w:r>
        <w:rPr>
          <w:szCs w:val="28"/>
        </w:rPr>
        <w:t>Specific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Infringement notice (r. 12)</w:t>
      </w:r>
      <w:r>
        <w:tab/>
      </w:r>
      <w:r>
        <w:fldChar w:fldCharType="begin"/>
      </w:r>
      <w:r>
        <w:instrText xml:space="preserve"> PAGEREF _Toc264887021 \h </w:instrText>
      </w:r>
      <w:r>
        <w:fldChar w:fldCharType="separate"/>
      </w:r>
      <w:r>
        <w:t>13</w:t>
      </w:r>
      <w:r>
        <w:fldChar w:fldCharType="end"/>
      </w:r>
    </w:p>
    <w:p>
      <w:pPr>
        <w:pStyle w:val="TOC8"/>
        <w:rPr>
          <w:sz w:val="24"/>
          <w:szCs w:val="24"/>
        </w:rPr>
      </w:pPr>
      <w:r>
        <w:rPr>
          <w:szCs w:val="22"/>
        </w:rPr>
        <w:t>2.</w:t>
      </w:r>
      <w:r>
        <w:rPr>
          <w:szCs w:val="22"/>
        </w:rPr>
        <w:tab/>
        <w:t>Withdrawal of infringement notice (r. 13)</w:t>
      </w:r>
      <w:r>
        <w:tab/>
      </w:r>
      <w:r>
        <w:fldChar w:fldCharType="begin"/>
      </w:r>
      <w:r>
        <w:instrText xml:space="preserve"> PAGEREF _Toc264887022 \h </w:instrText>
      </w:r>
      <w:r>
        <w:fldChar w:fldCharType="separate"/>
      </w:r>
      <w:r>
        <w:t>16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_Toc264887024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2" w:name="_Toc191981066"/>
      <w:bookmarkStart w:id="3" w:name="_Toc264887001"/>
      <w:r>
        <w:rPr>
          <w:rStyle w:val="CharPartNo"/>
        </w:rPr>
        <w:t>Part 1</w:t>
      </w:r>
      <w:r>
        <w:rPr>
          <w:rStyle w:val="CharDivNo"/>
        </w:rPr>
        <w:t> </w:t>
      </w:r>
      <w:r>
        <w:t>—</w:t>
      </w:r>
      <w:r>
        <w:rPr>
          <w:rStyle w:val="CharDivText"/>
        </w:rPr>
        <w:t> </w:t>
      </w:r>
      <w:r>
        <w:rPr>
          <w:rStyle w:val="CharPartText"/>
        </w:rPr>
        <w:t>Preliminary matters</w:t>
      </w:r>
      <w:bookmarkEnd w:id="2"/>
      <w:bookmarkEnd w:id="3"/>
    </w:p>
    <w:p>
      <w:pPr>
        <w:pStyle w:val="Heading5"/>
      </w:pPr>
      <w:bookmarkStart w:id="4" w:name="_Toc264887002"/>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6" w:name="_Toc264887003"/>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7" w:name="_Toc264887004"/>
      <w:r>
        <w:rPr>
          <w:rStyle w:val="CharSectno"/>
        </w:rPr>
        <w:t>3</w:t>
      </w:r>
      <w:r>
        <w:t>.</w:t>
      </w:r>
      <w:r>
        <w:tab/>
        <w:t>Interpretation</w:t>
      </w:r>
      <w:bookmarkEnd w:id="7"/>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Footnotesection"/>
      </w:pPr>
      <w:r>
        <w:tab/>
        <w:t>[Regulation 3 amended in Gazette 22 Jun 2010 p. 2781.]</w:t>
      </w:r>
    </w:p>
    <w:p>
      <w:pPr>
        <w:pStyle w:val="Heading2"/>
      </w:pPr>
      <w:bookmarkStart w:id="8" w:name="_Toc191981070"/>
      <w:bookmarkStart w:id="9" w:name="_Toc264887005"/>
      <w:r>
        <w:rPr>
          <w:rStyle w:val="CharPartNo"/>
        </w:rPr>
        <w:t>Part 2</w:t>
      </w:r>
      <w:r>
        <w:rPr>
          <w:rStyle w:val="CharDivNo"/>
        </w:rPr>
        <w:t> </w:t>
      </w:r>
      <w:r>
        <w:t>—</w:t>
      </w:r>
      <w:r>
        <w:rPr>
          <w:rStyle w:val="CharDivText"/>
        </w:rPr>
        <w:t> </w:t>
      </w:r>
      <w:r>
        <w:rPr>
          <w:rStyle w:val="CharPartText"/>
        </w:rPr>
        <w:t>Matters for the Act Parts 1 and 2</w:t>
      </w:r>
      <w:bookmarkEnd w:id="8"/>
      <w:bookmarkEnd w:id="9"/>
    </w:p>
    <w:p>
      <w:pPr>
        <w:pStyle w:val="Heading5"/>
      </w:pPr>
      <w:bookmarkStart w:id="10" w:name="_Toc264887006"/>
      <w:r>
        <w:rPr>
          <w:rStyle w:val="CharSectno"/>
        </w:rPr>
        <w:t>4</w:t>
      </w:r>
      <w:r>
        <w:t>.</w:t>
      </w:r>
      <w:r>
        <w:tab/>
        <w:t>“Dangerous goods” prescribed (Act s. 3(1)(a))</w:t>
      </w:r>
      <w:bookmarkEnd w:id="10"/>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1" w:name="_Toc264887007"/>
      <w:r>
        <w:rPr>
          <w:rStyle w:val="CharSectno"/>
        </w:rPr>
        <w:t>5</w:t>
      </w:r>
      <w:r>
        <w:t>.</w:t>
      </w:r>
      <w:r>
        <w:tab/>
        <w:t>“Dangerous goods”, how Chief Officer determines (Act s. 3(1)(b))</w:t>
      </w:r>
      <w:bookmarkEnd w:id="11"/>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12" w:name="_Toc264887008"/>
      <w:r>
        <w:rPr>
          <w:rStyle w:val="CharSectno"/>
        </w:rPr>
        <w:t>6</w:t>
      </w:r>
      <w:r>
        <w:t>.</w:t>
      </w:r>
      <w:r>
        <w:tab/>
        <w:t>Goods too dangerous to transport (Act s. 16)</w:t>
      </w:r>
      <w:bookmarkEnd w:id="12"/>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bookmarkStart w:id="13" w:name="_Toc191981074"/>
      <w:r>
        <w:tab/>
        <w:t>[Regulation 6 amended in Gazette 22 Jun 2010 p. 2781.]</w:t>
      </w:r>
    </w:p>
    <w:p>
      <w:pPr>
        <w:pStyle w:val="Heading2"/>
      </w:pPr>
      <w:bookmarkStart w:id="14" w:name="_Toc264887009"/>
      <w:r>
        <w:rPr>
          <w:rStyle w:val="CharPartNo"/>
        </w:rPr>
        <w:t>Part 3</w:t>
      </w:r>
      <w:r>
        <w:rPr>
          <w:rStyle w:val="CharDivNo"/>
        </w:rPr>
        <w:t> </w:t>
      </w:r>
      <w:r>
        <w:t>—</w:t>
      </w:r>
      <w:r>
        <w:rPr>
          <w:rStyle w:val="CharDivText"/>
        </w:rPr>
        <w:t> </w:t>
      </w:r>
      <w:r>
        <w:rPr>
          <w:rStyle w:val="CharPartText"/>
        </w:rPr>
        <w:t>Matters for the Act Part 4</w:t>
      </w:r>
      <w:bookmarkEnd w:id="13"/>
      <w:bookmarkEnd w:id="14"/>
    </w:p>
    <w:p>
      <w:pPr>
        <w:pStyle w:val="Heading5"/>
      </w:pPr>
      <w:bookmarkStart w:id="15" w:name="_Toc264887010"/>
      <w:r>
        <w:rPr>
          <w:rStyle w:val="CharSectno"/>
        </w:rPr>
        <w:t>7</w:t>
      </w:r>
      <w:r>
        <w:t>.</w:t>
      </w:r>
      <w:r>
        <w:tab/>
        <w:t>Applying for an exemption</w:t>
      </w:r>
      <w:bookmarkEnd w:id="15"/>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16" w:name="_Toc264887011"/>
      <w:r>
        <w:rPr>
          <w:rStyle w:val="CharSectno"/>
        </w:rPr>
        <w:t>8</w:t>
      </w:r>
      <w:r>
        <w:t>.</w:t>
      </w:r>
      <w:r>
        <w:tab/>
        <w:t>Dealing with an application for an exemption</w:t>
      </w:r>
      <w:bookmarkEnd w:id="16"/>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17" w:name="_Toc264887012"/>
      <w:r>
        <w:rPr>
          <w:rStyle w:val="CharSectno"/>
        </w:rPr>
        <w:t>9</w:t>
      </w:r>
      <w:r>
        <w:t>.</w:t>
      </w:r>
      <w:r>
        <w:tab/>
        <w:t>Register of exemptions</w:t>
      </w:r>
      <w:bookmarkEnd w:id="17"/>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18" w:name="_Toc191981078"/>
      <w:bookmarkStart w:id="19" w:name="_Toc264887013"/>
      <w:r>
        <w:rPr>
          <w:rStyle w:val="CharPartNo"/>
        </w:rPr>
        <w:t>Part 4</w:t>
      </w:r>
      <w:r>
        <w:rPr>
          <w:rStyle w:val="CharDivNo"/>
        </w:rPr>
        <w:t> </w:t>
      </w:r>
      <w:r>
        <w:t>—</w:t>
      </w:r>
      <w:r>
        <w:rPr>
          <w:rStyle w:val="CharDivText"/>
        </w:rPr>
        <w:t> </w:t>
      </w:r>
      <w:r>
        <w:rPr>
          <w:rStyle w:val="CharPartText"/>
        </w:rPr>
        <w:t>Matters for the Act Part 5</w:t>
      </w:r>
      <w:bookmarkEnd w:id="18"/>
      <w:bookmarkEnd w:id="19"/>
    </w:p>
    <w:p>
      <w:pPr>
        <w:pStyle w:val="Heading5"/>
      </w:pPr>
      <w:bookmarkStart w:id="20" w:name="_Toc264887014"/>
      <w:r>
        <w:rPr>
          <w:rStyle w:val="CharSectno"/>
        </w:rPr>
        <w:t>10</w:t>
      </w:r>
      <w:r>
        <w:t>.</w:t>
      </w:r>
      <w:r>
        <w:tab/>
        <w:t>Identity cards, prescribed details (Act s. 28)</w:t>
      </w:r>
      <w:bookmarkEnd w:id="20"/>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21" w:name="_Toc191981080"/>
      <w:bookmarkStart w:id="22" w:name="_Toc264887015"/>
      <w:r>
        <w:rPr>
          <w:rStyle w:val="CharPartNo"/>
        </w:rPr>
        <w:t>Part 5</w:t>
      </w:r>
      <w:r>
        <w:rPr>
          <w:rStyle w:val="CharDivNo"/>
        </w:rPr>
        <w:t> </w:t>
      </w:r>
      <w:r>
        <w:t>—</w:t>
      </w:r>
      <w:r>
        <w:rPr>
          <w:rStyle w:val="CharDivText"/>
        </w:rPr>
        <w:t> </w:t>
      </w:r>
      <w:r>
        <w:rPr>
          <w:rStyle w:val="CharPartText"/>
        </w:rPr>
        <w:t>Infringement notices</w:t>
      </w:r>
      <w:bookmarkEnd w:id="21"/>
      <w:bookmarkEnd w:id="22"/>
    </w:p>
    <w:p>
      <w:pPr>
        <w:pStyle w:val="Heading5"/>
      </w:pPr>
      <w:bookmarkStart w:id="23" w:name="_Toc264887016"/>
      <w:r>
        <w:rPr>
          <w:rStyle w:val="CharSectno"/>
        </w:rPr>
        <w:t>11</w:t>
      </w:r>
      <w:r>
        <w:t>.</w:t>
      </w:r>
      <w:r>
        <w:tab/>
        <w:t>Prescribed offences (Act s. 56)</w:t>
      </w:r>
      <w:bookmarkEnd w:id="23"/>
    </w:p>
    <w:p>
      <w:pPr>
        <w:pStyle w:val="Subsection"/>
      </w:pPr>
      <w:r>
        <w:tab/>
      </w:r>
      <w:r>
        <w:tab/>
        <w:t>For the purposes of section 56, the prescribed offences are those offences prescribed for the purposes of that section by other regulations made under the Act.</w:t>
      </w:r>
    </w:p>
    <w:p>
      <w:pPr>
        <w:pStyle w:val="Heading5"/>
      </w:pPr>
      <w:bookmarkStart w:id="24" w:name="_Toc264887017"/>
      <w:r>
        <w:rPr>
          <w:rStyle w:val="CharSectno"/>
        </w:rPr>
        <w:t>12</w:t>
      </w:r>
      <w:r>
        <w:t>.</w:t>
      </w:r>
      <w:r>
        <w:tab/>
        <w:t>Infringement notice, form of (Act s. 56)</w:t>
      </w:r>
      <w:bookmarkEnd w:id="24"/>
    </w:p>
    <w:p>
      <w:pPr>
        <w:pStyle w:val="Subsection"/>
      </w:pPr>
      <w:r>
        <w:tab/>
      </w:r>
      <w:r>
        <w:tab/>
        <w:t>For the purposes of section 56(3), the prescribed form of an infringement notice is Form 1.</w:t>
      </w:r>
    </w:p>
    <w:p>
      <w:pPr>
        <w:pStyle w:val="Heading5"/>
      </w:pPr>
      <w:bookmarkStart w:id="25" w:name="_Toc264887018"/>
      <w:r>
        <w:rPr>
          <w:rStyle w:val="CharSectno"/>
        </w:rPr>
        <w:t>13</w:t>
      </w:r>
      <w:r>
        <w:t>.</w:t>
      </w:r>
      <w:r>
        <w:tab/>
        <w:t>Withdrawal of infringement notice, form of (Act s. 56)</w:t>
      </w:r>
      <w:bookmarkEnd w:id="25"/>
    </w:p>
    <w:p>
      <w:pPr>
        <w:pStyle w:val="Subsection"/>
      </w:pPr>
      <w:r>
        <w:tab/>
      </w:r>
      <w:r>
        <w:tab/>
        <w:t>For the purposes of section 56(7), the prescribed form of a withdrawal of an infringement notice is Form 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26" w:name="_Toc191981084"/>
      <w:bookmarkStart w:id="27" w:name="_Toc264887019"/>
      <w:r>
        <w:rPr>
          <w:rStyle w:val="CharSchNo"/>
        </w:rPr>
        <w:t>Schedule 1</w:t>
      </w:r>
      <w:r>
        <w:rPr>
          <w:rStyle w:val="CharSDivNo"/>
        </w:rPr>
        <w:t> </w:t>
      </w:r>
      <w:r>
        <w:t>—</w:t>
      </w:r>
      <w:r>
        <w:rPr>
          <w:rStyle w:val="CharSDivText"/>
        </w:rPr>
        <w:t> </w:t>
      </w:r>
      <w:r>
        <w:rPr>
          <w:rStyle w:val="CharSchText"/>
        </w:rPr>
        <w:t>Specific dangerous goods</w:t>
      </w:r>
      <w:bookmarkEnd w:id="26"/>
      <w:bookmarkEnd w:id="27"/>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28" w:name="_Toc191981085"/>
      <w:bookmarkStart w:id="29" w:name="_Toc264887020"/>
      <w:r>
        <w:rPr>
          <w:rStyle w:val="CharSchNo"/>
        </w:rPr>
        <w:t>Schedule 2</w:t>
      </w:r>
      <w:r>
        <w:rPr>
          <w:rStyle w:val="CharSDivNo"/>
        </w:rPr>
        <w:t> </w:t>
      </w:r>
      <w:r>
        <w:t>—</w:t>
      </w:r>
      <w:r>
        <w:rPr>
          <w:rStyle w:val="CharSDivText"/>
        </w:rPr>
        <w:t> </w:t>
      </w:r>
      <w:r>
        <w:rPr>
          <w:rStyle w:val="CharSchText"/>
        </w:rPr>
        <w:t>Forms</w:t>
      </w:r>
      <w:bookmarkEnd w:id="28"/>
      <w:bookmarkEnd w:id="29"/>
    </w:p>
    <w:p>
      <w:pPr>
        <w:pStyle w:val="yShoulderClause"/>
      </w:pPr>
      <w:r>
        <w:t>[r. 3]</w:t>
      </w:r>
    </w:p>
    <w:p>
      <w:pPr>
        <w:pStyle w:val="yHeading5"/>
        <w:spacing w:after="120"/>
      </w:pPr>
      <w:bookmarkStart w:id="30" w:name="_Toc264887021"/>
      <w:r>
        <w:rPr>
          <w:rStyle w:val="CharSClsNo"/>
        </w:rPr>
        <w:t>1</w:t>
      </w:r>
      <w:r>
        <w:t>.</w:t>
      </w:r>
      <w:r>
        <w:tab/>
        <w:t>Infringement notice (r. 12)</w:t>
      </w:r>
      <w:bookmarkEnd w:id="3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275"/>
        <w:gridCol w:w="1700"/>
        <w:gridCol w:w="135"/>
        <w:gridCol w:w="578"/>
        <w:gridCol w:w="26"/>
        <w:gridCol w:w="541"/>
        <w:gridCol w:w="1417"/>
      </w:tblGrid>
      <w:tr>
        <w:tc>
          <w:tcPr>
            <w:tcW w:w="4526" w:type="dxa"/>
            <w:gridSpan w:val="4"/>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62" w:type="dxa"/>
            <w:gridSpan w:val="4"/>
            <w:tcBorders>
              <w:bottom w:val="nil"/>
            </w:tcBorders>
          </w:tcPr>
          <w:p>
            <w:pPr>
              <w:pStyle w:val="yTableNAm"/>
              <w:rPr>
                <w:b/>
              </w:rPr>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6" w:type="dxa"/>
            <w:vMerge w:val="restart"/>
          </w:tcPr>
          <w:p>
            <w:pPr>
              <w:pStyle w:val="yTableNAm"/>
            </w:pPr>
            <w:r>
              <w:t>Alleged offender</w:t>
            </w:r>
          </w:p>
          <w:p>
            <w:pPr>
              <w:pStyle w:val="yTableNAm"/>
            </w:pPr>
            <w:r>
              <w:t>(individual)</w:t>
            </w:r>
          </w:p>
        </w:tc>
        <w:tc>
          <w:tcPr>
            <w:tcW w:w="1275" w:type="dxa"/>
            <w:tcBorders>
              <w:bottom w:val="single" w:sz="4" w:space="0" w:color="auto"/>
            </w:tcBorders>
          </w:tcPr>
          <w:p>
            <w:pPr>
              <w:pStyle w:val="yTableNAm"/>
            </w:pPr>
            <w:r>
              <w:t>Family 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Given names</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Date of birth</w:t>
            </w:r>
          </w:p>
        </w:tc>
        <w:tc>
          <w:tcPr>
            <w:tcW w:w="2413" w:type="dxa"/>
            <w:gridSpan w:val="3"/>
            <w:tcBorders>
              <w:bottom w:val="single" w:sz="4" w:space="0" w:color="auto"/>
            </w:tcBorders>
          </w:tcPr>
          <w:p>
            <w:pPr>
              <w:pStyle w:val="yTableNAm"/>
            </w:pPr>
          </w:p>
        </w:tc>
        <w:tc>
          <w:tcPr>
            <w:tcW w:w="1984" w:type="dxa"/>
            <w:gridSpan w:val="3"/>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Driver’s licence</w:t>
            </w:r>
          </w:p>
        </w:tc>
        <w:tc>
          <w:tcPr>
            <w:tcW w:w="4397" w:type="dxa"/>
            <w:gridSpan w:val="6"/>
            <w:tcBorders>
              <w:bottom w:val="single" w:sz="4" w:space="0" w:color="auto"/>
            </w:tcBorders>
          </w:tcPr>
          <w:p>
            <w:pPr>
              <w:pStyle w:val="yTableNAm"/>
              <w:tabs>
                <w:tab w:val="clear" w:pos="567"/>
                <w:tab w:val="left" w:pos="972"/>
                <w:tab w:val="left" w:pos="2412"/>
              </w:tabs>
            </w:pPr>
            <w:r>
              <w:t>No.:</w:t>
            </w:r>
            <w:r>
              <w:tab/>
              <w:t>State/Country:</w:t>
            </w:r>
          </w:p>
          <w:p>
            <w:pPr>
              <w:pStyle w:val="yTableNAm"/>
              <w:tabs>
                <w:tab w:val="clear" w:pos="567"/>
                <w:tab w:val="left" w:pos="972"/>
                <w:tab w:val="left" w:pos="2412"/>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6" w:type="dxa"/>
            <w:vMerge w:val="restart"/>
          </w:tcPr>
          <w:p>
            <w:pPr>
              <w:pStyle w:val="yTableNAm"/>
            </w:pPr>
            <w:r>
              <w:t>Alleged offender</w:t>
            </w:r>
          </w:p>
          <w:p>
            <w:pPr>
              <w:pStyle w:val="yTableNAm"/>
            </w:pPr>
            <w:r>
              <w:t>(body corporate)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6" w:type="dxa"/>
            <w:vMerge/>
          </w:tcPr>
          <w:p>
            <w:pPr>
              <w:pStyle w:val="yTableNAm"/>
            </w:pPr>
          </w:p>
        </w:tc>
        <w:tc>
          <w:tcPr>
            <w:tcW w:w="1275" w:type="dxa"/>
            <w:tcBorders>
              <w:bottom w:val="single" w:sz="4" w:space="0" w:color="auto"/>
            </w:tcBorders>
          </w:tcPr>
          <w:p>
            <w:pPr>
              <w:pStyle w:val="yTableNAm"/>
            </w:pPr>
            <w:r>
              <w:t>ACN</w:t>
            </w:r>
          </w:p>
        </w:tc>
        <w:tc>
          <w:tcPr>
            <w:tcW w:w="2439" w:type="dxa"/>
            <w:gridSpan w:val="4"/>
            <w:tcBorders>
              <w:bottom w:val="single" w:sz="4" w:space="0" w:color="auto"/>
            </w:tcBorders>
          </w:tcPr>
          <w:p>
            <w:pPr>
              <w:pStyle w:val="yTableNAm"/>
            </w:pPr>
          </w:p>
        </w:tc>
        <w:tc>
          <w:tcPr>
            <w:tcW w:w="1958" w:type="dxa"/>
            <w:gridSpan w:val="2"/>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rPr>
          <w:cantSplit/>
          <w:trHeight w:val="220"/>
        </w:trPr>
        <w:tc>
          <w:tcPr>
            <w:tcW w:w="1416" w:type="dxa"/>
            <w:vMerge w:val="restart"/>
          </w:tcPr>
          <w:p>
            <w:pPr>
              <w:pStyle w:val="yTableNAm"/>
            </w:pPr>
            <w:r>
              <w:t>Description of alleged offence</w:t>
            </w:r>
          </w:p>
        </w:tc>
        <w:tc>
          <w:tcPr>
            <w:tcW w:w="1275" w:type="dxa"/>
          </w:tcPr>
          <w:p>
            <w:pPr>
              <w:pStyle w:val="yTableNAm"/>
            </w:pPr>
            <w:r>
              <w:t>Date</w:t>
            </w:r>
          </w:p>
        </w:tc>
        <w:tc>
          <w:tcPr>
            <w:tcW w:w="2413" w:type="dxa"/>
            <w:gridSpan w:val="3"/>
          </w:tcPr>
          <w:p>
            <w:pPr>
              <w:pStyle w:val="yTableNAm"/>
            </w:pPr>
          </w:p>
        </w:tc>
        <w:tc>
          <w:tcPr>
            <w:tcW w:w="567" w:type="dxa"/>
            <w:gridSpan w:val="2"/>
          </w:tcPr>
          <w:p>
            <w:pPr>
              <w:pStyle w:val="yTableNAm"/>
            </w:pPr>
            <w:r>
              <w:t>Time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Place</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Details</w:t>
            </w:r>
            <w:r>
              <w:rPr>
                <w:rFonts w:ascii="Times" w:hAnsi="Times"/>
                <w:vertAlign w:val="superscript"/>
              </w:rPr>
              <w:t>1</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Regulation contravened</w:t>
            </w:r>
            <w:r>
              <w:rPr>
                <w:rFonts w:ascii="Times" w:hAnsi="Times"/>
                <w:vertAlign w:val="superscript"/>
              </w:rPr>
              <w:t>2</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Modified penalty</w:t>
            </w:r>
          </w:p>
        </w:tc>
        <w:tc>
          <w:tcPr>
            <w:tcW w:w="5672" w:type="dxa"/>
            <w:gridSpan w:val="7"/>
            <w:tcBorders>
              <w:bottom w:val="single" w:sz="4" w:space="0" w:color="auto"/>
            </w:tcBorders>
          </w:tcPr>
          <w:p>
            <w:pPr>
              <w:pStyle w:val="yTableNAm"/>
            </w:pPr>
            <w:r>
              <w:t>The modified penalty for the alleged offence is $</w:t>
            </w:r>
          </w:p>
        </w:tc>
      </w:tr>
      <w:tr>
        <w:trPr>
          <w:cantSplit/>
          <w:trHeight w:val="220"/>
        </w:trPr>
        <w:tc>
          <w:tcPr>
            <w:tcW w:w="1416" w:type="dxa"/>
            <w:vMerge w:val="restart"/>
          </w:tcPr>
          <w:p>
            <w:pPr>
              <w:pStyle w:val="yTableNAm"/>
            </w:pPr>
            <w:r>
              <w:t>Vehicle details</w:t>
            </w:r>
            <w:r>
              <w:rPr>
                <w:rFonts w:ascii="Times" w:hAnsi="Times"/>
                <w:vertAlign w:val="superscript"/>
              </w:rPr>
              <w:t>3</w:t>
            </w:r>
          </w:p>
        </w:tc>
        <w:tc>
          <w:tcPr>
            <w:tcW w:w="1275" w:type="dxa"/>
          </w:tcPr>
          <w:p>
            <w:pPr>
              <w:pStyle w:val="yTableNAm"/>
            </w:pPr>
            <w:r>
              <w:t>Plate. No.</w:t>
            </w:r>
          </w:p>
        </w:tc>
        <w:tc>
          <w:tcPr>
            <w:tcW w:w="1700" w:type="dxa"/>
          </w:tcPr>
          <w:p>
            <w:pPr>
              <w:pStyle w:val="yTableNAm"/>
            </w:pPr>
          </w:p>
        </w:tc>
        <w:tc>
          <w:tcPr>
            <w:tcW w:w="1280" w:type="dxa"/>
            <w:gridSpan w:val="4"/>
          </w:tcPr>
          <w:p>
            <w:pPr>
              <w:pStyle w:val="yTableNAm"/>
            </w:pPr>
            <w:r>
              <w:t>State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Licence expiry date</w:t>
            </w:r>
          </w:p>
        </w:tc>
        <w:tc>
          <w:tcPr>
            <w:tcW w:w="1700" w:type="dxa"/>
          </w:tcPr>
          <w:p>
            <w:pPr>
              <w:pStyle w:val="yTableNAm"/>
            </w:pPr>
          </w:p>
        </w:tc>
        <w:tc>
          <w:tcPr>
            <w:tcW w:w="1280" w:type="dxa"/>
            <w:gridSpan w:val="4"/>
          </w:tcPr>
          <w:p>
            <w:pPr>
              <w:pStyle w:val="yTableNAm"/>
            </w:pPr>
            <w:r>
              <w:t>Vin/Chassis No.</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Make</w:t>
            </w:r>
          </w:p>
        </w:tc>
        <w:tc>
          <w:tcPr>
            <w:tcW w:w="1700" w:type="dxa"/>
          </w:tcPr>
          <w:p>
            <w:pPr>
              <w:pStyle w:val="yTableNAm"/>
            </w:pPr>
          </w:p>
        </w:tc>
        <w:tc>
          <w:tcPr>
            <w:tcW w:w="1280" w:type="dxa"/>
            <w:gridSpan w:val="4"/>
          </w:tcPr>
          <w:p>
            <w:pPr>
              <w:pStyle w:val="yTableNAm"/>
            </w:pPr>
            <w:r>
              <w:t>Colour</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Body type</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Date of notice</w:t>
            </w:r>
          </w:p>
        </w:tc>
        <w:tc>
          <w:tcPr>
            <w:tcW w:w="5672" w:type="dxa"/>
            <w:gridSpan w:val="7"/>
            <w:tcBorders>
              <w:bottom w:val="single" w:sz="4" w:space="0" w:color="auto"/>
            </w:tcBorders>
          </w:tcPr>
          <w:p>
            <w:pPr>
              <w:pStyle w:val="yTableNAm"/>
            </w:pPr>
          </w:p>
        </w:tc>
      </w:tr>
      <w:tr>
        <w:trPr>
          <w:cantSplit/>
        </w:trPr>
        <w:tc>
          <w:tcPr>
            <w:tcW w:w="1416" w:type="dxa"/>
            <w:tcBorders>
              <w:bottom w:val="single" w:sz="4" w:space="0" w:color="auto"/>
            </w:tcBorders>
          </w:tcPr>
          <w:p>
            <w:pPr>
              <w:pStyle w:val="yTableNAm"/>
            </w:pPr>
            <w:r>
              <w:t>Service details</w:t>
            </w:r>
          </w:p>
          <w:p>
            <w:pPr>
              <w:pStyle w:val="yTableNAm"/>
            </w:pPr>
            <w:r>
              <w:rPr>
                <w:sz w:val="18"/>
              </w:rPr>
              <w:t>[Tick one box]</w:t>
            </w:r>
          </w:p>
        </w:tc>
        <w:tc>
          <w:tcPr>
            <w:tcW w:w="3688" w:type="dxa"/>
            <w:gridSpan w:val="4"/>
            <w:tcBorders>
              <w:bottom w:val="single" w:sz="4" w:space="0" w:color="auto"/>
            </w:tcBorders>
          </w:tcPr>
          <w:p>
            <w:pPr>
              <w:pStyle w:val="yTableNAm"/>
            </w:pPr>
            <w:r>
              <w:t xml:space="preserve">This notice was served — </w:t>
            </w:r>
          </w:p>
          <w:p>
            <w:pPr>
              <w:pStyle w:val="yTableNAm"/>
            </w:pPr>
            <w:r>
              <w:t>in person   by post.</w:t>
            </w:r>
          </w:p>
        </w:tc>
        <w:tc>
          <w:tcPr>
            <w:tcW w:w="567" w:type="dxa"/>
            <w:gridSpan w:val="2"/>
            <w:tcBorders>
              <w:bottom w:val="single" w:sz="4" w:space="0" w:color="auto"/>
            </w:tcBorders>
          </w:tcPr>
          <w:p>
            <w:pPr>
              <w:pStyle w:val="yTableNAm"/>
            </w:pPr>
            <w:r>
              <w:t>Date</w:t>
            </w:r>
          </w:p>
        </w:tc>
        <w:tc>
          <w:tcPr>
            <w:tcW w:w="1417" w:type="dxa"/>
            <w:tcBorders>
              <w:bottom w:val="single" w:sz="4" w:space="0" w:color="auto"/>
            </w:tcBorders>
          </w:tcPr>
          <w:p>
            <w:pPr>
              <w:pStyle w:val="yTableNAm"/>
            </w:pPr>
          </w:p>
        </w:tc>
      </w:tr>
      <w:tr>
        <w:trPr>
          <w:cantSplit/>
          <w:trHeight w:val="220"/>
        </w:trPr>
        <w:tc>
          <w:tcPr>
            <w:tcW w:w="1416" w:type="dxa"/>
            <w:vMerge w:val="restart"/>
            <w:tcBorders>
              <w:bottom w:val="single" w:sz="4" w:space="0" w:color="auto"/>
            </w:tcBorders>
          </w:tcPr>
          <w:p>
            <w:pPr>
              <w:pStyle w:val="yTableNAm"/>
            </w:pPr>
            <w:r>
              <w:t>Officer issuing notice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 xml:space="preserve">Office </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Signature</w:t>
            </w:r>
          </w:p>
        </w:tc>
        <w:tc>
          <w:tcPr>
            <w:tcW w:w="4397" w:type="dxa"/>
            <w:gridSpan w:val="6"/>
            <w:tcBorders>
              <w:bottom w:val="single" w:sz="4" w:space="0" w:color="auto"/>
            </w:tcBorders>
          </w:tcPr>
          <w:p>
            <w:pPr>
              <w:pStyle w:val="yTableNAm"/>
            </w:pPr>
          </w:p>
        </w:tc>
      </w:tr>
      <w:tr>
        <w:trPr>
          <w:cantSplit/>
        </w:trPr>
        <w:tc>
          <w:tcPr>
            <w:tcW w:w="1416" w:type="dxa"/>
            <w:tcBorders>
              <w:top w:val="single" w:sz="4" w:space="0" w:color="auto"/>
              <w:bottom w:val="single" w:sz="4" w:space="0" w:color="auto"/>
            </w:tcBorders>
          </w:tcPr>
          <w:p>
            <w:pPr>
              <w:pStyle w:val="yTableNAm"/>
            </w:pPr>
            <w:r>
              <w:t>Notice to alleged offender</w:t>
            </w:r>
          </w:p>
          <w:p>
            <w:pPr>
              <w:pStyle w:val="yTableNAm"/>
            </w:pPr>
          </w:p>
        </w:tc>
        <w:tc>
          <w:tcPr>
            <w:tcW w:w="5672" w:type="dxa"/>
            <w:gridSpan w:val="7"/>
            <w:tcBorders>
              <w:top w:val="single" w:sz="4" w:space="0" w:color="auto"/>
              <w:bottom w:val="single" w:sz="4" w:space="0" w:color="auto"/>
            </w:tcBorders>
          </w:tcPr>
          <w:p>
            <w:pPr>
              <w:pStyle w:val="yTableNAm"/>
              <w:rPr>
                <w:rStyle w:val="DraftersNotes"/>
                <w:b w:val="0"/>
                <w:bCs/>
                <w:i w:val="0"/>
                <w:iCs/>
              </w:rPr>
            </w:pPr>
            <w:r>
              <w:t>It is alleged that you have committed the above offence.</w:t>
            </w:r>
          </w:p>
          <w:p>
            <w:pPr>
              <w:pStyle w:val="yTableNAm"/>
            </w:pPr>
            <w:r>
              <w:rPr>
                <w:rStyle w:val="DraftersNotes"/>
                <w:b w:val="0"/>
                <w:bCs/>
                <w:i w:val="0"/>
                <w:iCs/>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w:t>
            </w:r>
          </w:p>
          <w:p>
            <w:pPr>
              <w:pStyle w:val="yTableNAm"/>
            </w:pPr>
            <w:r>
              <w:t>To pay, tick the relevant box below and post this notice and any cheque or credit card details for the modified penalty to the address below.</w:t>
            </w:r>
          </w:p>
          <w:p>
            <w:pPr>
              <w:pStyle w:val="yTableNAm"/>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NAm"/>
              <w:rPr>
                <w:rStyle w:val="DraftersNotes"/>
                <w:i w:val="0"/>
                <w:iCs/>
              </w:rPr>
            </w:pPr>
            <w:r>
              <w:rPr>
                <w:rStyle w:val="DraftersNotes"/>
                <w:i w:val="0"/>
                <w:iCs/>
              </w:rPr>
              <w:t>Paying the modified penalty will not be taken to be an admission for the purposes of any civil or criminal court case.</w:t>
            </w:r>
          </w:p>
          <w:p>
            <w:pPr>
              <w:pStyle w:val="yTableNAm"/>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6" w:type="dxa"/>
            <w:tcBorders>
              <w:top w:val="single" w:sz="4" w:space="0" w:color="auto"/>
              <w:bottom w:val="single" w:sz="4" w:space="0" w:color="auto"/>
            </w:tcBorders>
          </w:tcPr>
          <w:p>
            <w:pPr>
              <w:pStyle w:val="yTableNAm"/>
            </w:pPr>
            <w:r>
              <w:t>Alleged offender’s response</w:t>
            </w:r>
          </w:p>
          <w:p>
            <w:pPr>
              <w:pStyle w:val="yTableNAm"/>
            </w:pPr>
            <w:r>
              <w:rPr>
                <w:sz w:val="18"/>
              </w:rPr>
              <w:t>[Tick one box]</w:t>
            </w:r>
          </w:p>
        </w:tc>
        <w:tc>
          <w:tcPr>
            <w:tcW w:w="5672" w:type="dxa"/>
            <w:gridSpan w:val="7"/>
            <w:tcBorders>
              <w:top w:val="single" w:sz="4" w:space="0" w:color="auto"/>
              <w:bottom w:val="single" w:sz="4" w:space="0" w:color="auto"/>
            </w:tcBorders>
          </w:tcPr>
          <w:p>
            <w:pPr>
              <w:pStyle w:val="yTableNAm"/>
            </w:pPr>
            <w:r>
              <w:t>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r>
              <w:t>100 Plain Street</w:t>
            </w:r>
          </w:p>
          <w:p>
            <w:pPr>
              <w:pStyle w:val="yTableNAm"/>
              <w:tabs>
                <w:tab w:val="clear" w:pos="567"/>
              </w:tabs>
              <w:ind w:left="328"/>
            </w:pPr>
            <w:r>
              <w:t>East Perth WA 6004</w:t>
            </w:r>
          </w:p>
          <w:p>
            <w:pPr>
              <w:pStyle w:val="yTableNAm"/>
            </w:pPr>
          </w:p>
          <w:p>
            <w:pPr>
              <w:pStyle w:val="yTableNAm"/>
            </w:pPr>
            <w:r>
              <w:tab/>
              <w:t>I want this alleged offence dealt with by a court.</w:t>
            </w:r>
          </w:p>
          <w:p>
            <w:pPr>
              <w:pStyle w:val="yTableNAm"/>
            </w:pPr>
            <w:r>
              <w:tab/>
              <w:t>Cheque for the modified penalty enclosed.</w:t>
            </w:r>
          </w:p>
          <w:p>
            <w:pPr>
              <w:pStyle w:val="yTableNAm"/>
              <w:ind w:left="568" w:hanging="568"/>
            </w:pPr>
            <w:r>
              <w:tab/>
              <w:t>I want to pay the modified penalty by using a credit card. The credit card’s details are:</w:t>
            </w:r>
          </w:p>
          <w:p>
            <w:pPr>
              <w:pStyle w:val="yTableNAm"/>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Footnotesection"/>
      </w:pPr>
      <w:r>
        <w:tab/>
        <w:t>[Form 1 amended in Gazette 22 Jun 2010 p. 2781.]</w:t>
      </w:r>
    </w:p>
    <w:p>
      <w:pPr>
        <w:pStyle w:val="yHeading5"/>
        <w:pageBreakBefore/>
        <w:spacing w:after="120"/>
      </w:pPr>
      <w:bookmarkStart w:id="31" w:name="_Toc264887022"/>
      <w:r>
        <w:rPr>
          <w:rStyle w:val="CharSClsNo"/>
        </w:rPr>
        <w:t>2</w:t>
      </w:r>
      <w:r>
        <w:t>.</w:t>
      </w:r>
      <w:r>
        <w:tab/>
        <w:t>Withdrawal of infringement notice (r. 13)</w:t>
      </w:r>
      <w:bookmarkEnd w:id="3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r>
              <w:t>100 Plain Street</w:t>
            </w:r>
          </w:p>
          <w:p>
            <w:pPr>
              <w:pStyle w:val="yTableNAm"/>
              <w:tabs>
                <w:tab w:val="clear" w:pos="567"/>
              </w:tabs>
              <w:ind w:left="328"/>
              <w:rPr>
                <w:rStyle w:val="DraftersNotes"/>
                <w:b w:val="0"/>
                <w:bCs/>
                <w:i w:val="0"/>
                <w:iCs/>
              </w:rPr>
            </w:pPr>
            <w:r>
              <w:t>East Perth WA 6004</w:t>
            </w:r>
          </w:p>
        </w:tc>
      </w:tr>
    </w:tbl>
    <w:p>
      <w:pPr>
        <w:pStyle w:val="yFootnotesection"/>
      </w:pPr>
      <w:r>
        <w:tab/>
        <w:t>[Form 2 amended in Gazette 22 Jun 2010 p. 2782.]</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p>
    <w:p>
      <w:pPr>
        <w:pStyle w:val="nHeading2"/>
      </w:pPr>
      <w:bookmarkStart w:id="32" w:name="_Toc191981088"/>
      <w:bookmarkStart w:id="33" w:name="_Toc264887023"/>
      <w:r>
        <w:t>Notes</w:t>
      </w:r>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p>
    <w:p>
      <w:pPr>
        <w:pStyle w:val="nHeading3"/>
      </w:pPr>
      <w:bookmarkStart w:id="34" w:name="_Toc264887024"/>
      <w:r>
        <w:t>Compilation table</w:t>
      </w:r>
      <w:bookmarkEnd w:id="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(General) Regulations 2007</w:t>
            </w:r>
            <w:r>
              <w:rPr>
                <w:sz w:val="19"/>
              </w:rPr>
              <w:t xml:space="preserve"> </w:t>
            </w:r>
          </w:p>
        </w:tc>
        <w:tc>
          <w:tcPr>
            <w:tcW w:w="1276" w:type="dxa"/>
            <w:tcBorders>
              <w:bottom w:val="nil"/>
            </w:tcBorders>
          </w:tcPr>
          <w:p>
            <w:pPr>
              <w:pStyle w:val="nTable"/>
              <w:spacing w:after="40"/>
              <w:rPr>
                <w:sz w:val="19"/>
              </w:rPr>
            </w:pPr>
            <w:r>
              <w:rPr>
                <w:sz w:val="19"/>
              </w:rPr>
              <w:t>31 Dec 2007 p. 7143-60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single" w:sz="4" w:space="0" w:color="auto"/>
            </w:tcBorders>
          </w:tcPr>
          <w:p>
            <w:pPr>
              <w:pStyle w:val="nTable"/>
              <w:spacing w:after="40"/>
              <w:rPr>
                <w:i/>
                <w:sz w:val="19"/>
              </w:rPr>
            </w:pPr>
            <w:r>
              <w:rPr>
                <w:i/>
                <w:sz w:val="19"/>
              </w:rPr>
              <w:t>Dangerous Goods Safety (General) Amendment Regulations 2010</w:t>
            </w:r>
          </w:p>
        </w:tc>
        <w:tc>
          <w:tcPr>
            <w:tcW w:w="1276" w:type="dxa"/>
            <w:tcBorders>
              <w:top w:val="nil"/>
              <w:bottom w:val="single" w:sz="4" w:space="0" w:color="auto"/>
            </w:tcBorders>
          </w:tcPr>
          <w:p>
            <w:pPr>
              <w:pStyle w:val="nTable"/>
              <w:spacing w:after="40"/>
              <w:rPr>
                <w:sz w:val="19"/>
              </w:rPr>
            </w:pPr>
            <w:r>
              <w:rPr>
                <w:sz w:val="19"/>
              </w:rPr>
              <w:t>22 Jun 2010 p. 2780-2</w:t>
            </w:r>
          </w:p>
        </w:tc>
        <w:tc>
          <w:tcPr>
            <w:tcW w:w="2693" w:type="dxa"/>
            <w:tcBorders>
              <w:top w:val="nil"/>
              <w:bottom w:val="single" w:sz="4" w:space="0" w:color="auto"/>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35" w:name="AutoSch"/>
      <w:bookmarkEnd w:id="35"/>
    </w:p>
    <w:p/>
    <w:sectPr>
      <w:headerReference w:type="even" r:id="rId35"/>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B8A2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EEF7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F63F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726D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E2AF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CBE1F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9AB7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A85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85E14"/>
    <w:lvl w:ilvl="0">
      <w:start w:val="1"/>
      <w:numFmt w:val="decimal"/>
      <w:pStyle w:val="ListNumber"/>
      <w:lvlText w:val="%1."/>
      <w:lvlJc w:val="left"/>
      <w:pPr>
        <w:tabs>
          <w:tab w:val="num" w:pos="360"/>
        </w:tabs>
        <w:ind w:left="360" w:hanging="360"/>
      </w:pPr>
    </w:lvl>
  </w:abstractNum>
  <w:abstractNum w:abstractNumId="9">
    <w:nsid w:val="FFFFFF89"/>
    <w:multiLevelType w:val="singleLevel"/>
    <w:tmpl w:val="DEDE6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A6444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2DE6C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48"/>
    <w:docVar w:name="WAFER_20151210110748" w:val="RemoveTrackChanges"/>
    <w:docVar w:name="WAFER_20151210110748_GUID" w:val="e89914bb-23cc-4037-95a2-ecfc442c0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2706</Words>
  <Characters>13209</Characters>
  <Application>Microsoft Office Word</Application>
  <DocSecurity>0</DocSecurity>
  <Lines>574</Lines>
  <Paragraphs>361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    Schedule 1 — Specific dangerous goods</vt:lpstr>
      <vt:lpstr>    Schedule 2 — Forms</vt:lpstr>
      <vt:lpstr>    Notes</vt:lpstr>
    </vt:vector>
  </TitlesOfParts>
  <Manager/>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2007 - 00-c0-02</dc:title>
  <dc:subject/>
  <dc:creator/>
  <cp:keywords/>
  <dc:description/>
  <cp:lastModifiedBy>svcMRProcess</cp:lastModifiedBy>
  <cp:revision>4</cp:revision>
  <cp:lastPrinted>2006-12-05T07:12:00Z</cp:lastPrinted>
  <dcterms:created xsi:type="dcterms:W3CDTF">2015-12-10T20:28:00Z</dcterms:created>
  <dcterms:modified xsi:type="dcterms:W3CDTF">2015-12-10T20:28:00Z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37439</vt:i4>
  </property>
  <property fmtid="{D5CDD505-2E9C-101B-9397-08002B2CF9AE}" pid="6" name="AsAtDate">
    <vt:lpwstr>23 Jun 2010</vt:lpwstr>
  </property>
  <property fmtid="{D5CDD505-2E9C-101B-9397-08002B2CF9AE}" pid="7" name="Suffix">
    <vt:lpwstr>00-c0-02</vt:lpwstr>
  </property>
</Properties>
</file>