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_Toc264887965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_Toc264887966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_Toc264887967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_Toc264887968 \h </w:instrText>
      </w:r>
      <w:r>
        <w:fldChar w:fldCharType="separate"/>
      </w:r>
      <w:r>
        <w:t>2</w:t>
      </w:r>
      <w:r>
        <w:fldChar w:fldCharType="end"/>
      </w:r>
    </w:p>
    <w:p>
      <w:pPr>
        <w:pStyle w:val="TOC8"/>
        <w:rPr>
          <w:sz w:val="24"/>
          <w:szCs w:val="24"/>
        </w:rPr>
      </w:pPr>
      <w:r>
        <w:rPr>
          <w:szCs w:val="24"/>
        </w:rPr>
        <w:t>5.</w:t>
      </w:r>
      <w:r>
        <w:rPr>
          <w:szCs w:val="24"/>
        </w:rPr>
        <w:tab/>
        <w:t>“Major hazard facility”, meaning of</w:t>
      </w:r>
      <w:r>
        <w:tab/>
      </w:r>
      <w:r>
        <w:fldChar w:fldCharType="begin"/>
      </w:r>
      <w:r>
        <w:instrText xml:space="preserve"> PAGEREF _Toc264887969 \h </w:instrText>
      </w:r>
      <w:r>
        <w:fldChar w:fldCharType="separate"/>
      </w:r>
      <w:r>
        <w:t>6</w:t>
      </w:r>
      <w:r>
        <w:fldChar w:fldCharType="end"/>
      </w:r>
    </w:p>
    <w:p>
      <w:pPr>
        <w:pStyle w:val="TOC8"/>
        <w:rPr>
          <w:sz w:val="24"/>
          <w:szCs w:val="24"/>
        </w:rPr>
      </w:pPr>
      <w:r>
        <w:rPr>
          <w:szCs w:val="24"/>
        </w:rPr>
        <w:t>6.</w:t>
      </w:r>
      <w:r>
        <w:rPr>
          <w:szCs w:val="24"/>
        </w:rPr>
        <w:tab/>
        <w:t>“Place”, meaning of</w:t>
      </w:r>
      <w:r>
        <w:tab/>
      </w:r>
      <w:r>
        <w:fldChar w:fldCharType="begin"/>
      </w:r>
      <w:r>
        <w:instrText xml:space="preserve"> PAGEREF _Toc264887970 \h </w:instrText>
      </w:r>
      <w:r>
        <w:fldChar w:fldCharType="separate"/>
      </w:r>
      <w:r>
        <w:t>6</w:t>
      </w:r>
      <w:r>
        <w:fldChar w:fldCharType="end"/>
      </w:r>
    </w:p>
    <w:p>
      <w:pPr>
        <w:pStyle w:val="TOC8"/>
        <w:rPr>
          <w:sz w:val="24"/>
          <w:szCs w:val="24"/>
        </w:rPr>
      </w:pPr>
      <w:r>
        <w:rPr>
          <w:szCs w:val="24"/>
        </w:rPr>
        <w:t>7.</w:t>
      </w:r>
      <w:r>
        <w:rPr>
          <w:szCs w:val="24"/>
        </w:rPr>
        <w:tab/>
        <w:t>Circumstances in which Schedule 1 substances are likely to be at a place</w:t>
      </w:r>
      <w:r>
        <w:tab/>
      </w:r>
      <w:r>
        <w:fldChar w:fldCharType="begin"/>
      </w:r>
      <w:r>
        <w:instrText xml:space="preserve"> PAGEREF _Toc264887971 \h </w:instrText>
      </w:r>
      <w:r>
        <w:fldChar w:fldCharType="separate"/>
      </w:r>
      <w:r>
        <w:t>7</w:t>
      </w:r>
      <w:r>
        <w:fldChar w:fldCharType="end"/>
      </w:r>
    </w:p>
    <w:p>
      <w:pPr>
        <w:pStyle w:val="TOC8"/>
        <w:rPr>
          <w:sz w:val="24"/>
          <w:szCs w:val="24"/>
        </w:rPr>
      </w:pPr>
      <w:r>
        <w:rPr>
          <w:szCs w:val="24"/>
        </w:rPr>
        <w:t>8.</w:t>
      </w:r>
      <w:r>
        <w:rPr>
          <w:szCs w:val="24"/>
        </w:rPr>
        <w:tab/>
        <w:t>Determining the quantity of substances at a place or likely to be at a place</w:t>
      </w:r>
      <w:r>
        <w:tab/>
      </w:r>
      <w:r>
        <w:fldChar w:fldCharType="begin"/>
      </w:r>
      <w:r>
        <w:instrText xml:space="preserve"> PAGEREF _Toc264887972 \h </w:instrText>
      </w:r>
      <w:r>
        <w:fldChar w:fldCharType="separate"/>
      </w:r>
      <w:r>
        <w:t>7</w:t>
      </w:r>
      <w:r>
        <w:fldChar w:fldCharType="end"/>
      </w:r>
    </w:p>
    <w:p>
      <w:pPr>
        <w:pStyle w:val="TOC8"/>
        <w:rPr>
          <w:sz w:val="24"/>
          <w:szCs w:val="24"/>
        </w:rPr>
      </w:pPr>
      <w:r>
        <w:rPr>
          <w:szCs w:val="24"/>
        </w:rPr>
        <w:t>9.</w:t>
      </w:r>
      <w:r>
        <w:rPr>
          <w:szCs w:val="24"/>
        </w:rPr>
        <w:tab/>
        <w:t>Determining the critical quantity of Schedule 1 substances at a place or likely to be at a place</w:t>
      </w:r>
      <w:r>
        <w:tab/>
      </w:r>
      <w:r>
        <w:fldChar w:fldCharType="begin"/>
      </w:r>
      <w:r>
        <w:instrText xml:space="preserve"> PAGEREF _Toc264887973 \h </w:instrText>
      </w:r>
      <w:r>
        <w:fldChar w:fldCharType="separate"/>
      </w:r>
      <w:r>
        <w:t>8</w:t>
      </w:r>
      <w:r>
        <w:fldChar w:fldCharType="end"/>
      </w:r>
    </w:p>
    <w:p>
      <w:pPr>
        <w:pStyle w:val="TOC8"/>
        <w:rPr>
          <w:sz w:val="24"/>
          <w:szCs w:val="24"/>
        </w:rPr>
      </w:pPr>
      <w:r>
        <w:rPr>
          <w:szCs w:val="24"/>
        </w:rPr>
        <w:t>10.</w:t>
      </w:r>
      <w:r>
        <w:rPr>
          <w:szCs w:val="24"/>
        </w:rPr>
        <w:tab/>
        <w:t>Determining the threshold quantity for a Schedule 1 substance</w:t>
      </w:r>
      <w:r>
        <w:tab/>
      </w:r>
      <w:r>
        <w:fldChar w:fldCharType="begin"/>
      </w:r>
      <w:r>
        <w:instrText xml:space="preserve"> PAGEREF _Toc264887974 \h </w:instrText>
      </w:r>
      <w:r>
        <w:fldChar w:fldCharType="separate"/>
      </w:r>
      <w:r>
        <w:t>9</w:t>
      </w:r>
      <w:r>
        <w:fldChar w:fldCharType="end"/>
      </w:r>
    </w:p>
    <w:p>
      <w:pPr>
        <w:pStyle w:val="TOC2"/>
        <w:tabs>
          <w:tab w:val="right" w:leader="dot" w:pos="7086"/>
        </w:tabs>
        <w:rPr>
          <w:b w:val="0"/>
          <w:sz w:val="24"/>
          <w:szCs w:val="24"/>
        </w:rPr>
      </w:pPr>
      <w:r>
        <w:rPr>
          <w:szCs w:val="30"/>
        </w:rPr>
        <w:t>Part 2 — Main Offences</w:t>
      </w:r>
    </w:p>
    <w:p>
      <w:pPr>
        <w:pStyle w:val="TOC8"/>
        <w:rPr>
          <w:sz w:val="24"/>
          <w:szCs w:val="24"/>
        </w:rPr>
      </w:pPr>
      <w:r>
        <w:rPr>
          <w:szCs w:val="24"/>
        </w:rPr>
        <w:t>11.</w:t>
      </w:r>
      <w:r>
        <w:rPr>
          <w:szCs w:val="24"/>
        </w:rPr>
        <w:tab/>
        <w:t>Schedule 1 substances at a place not to exceed critical quantity without prior notification to Chief Officer</w:t>
      </w:r>
      <w:r>
        <w:tab/>
      </w:r>
      <w:r>
        <w:fldChar w:fldCharType="begin"/>
      </w:r>
      <w:r>
        <w:instrText xml:space="preserve"> PAGEREF _Toc264887976 \h </w:instrText>
      </w:r>
      <w:r>
        <w:fldChar w:fldCharType="separate"/>
      </w:r>
      <w:r>
        <w:t>11</w:t>
      </w:r>
      <w:r>
        <w:fldChar w:fldCharType="end"/>
      </w:r>
    </w:p>
    <w:p>
      <w:pPr>
        <w:pStyle w:val="TOC8"/>
        <w:rPr>
          <w:sz w:val="24"/>
          <w:szCs w:val="24"/>
        </w:rPr>
      </w:pPr>
      <w:r>
        <w:rPr>
          <w:szCs w:val="24"/>
        </w:rPr>
        <w:t>12.</w:t>
      </w:r>
      <w:r>
        <w:rPr>
          <w:szCs w:val="24"/>
        </w:rPr>
        <w:tab/>
        <w:t>No significant change to certain places without prior notification to Chief Officer</w:t>
      </w:r>
      <w:r>
        <w:tab/>
      </w:r>
      <w:r>
        <w:fldChar w:fldCharType="begin"/>
      </w:r>
      <w:r>
        <w:instrText xml:space="preserve"> PAGEREF _Toc264887977 \h </w:instrText>
      </w:r>
      <w:r>
        <w:fldChar w:fldCharType="separate"/>
      </w:r>
      <w:r>
        <w:t>11</w:t>
      </w:r>
      <w:r>
        <w:fldChar w:fldCharType="end"/>
      </w:r>
    </w:p>
    <w:p>
      <w:pPr>
        <w:pStyle w:val="TOC8"/>
        <w:rPr>
          <w:sz w:val="24"/>
          <w:szCs w:val="24"/>
        </w:rPr>
      </w:pPr>
      <w:r>
        <w:rPr>
          <w:szCs w:val="24"/>
        </w:rPr>
        <w:t>13.</w:t>
      </w:r>
      <w:r>
        <w:rPr>
          <w:szCs w:val="24"/>
        </w:rPr>
        <w:tab/>
        <w:t xml:space="preserve">Major hazard facility to operate in accordance with safety management system in approved </w:t>
      </w:r>
      <w:r>
        <w:rPr>
          <w:color w:val="000000"/>
          <w:szCs w:val="24"/>
        </w:rPr>
        <w:t>safety report</w:t>
      </w:r>
      <w:r>
        <w:tab/>
      </w:r>
      <w:r>
        <w:fldChar w:fldCharType="begin"/>
      </w:r>
      <w:r>
        <w:instrText xml:space="preserve"> PAGEREF _Toc264887978 \h </w:instrText>
      </w:r>
      <w:r>
        <w:fldChar w:fldCharType="separate"/>
      </w:r>
      <w:r>
        <w:t>12</w:t>
      </w:r>
      <w:r>
        <w:fldChar w:fldCharType="end"/>
      </w:r>
    </w:p>
    <w:p>
      <w:pPr>
        <w:pStyle w:val="TOC2"/>
        <w:tabs>
          <w:tab w:val="right" w:leader="dot" w:pos="7086"/>
        </w:tabs>
        <w:rPr>
          <w:b w:val="0"/>
          <w:sz w:val="24"/>
          <w:szCs w:val="24"/>
        </w:rPr>
      </w:pPr>
      <w:r>
        <w:rPr>
          <w:szCs w:val="30"/>
        </w:rPr>
        <w:lastRenderedPageBreak/>
        <w:t>Part 3 — Notification requirements</w:t>
      </w:r>
    </w:p>
    <w:p>
      <w:pPr>
        <w:pStyle w:val="TOC8"/>
        <w:rPr>
          <w:sz w:val="24"/>
          <w:szCs w:val="24"/>
        </w:rPr>
      </w:pPr>
      <w:r>
        <w:rPr>
          <w:szCs w:val="24"/>
        </w:rPr>
        <w:t>14.</w:t>
      </w:r>
      <w:r>
        <w:rPr>
          <w:szCs w:val="24"/>
        </w:rPr>
        <w:tab/>
        <w:t>Operator to notify Chief Officer if more than critical quantity of Schedule 1 substances likely to be at the place</w:t>
      </w:r>
      <w:r>
        <w:tab/>
      </w:r>
      <w:r>
        <w:fldChar w:fldCharType="begin"/>
      </w:r>
      <w:r>
        <w:instrText xml:space="preserve"> PAGEREF _Toc264887980 \h </w:instrText>
      </w:r>
      <w:r>
        <w:fldChar w:fldCharType="separate"/>
      </w:r>
      <w:r>
        <w:t>13</w:t>
      </w:r>
      <w:r>
        <w:fldChar w:fldCharType="end"/>
      </w:r>
    </w:p>
    <w:p>
      <w:pPr>
        <w:pStyle w:val="TOC8"/>
        <w:rPr>
          <w:sz w:val="24"/>
          <w:szCs w:val="24"/>
        </w:rPr>
      </w:pPr>
      <w:r>
        <w:rPr>
          <w:szCs w:val="24"/>
        </w:rPr>
        <w:t>15.</w:t>
      </w:r>
      <w:r>
        <w:rPr>
          <w:szCs w:val="24"/>
        </w:rPr>
        <w:tab/>
        <w:t>Operator of certain places to notify Chief Officer of change</w:t>
      </w:r>
      <w:r>
        <w:tab/>
      </w:r>
      <w:r>
        <w:fldChar w:fldCharType="begin"/>
      </w:r>
      <w:r>
        <w:instrText xml:space="preserve"> PAGEREF _Toc264887981 \h </w:instrText>
      </w:r>
      <w:r>
        <w:fldChar w:fldCharType="separate"/>
      </w:r>
      <w:r>
        <w:t>13</w:t>
      </w:r>
      <w:r>
        <w:fldChar w:fldCharType="end"/>
      </w:r>
    </w:p>
    <w:p>
      <w:pPr>
        <w:pStyle w:val="TOC8"/>
        <w:rPr>
          <w:sz w:val="24"/>
          <w:szCs w:val="24"/>
        </w:rPr>
      </w:pPr>
      <w:r>
        <w:rPr>
          <w:szCs w:val="24"/>
        </w:rPr>
        <w:t>16.</w:t>
      </w:r>
      <w:r>
        <w:rPr>
          <w:szCs w:val="24"/>
        </w:rPr>
        <w:tab/>
        <w:t>Chief Officer may direct operator to give notification</w:t>
      </w:r>
      <w:r>
        <w:tab/>
      </w:r>
      <w:r>
        <w:fldChar w:fldCharType="begin"/>
      </w:r>
      <w:r>
        <w:instrText xml:space="preserve"> PAGEREF _Toc264887982 \h </w:instrText>
      </w:r>
      <w:r>
        <w:fldChar w:fldCharType="separate"/>
      </w:r>
      <w:r>
        <w:t>14</w:t>
      </w:r>
      <w:r>
        <w:fldChar w:fldCharType="end"/>
      </w:r>
    </w:p>
    <w:p>
      <w:pPr>
        <w:pStyle w:val="TOC8"/>
        <w:rPr>
          <w:sz w:val="24"/>
          <w:szCs w:val="24"/>
        </w:rPr>
      </w:pPr>
      <w:r>
        <w:rPr>
          <w:szCs w:val="24"/>
        </w:rPr>
        <w:t>17.</w:t>
      </w:r>
      <w:r>
        <w:rPr>
          <w:szCs w:val="24"/>
        </w:rPr>
        <w:tab/>
        <w:t>Notification required</w:t>
      </w:r>
      <w:r>
        <w:tab/>
      </w:r>
      <w:r>
        <w:fldChar w:fldCharType="begin"/>
      </w:r>
      <w:r>
        <w:instrText xml:space="preserve"> PAGEREF _Toc264887983 \h </w:instrText>
      </w:r>
      <w:r>
        <w:fldChar w:fldCharType="separate"/>
      </w:r>
      <w:r>
        <w:t>15</w:t>
      </w:r>
      <w:r>
        <w:fldChar w:fldCharType="end"/>
      </w:r>
    </w:p>
    <w:p>
      <w:pPr>
        <w:pStyle w:val="TOC8"/>
        <w:rPr>
          <w:sz w:val="24"/>
          <w:szCs w:val="24"/>
        </w:rPr>
      </w:pPr>
      <w:r>
        <w:rPr>
          <w:szCs w:val="24"/>
        </w:rPr>
        <w:t>18.</w:t>
      </w:r>
      <w:r>
        <w:rPr>
          <w:szCs w:val="24"/>
        </w:rPr>
        <w:tab/>
        <w:t>Chief Officer may direct operator to give further information</w:t>
      </w:r>
      <w:r>
        <w:tab/>
      </w:r>
      <w:r>
        <w:fldChar w:fldCharType="begin"/>
      </w:r>
      <w:r>
        <w:instrText xml:space="preserve"> PAGEREF _Toc264887984 \h </w:instrText>
      </w:r>
      <w:r>
        <w:fldChar w:fldCharType="separate"/>
      </w:r>
      <w:r>
        <w:t>16</w:t>
      </w:r>
      <w:r>
        <w:fldChar w:fldCharType="end"/>
      </w:r>
    </w:p>
    <w:p>
      <w:pPr>
        <w:pStyle w:val="TOC2"/>
        <w:tabs>
          <w:tab w:val="right" w:leader="dot" w:pos="7086"/>
        </w:tabs>
        <w:rPr>
          <w:b w:val="0"/>
          <w:sz w:val="24"/>
          <w:szCs w:val="24"/>
        </w:rPr>
      </w:pPr>
      <w:r>
        <w:rPr>
          <w:szCs w:val="30"/>
        </w:rPr>
        <w:t>Part 4 — Certain places to be major hazard facilities</w:t>
      </w:r>
    </w:p>
    <w:p>
      <w:pPr>
        <w:pStyle w:val="TOC8"/>
        <w:rPr>
          <w:sz w:val="24"/>
          <w:szCs w:val="24"/>
        </w:rPr>
      </w:pPr>
      <w:r>
        <w:rPr>
          <w:szCs w:val="24"/>
        </w:rPr>
        <w:t>19.</w:t>
      </w:r>
      <w:r>
        <w:rPr>
          <w:szCs w:val="24"/>
        </w:rPr>
        <w:tab/>
        <w:t>Classification of certain places as major hazard facilities</w:t>
      </w:r>
      <w:r>
        <w:tab/>
      </w:r>
      <w:r>
        <w:fldChar w:fldCharType="begin"/>
      </w:r>
      <w:r>
        <w:instrText xml:space="preserve"> PAGEREF _Toc264887986 \h </w:instrText>
      </w:r>
      <w:r>
        <w:fldChar w:fldCharType="separate"/>
      </w:r>
      <w:r>
        <w:t>17</w:t>
      </w:r>
      <w:r>
        <w:fldChar w:fldCharType="end"/>
      </w:r>
    </w:p>
    <w:p>
      <w:pPr>
        <w:pStyle w:val="TOC8"/>
        <w:rPr>
          <w:sz w:val="24"/>
          <w:szCs w:val="24"/>
        </w:rPr>
      </w:pPr>
      <w:r>
        <w:rPr>
          <w:szCs w:val="24"/>
        </w:rPr>
        <w:t>20.</w:t>
      </w:r>
      <w:r>
        <w:rPr>
          <w:szCs w:val="24"/>
        </w:rPr>
        <w:tab/>
        <w:t>Chief Officer to consult in relation to a decision to classify a place as a major hazard facility</w:t>
      </w:r>
      <w:r>
        <w:tab/>
      </w:r>
      <w:r>
        <w:fldChar w:fldCharType="begin"/>
      </w:r>
      <w:r>
        <w:instrText xml:space="preserve"> PAGEREF _Toc264887987 \h </w:instrText>
      </w:r>
      <w:r>
        <w:fldChar w:fldCharType="separate"/>
      </w:r>
      <w:r>
        <w:t>18</w:t>
      </w:r>
      <w:r>
        <w:fldChar w:fldCharType="end"/>
      </w:r>
    </w:p>
    <w:p>
      <w:pPr>
        <w:pStyle w:val="TOC8"/>
        <w:rPr>
          <w:sz w:val="24"/>
          <w:szCs w:val="24"/>
        </w:rPr>
      </w:pPr>
      <w:r>
        <w:rPr>
          <w:szCs w:val="24"/>
        </w:rPr>
        <w:t>21.</w:t>
      </w:r>
      <w:r>
        <w:rPr>
          <w:szCs w:val="24"/>
        </w:rPr>
        <w:tab/>
        <w:t>Chief Officer to notify decision whether or not to classify a place as a major hazard facility</w:t>
      </w:r>
      <w:r>
        <w:tab/>
      </w:r>
      <w:r>
        <w:fldChar w:fldCharType="begin"/>
      </w:r>
      <w:r>
        <w:instrText xml:space="preserve"> PAGEREF _Toc264887988 \h </w:instrText>
      </w:r>
      <w:r>
        <w:fldChar w:fldCharType="separate"/>
      </w:r>
      <w:r>
        <w:t>18</w:t>
      </w:r>
      <w:r>
        <w:fldChar w:fldCharType="end"/>
      </w:r>
    </w:p>
    <w:p>
      <w:pPr>
        <w:pStyle w:val="TOC8"/>
        <w:rPr>
          <w:sz w:val="24"/>
          <w:szCs w:val="24"/>
        </w:rPr>
      </w:pPr>
      <w:r>
        <w:rPr>
          <w:szCs w:val="24"/>
        </w:rPr>
        <w:t>22.</w:t>
      </w:r>
      <w:r>
        <w:rPr>
          <w:szCs w:val="24"/>
        </w:rPr>
        <w:tab/>
        <w:t>Chief Officer may revoke decision to classify a place as a major hazard facility</w:t>
      </w:r>
      <w:r>
        <w:tab/>
      </w:r>
      <w:r>
        <w:fldChar w:fldCharType="begin"/>
      </w:r>
      <w:r>
        <w:instrText xml:space="preserve"> PAGEREF _Toc264887989 \h </w:instrText>
      </w:r>
      <w:r>
        <w:fldChar w:fldCharType="separate"/>
      </w:r>
      <w:r>
        <w:t>19</w:t>
      </w:r>
      <w:r>
        <w:fldChar w:fldCharType="end"/>
      </w:r>
    </w:p>
    <w:p>
      <w:pPr>
        <w:pStyle w:val="TOC2"/>
        <w:tabs>
          <w:tab w:val="right" w:leader="dot" w:pos="7086"/>
        </w:tabs>
        <w:rPr>
          <w:b w:val="0"/>
          <w:sz w:val="24"/>
          <w:szCs w:val="24"/>
        </w:rPr>
      </w:pPr>
      <w:r>
        <w:rPr>
          <w:szCs w:val="30"/>
        </w:rPr>
        <w:t>Part 5 — </w:t>
      </w:r>
      <w:r>
        <w:rPr>
          <w:color w:val="000000"/>
          <w:szCs w:val="30"/>
        </w:rPr>
        <w:t>Safety reports</w:t>
      </w:r>
    </w:p>
    <w:p>
      <w:pPr>
        <w:pStyle w:val="TOC8"/>
        <w:rPr>
          <w:sz w:val="24"/>
          <w:szCs w:val="24"/>
        </w:rPr>
      </w:pPr>
      <w:r>
        <w:rPr>
          <w:szCs w:val="24"/>
        </w:rPr>
        <w:t>23.</w:t>
      </w:r>
      <w:r>
        <w:rPr>
          <w:szCs w:val="24"/>
        </w:rPr>
        <w:tab/>
        <w:t xml:space="preserve">Duty to </w:t>
      </w:r>
      <w:r>
        <w:rPr>
          <w:color w:val="000000"/>
          <w:szCs w:val="24"/>
        </w:rPr>
        <w:t>prepare risk assessment</w:t>
      </w:r>
      <w:r>
        <w:tab/>
      </w:r>
      <w:r>
        <w:fldChar w:fldCharType="begin"/>
      </w:r>
      <w:r>
        <w:instrText xml:space="preserve"> PAGEREF _Toc264887991 \h </w:instrText>
      </w:r>
      <w:r>
        <w:fldChar w:fldCharType="separate"/>
      </w:r>
      <w:r>
        <w:t>20</w:t>
      </w:r>
      <w:r>
        <w:fldChar w:fldCharType="end"/>
      </w:r>
    </w:p>
    <w:p>
      <w:pPr>
        <w:pStyle w:val="TOC8"/>
        <w:rPr>
          <w:sz w:val="24"/>
          <w:szCs w:val="24"/>
        </w:rPr>
      </w:pPr>
      <w:r>
        <w:rPr>
          <w:szCs w:val="24"/>
        </w:rPr>
        <w:t>24.</w:t>
      </w:r>
      <w:r>
        <w:rPr>
          <w:szCs w:val="24"/>
        </w:rPr>
        <w:tab/>
        <w:t xml:space="preserve">Duty to </w:t>
      </w:r>
      <w:r>
        <w:rPr>
          <w:color w:val="000000"/>
          <w:szCs w:val="24"/>
        </w:rPr>
        <w:t>prepare safety management system</w:t>
      </w:r>
      <w:r>
        <w:tab/>
      </w:r>
      <w:r>
        <w:fldChar w:fldCharType="begin"/>
      </w:r>
      <w:r>
        <w:instrText xml:space="preserve"> PAGEREF _Toc264887992 \h </w:instrText>
      </w:r>
      <w:r>
        <w:fldChar w:fldCharType="separate"/>
      </w:r>
      <w:r>
        <w:t>21</w:t>
      </w:r>
      <w:r>
        <w:fldChar w:fldCharType="end"/>
      </w:r>
    </w:p>
    <w:p>
      <w:pPr>
        <w:pStyle w:val="TOC8"/>
        <w:rPr>
          <w:sz w:val="24"/>
          <w:szCs w:val="24"/>
        </w:rPr>
      </w:pPr>
      <w:r>
        <w:rPr>
          <w:szCs w:val="24"/>
        </w:rPr>
        <w:t>25.</w:t>
      </w:r>
      <w:r>
        <w:rPr>
          <w:szCs w:val="24"/>
        </w:rPr>
        <w:tab/>
        <w:t xml:space="preserve">Duty to </w:t>
      </w:r>
      <w:r>
        <w:rPr>
          <w:color w:val="000000"/>
          <w:szCs w:val="24"/>
        </w:rPr>
        <w:t>prepare safety report</w:t>
      </w:r>
      <w:r>
        <w:tab/>
      </w:r>
      <w:r>
        <w:fldChar w:fldCharType="begin"/>
      </w:r>
      <w:r>
        <w:instrText xml:space="preserve"> PAGEREF _Toc264887993 \h </w:instrText>
      </w:r>
      <w:r>
        <w:fldChar w:fldCharType="separate"/>
      </w:r>
      <w:r>
        <w:t>21</w:t>
      </w:r>
      <w:r>
        <w:fldChar w:fldCharType="end"/>
      </w:r>
    </w:p>
    <w:p>
      <w:pPr>
        <w:pStyle w:val="TOC8"/>
        <w:rPr>
          <w:sz w:val="24"/>
          <w:szCs w:val="24"/>
        </w:rPr>
      </w:pPr>
      <w:r>
        <w:rPr>
          <w:szCs w:val="24"/>
        </w:rPr>
        <w:t>26.</w:t>
      </w:r>
      <w:r>
        <w:rPr>
          <w:szCs w:val="24"/>
        </w:rPr>
        <w:tab/>
        <w:t xml:space="preserve">Application for approval of </w:t>
      </w:r>
      <w:r>
        <w:rPr>
          <w:color w:val="000000"/>
          <w:szCs w:val="24"/>
        </w:rPr>
        <w:t>safety report</w:t>
      </w:r>
      <w:r>
        <w:tab/>
      </w:r>
      <w:r>
        <w:fldChar w:fldCharType="begin"/>
      </w:r>
      <w:r>
        <w:instrText xml:space="preserve"> PAGEREF _Toc264887994 \h </w:instrText>
      </w:r>
      <w:r>
        <w:fldChar w:fldCharType="separate"/>
      </w:r>
      <w:r>
        <w:t>22</w:t>
      </w:r>
      <w:r>
        <w:fldChar w:fldCharType="end"/>
      </w:r>
    </w:p>
    <w:p>
      <w:pPr>
        <w:pStyle w:val="TOC8"/>
        <w:rPr>
          <w:sz w:val="24"/>
          <w:szCs w:val="24"/>
        </w:rPr>
      </w:pPr>
      <w:r>
        <w:rPr>
          <w:szCs w:val="24"/>
        </w:rPr>
        <w:t>27.</w:t>
      </w:r>
      <w:r>
        <w:rPr>
          <w:szCs w:val="24"/>
        </w:rPr>
        <w:tab/>
        <w:t xml:space="preserve">Approval of </w:t>
      </w:r>
      <w:r>
        <w:rPr>
          <w:color w:val="000000"/>
          <w:szCs w:val="24"/>
        </w:rPr>
        <w:t>safety report</w:t>
      </w:r>
      <w:r>
        <w:rPr>
          <w:szCs w:val="24"/>
        </w:rPr>
        <w:t xml:space="preserve"> by the Chief Officer</w:t>
      </w:r>
      <w:r>
        <w:tab/>
      </w:r>
      <w:r>
        <w:fldChar w:fldCharType="begin"/>
      </w:r>
      <w:r>
        <w:instrText xml:space="preserve"> PAGEREF _Toc264887995 \h </w:instrText>
      </w:r>
      <w:r>
        <w:fldChar w:fldCharType="separate"/>
      </w:r>
      <w:r>
        <w:t>22</w:t>
      </w:r>
      <w:r>
        <w:fldChar w:fldCharType="end"/>
      </w:r>
    </w:p>
    <w:p>
      <w:pPr>
        <w:pStyle w:val="TOC8"/>
        <w:rPr>
          <w:sz w:val="24"/>
          <w:szCs w:val="24"/>
        </w:rPr>
      </w:pPr>
      <w:r>
        <w:rPr>
          <w:szCs w:val="24"/>
        </w:rPr>
        <w:t>28.</w:t>
      </w:r>
      <w:r>
        <w:rPr>
          <w:szCs w:val="24"/>
        </w:rPr>
        <w:tab/>
        <w:t xml:space="preserve">Withdrawal of approval of </w:t>
      </w:r>
      <w:r>
        <w:rPr>
          <w:color w:val="000000"/>
          <w:szCs w:val="24"/>
        </w:rPr>
        <w:t>safety report</w:t>
      </w:r>
      <w:r>
        <w:tab/>
      </w:r>
      <w:r>
        <w:fldChar w:fldCharType="begin"/>
      </w:r>
      <w:r>
        <w:instrText xml:space="preserve"> PAGEREF _Toc264887996 \h </w:instrText>
      </w:r>
      <w:r>
        <w:fldChar w:fldCharType="separate"/>
      </w:r>
      <w:r>
        <w:t>23</w:t>
      </w:r>
      <w:r>
        <w:fldChar w:fldCharType="end"/>
      </w:r>
    </w:p>
    <w:p>
      <w:pPr>
        <w:pStyle w:val="TOC8"/>
        <w:rPr>
          <w:sz w:val="24"/>
          <w:szCs w:val="24"/>
        </w:rPr>
      </w:pPr>
      <w:r>
        <w:rPr>
          <w:szCs w:val="24"/>
        </w:rPr>
        <w:t>29.</w:t>
      </w:r>
      <w:r>
        <w:rPr>
          <w:szCs w:val="24"/>
        </w:rPr>
        <w:tab/>
        <w:t xml:space="preserve">Chief Officer to consult and notify in relation to approval of </w:t>
      </w:r>
      <w:r>
        <w:rPr>
          <w:color w:val="000000"/>
          <w:szCs w:val="24"/>
        </w:rPr>
        <w:t>safety report</w:t>
      </w:r>
      <w:r>
        <w:tab/>
      </w:r>
      <w:r>
        <w:fldChar w:fldCharType="begin"/>
      </w:r>
      <w:r>
        <w:instrText xml:space="preserve"> PAGEREF _Toc264887997 \h </w:instrText>
      </w:r>
      <w:r>
        <w:fldChar w:fldCharType="separate"/>
      </w:r>
      <w:r>
        <w:t>23</w:t>
      </w:r>
      <w:r>
        <w:fldChar w:fldCharType="end"/>
      </w:r>
    </w:p>
    <w:p>
      <w:pPr>
        <w:pStyle w:val="TOC8"/>
        <w:rPr>
          <w:sz w:val="24"/>
          <w:szCs w:val="24"/>
        </w:rPr>
      </w:pPr>
      <w:r>
        <w:rPr>
          <w:szCs w:val="24"/>
        </w:rPr>
        <w:t>30.</w:t>
      </w:r>
      <w:r>
        <w:rPr>
          <w:szCs w:val="24"/>
        </w:rPr>
        <w:tab/>
        <w:t>Operators to review safety reports</w:t>
      </w:r>
      <w:r>
        <w:tab/>
      </w:r>
      <w:r>
        <w:fldChar w:fldCharType="begin"/>
      </w:r>
      <w:r>
        <w:instrText xml:space="preserve"> PAGEREF _Toc264887998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31.</w:t>
      </w:r>
      <w:r>
        <w:rPr>
          <w:szCs w:val="24"/>
        </w:rPr>
        <w:tab/>
        <w:t>Direction to provide information to nearby major hazard facility</w:t>
      </w:r>
      <w:r>
        <w:tab/>
      </w:r>
      <w:r>
        <w:fldChar w:fldCharType="begin"/>
      </w:r>
      <w:r>
        <w:instrText xml:space="preserve"> PAGEREF _Toc264888000 \h </w:instrText>
      </w:r>
      <w:r>
        <w:fldChar w:fldCharType="separate"/>
      </w:r>
      <w:r>
        <w:t>27</w:t>
      </w:r>
      <w:r>
        <w:fldChar w:fldCharType="end"/>
      </w:r>
    </w:p>
    <w:p>
      <w:pPr>
        <w:pStyle w:val="TOC8"/>
        <w:rPr>
          <w:sz w:val="24"/>
          <w:szCs w:val="24"/>
        </w:rPr>
      </w:pPr>
      <w:r>
        <w:rPr>
          <w:szCs w:val="24"/>
        </w:rPr>
        <w:t>32.</w:t>
      </w:r>
      <w:r>
        <w:rPr>
          <w:szCs w:val="24"/>
        </w:rPr>
        <w:tab/>
        <w:t>Operator of major hazard facility to notify Chief Officer of closure</w:t>
      </w:r>
      <w:r>
        <w:tab/>
      </w:r>
      <w:r>
        <w:fldChar w:fldCharType="begin"/>
      </w:r>
      <w:r>
        <w:instrText xml:space="preserve"> PAGEREF _Toc264888001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Threshold quantity for Schedule 1 substances</w:t>
      </w:r>
    </w:p>
    <w:p>
      <w:pPr>
        <w:pStyle w:val="TOC8"/>
        <w:rPr>
          <w:sz w:val="24"/>
          <w:szCs w:val="24"/>
        </w:rPr>
      </w:pPr>
      <w:r>
        <w:rPr>
          <w:szCs w:val="22"/>
        </w:rPr>
        <w:t>1.</w:t>
      </w:r>
      <w:r>
        <w:rPr>
          <w:szCs w:val="22"/>
        </w:rPr>
        <w:tab/>
        <w:t>Threshold quantity for substances</w:t>
      </w:r>
      <w:r>
        <w:tab/>
      </w:r>
      <w:r>
        <w:fldChar w:fldCharType="begin"/>
      </w:r>
      <w:r>
        <w:instrText xml:space="preserve"> PAGEREF _Toc264888003 \h </w:instrText>
      </w:r>
      <w:r>
        <w:fldChar w:fldCharType="separate"/>
      </w:r>
      <w:r>
        <w:t>28</w:t>
      </w:r>
      <w:r>
        <w:fldChar w:fldCharType="end"/>
      </w:r>
    </w:p>
    <w:p>
      <w:pPr>
        <w:pStyle w:val="TOC8"/>
        <w:rPr>
          <w:sz w:val="24"/>
          <w:szCs w:val="24"/>
        </w:rPr>
      </w:pPr>
      <w:r>
        <w:rPr>
          <w:szCs w:val="22"/>
        </w:rPr>
        <w:t>2.</w:t>
      </w:r>
      <w:r>
        <w:rPr>
          <w:szCs w:val="22"/>
        </w:rPr>
        <w:tab/>
        <w:t>Threshold quantity for categories of substances</w:t>
      </w:r>
      <w:r>
        <w:tab/>
      </w:r>
      <w:r>
        <w:fldChar w:fldCharType="begin"/>
      </w:r>
      <w:r>
        <w:instrText xml:space="preserve"> PAGEREF _Toc264888004 \h </w:instrText>
      </w:r>
      <w:r>
        <w:fldChar w:fldCharType="separate"/>
      </w:r>
      <w:r>
        <w:t>30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Notifiable information</w:t>
      </w:r>
    </w:p>
    <w:p>
      <w:pPr>
        <w:pStyle w:val="TOC8"/>
        <w:rPr>
          <w:sz w:val="24"/>
          <w:szCs w:val="24"/>
        </w:rPr>
      </w:pPr>
      <w:r>
        <w:rPr>
          <w:szCs w:val="22"/>
        </w:rPr>
        <w:t>1.</w:t>
      </w:r>
      <w:r>
        <w:rPr>
          <w:szCs w:val="22"/>
        </w:rPr>
        <w:tab/>
        <w:t>“Material safety data sheet”, meaning of</w:t>
      </w:r>
      <w:r>
        <w:tab/>
      </w:r>
      <w:r>
        <w:fldChar w:fldCharType="begin"/>
      </w:r>
      <w:r>
        <w:instrText xml:space="preserve"> PAGEREF _Toc264888006 \h </w:instrText>
      </w:r>
      <w:r>
        <w:fldChar w:fldCharType="separate"/>
      </w:r>
      <w:r>
        <w:t>35</w:t>
      </w:r>
      <w:r>
        <w:fldChar w:fldCharType="end"/>
      </w:r>
    </w:p>
    <w:p>
      <w:pPr>
        <w:pStyle w:val="TOC8"/>
        <w:rPr>
          <w:sz w:val="24"/>
          <w:szCs w:val="24"/>
        </w:rPr>
      </w:pPr>
      <w:r>
        <w:rPr>
          <w:szCs w:val="22"/>
        </w:rPr>
        <w:t>2.</w:t>
      </w:r>
      <w:r>
        <w:rPr>
          <w:szCs w:val="22"/>
        </w:rPr>
        <w:tab/>
        <w:t>Notifiable information</w:t>
      </w:r>
      <w:r>
        <w:tab/>
      </w:r>
      <w:r>
        <w:fldChar w:fldCharType="begin"/>
      </w:r>
      <w:r>
        <w:instrText xml:space="preserve"> PAGEREF _Toc264888007 \h </w:instrText>
      </w:r>
      <w:r>
        <w:fldChar w:fldCharType="separate"/>
      </w:r>
      <w:r>
        <w:t>35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Fees</w:t>
      </w:r>
      <w:r>
        <w:tab/>
      </w:r>
      <w:r>
        <w:fldChar w:fldCharType="begin"/>
      </w:r>
      <w:r>
        <w:instrText xml:space="preserve"> PAGEREF _Toc264888009 \h </w:instrText>
      </w:r>
      <w:r>
        <w:fldChar w:fldCharType="separate"/>
      </w:r>
      <w:r>
        <w:t>36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 xml:space="preserve">Procedures to be included in </w:t>
      </w:r>
      <w:r>
        <w:rPr>
          <w:color w:val="000000"/>
          <w:szCs w:val="28"/>
        </w:rPr>
        <w:t>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_Toc264888011 \h </w:instrText>
      </w:r>
      <w:r>
        <w:fldChar w:fldCharType="separate"/>
      </w:r>
      <w:r>
        <w:t>37</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_Toc264888012 \h </w:instrText>
      </w:r>
      <w:r>
        <w:fldChar w:fldCharType="separate"/>
      </w:r>
      <w:r>
        <w:t>37</w:t>
      </w:r>
      <w:r>
        <w:fldChar w:fldCharType="end"/>
      </w:r>
    </w:p>
    <w:p>
      <w:pPr>
        <w:pStyle w:val="TOC8"/>
        <w:rPr>
          <w:sz w:val="24"/>
          <w:szCs w:val="24"/>
        </w:rPr>
      </w:pPr>
      <w:r>
        <w:rPr>
          <w:szCs w:val="22"/>
        </w:rPr>
        <w:t>3.</w:t>
      </w:r>
      <w:r>
        <w:rPr>
          <w:szCs w:val="22"/>
        </w:rPr>
        <w:tab/>
        <w:t>Security</w:t>
      </w:r>
      <w:r>
        <w:tab/>
      </w:r>
      <w:r>
        <w:fldChar w:fldCharType="begin"/>
      </w:r>
      <w:r>
        <w:instrText xml:space="preserve"> PAGEREF _Toc264888013 \h </w:instrText>
      </w:r>
      <w:r>
        <w:fldChar w:fldCharType="separate"/>
      </w:r>
      <w:r>
        <w:t>37</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_Toc264888014 \h </w:instrText>
      </w:r>
      <w:r>
        <w:fldChar w:fldCharType="separate"/>
      </w:r>
      <w:r>
        <w:t>37</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_Toc264888015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_Toc264888017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2" w:name="_Toc191980765"/>
      <w:bookmarkStart w:id="3" w:name="_Toc233693204"/>
      <w:bookmarkStart w:id="4" w:name="_Toc264887892"/>
      <w:bookmarkStart w:id="5" w:name="_Toc2648879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26488796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8" w:name="_Toc264887966"/>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9" w:name="_Toc264887967"/>
      <w:r>
        <w:rPr>
          <w:rStyle w:val="CharSectno"/>
        </w:rPr>
        <w:t>3</w:t>
      </w:r>
      <w:r>
        <w:t>.</w:t>
      </w:r>
      <w:r>
        <w:tab/>
        <w:t>Application</w:t>
      </w:r>
      <w:bookmarkEnd w:id="9"/>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0" w:name="_Toc264887968"/>
      <w:r>
        <w:rPr>
          <w:rStyle w:val="CharSectno"/>
        </w:rPr>
        <w:t>4</w:t>
      </w:r>
      <w:r>
        <w:t>.</w:t>
      </w:r>
      <w:r>
        <w:tab/>
        <w:t>Terms used in these regulations</w:t>
      </w:r>
      <w:bookmarkEnd w:id="10"/>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1" w:name="_Toc264887969"/>
      <w:r>
        <w:rPr>
          <w:rStyle w:val="CharSectno"/>
        </w:rPr>
        <w:t>5</w:t>
      </w:r>
      <w:r>
        <w:t>.</w:t>
      </w:r>
      <w:r>
        <w:tab/>
        <w:t>“Major hazard facility”, meaning of</w:t>
      </w:r>
      <w:bookmarkEnd w:id="11"/>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2" w:name="_Toc264887970"/>
      <w:r>
        <w:rPr>
          <w:rStyle w:val="CharSectno"/>
        </w:rPr>
        <w:t>6</w:t>
      </w:r>
      <w:r>
        <w:t>.</w:t>
      </w:r>
      <w:r>
        <w:tab/>
        <w:t>“Place”, meaning of</w:t>
      </w:r>
      <w:bookmarkEnd w:id="12"/>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3" w:name="_Toc264887971"/>
      <w:r>
        <w:rPr>
          <w:rStyle w:val="CharSectno"/>
        </w:rPr>
        <w:t>7</w:t>
      </w:r>
      <w:r>
        <w:t>.</w:t>
      </w:r>
      <w:r>
        <w:tab/>
        <w:t>Circumstances in which Schedule 1 substances are likely to be at a place</w:t>
      </w:r>
      <w:bookmarkEnd w:id="1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4" w:name="_Toc264887972"/>
      <w:r>
        <w:rPr>
          <w:rStyle w:val="CharSectno"/>
        </w:rPr>
        <w:t>8</w:t>
      </w:r>
      <w:r>
        <w:t>.</w:t>
      </w:r>
      <w:r>
        <w:tab/>
        <w:t>Determining the quantity of substances at a place or likely to be at a place</w:t>
      </w:r>
      <w:bookmarkEnd w:id="1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5" w:name="_Toc264887973"/>
      <w:r>
        <w:rPr>
          <w:rStyle w:val="CharSectno"/>
        </w:rPr>
        <w:t>9</w:t>
      </w:r>
      <w:r>
        <w:t>.</w:t>
      </w:r>
      <w:r>
        <w:tab/>
        <w:t>Determining the critical quantity of Schedule 1 substances at a place or likely to be at a place</w:t>
      </w:r>
      <w:bookmarkEnd w:id="1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6" w:name="_Toc264887974"/>
      <w:r>
        <w:rPr>
          <w:rStyle w:val="CharSectno"/>
        </w:rPr>
        <w:t>10</w:t>
      </w:r>
      <w:r>
        <w:t>.</w:t>
      </w:r>
      <w:r>
        <w:tab/>
        <w:t>Determining the threshold quantity for a Schedule 1 substance</w:t>
      </w:r>
      <w:bookmarkEnd w:id="1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7" w:name="_Toc191980776"/>
      <w:bookmarkStart w:id="18" w:name="_Toc233693215"/>
      <w:bookmarkStart w:id="19" w:name="_Toc264887903"/>
      <w:bookmarkStart w:id="20" w:name="_Toc264887975"/>
      <w:r>
        <w:rPr>
          <w:rStyle w:val="CharPartNo"/>
        </w:rPr>
        <w:t>Part 2</w:t>
      </w:r>
      <w:r>
        <w:rPr>
          <w:rStyle w:val="CharDivNo"/>
        </w:rPr>
        <w:t> </w:t>
      </w:r>
      <w:r>
        <w:t>—</w:t>
      </w:r>
      <w:r>
        <w:rPr>
          <w:rStyle w:val="CharDivText"/>
        </w:rPr>
        <w:t> </w:t>
      </w:r>
      <w:r>
        <w:rPr>
          <w:rStyle w:val="CharPartText"/>
        </w:rPr>
        <w:t>Main Offences</w:t>
      </w:r>
      <w:bookmarkEnd w:id="17"/>
      <w:bookmarkEnd w:id="18"/>
      <w:bookmarkEnd w:id="19"/>
      <w:bookmarkEnd w:id="20"/>
    </w:p>
    <w:p>
      <w:pPr>
        <w:pStyle w:val="Heading5"/>
      </w:pPr>
      <w:bookmarkStart w:id="21" w:name="_Toc264887976"/>
      <w:r>
        <w:rPr>
          <w:rStyle w:val="CharSectno"/>
        </w:rPr>
        <w:t>11</w:t>
      </w:r>
      <w:r>
        <w:t>.</w:t>
      </w:r>
      <w:r>
        <w:tab/>
        <w:t>Schedule 1 substances at a place not to exceed critical quantity without prior notification to Chief Officer</w:t>
      </w:r>
      <w:bookmarkEnd w:id="21"/>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2" w:name="_Toc264887977"/>
      <w:r>
        <w:rPr>
          <w:rStyle w:val="CharSectno"/>
        </w:rPr>
        <w:t>12</w:t>
      </w:r>
      <w:r>
        <w:t>.</w:t>
      </w:r>
      <w:r>
        <w:tab/>
        <w:t>No significant change to certain places without prior notification to Chief Officer</w:t>
      </w:r>
      <w:bookmarkEnd w:id="22"/>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3" w:name="_Toc264887978"/>
      <w:r>
        <w:rPr>
          <w:rStyle w:val="CharSectno"/>
        </w:rPr>
        <w:t>13</w:t>
      </w:r>
      <w:r>
        <w:t>.</w:t>
      </w:r>
      <w:r>
        <w:tab/>
        <w:t xml:space="preserve">Major hazard facility to operate in accordance with safety management system in approved </w:t>
      </w:r>
      <w:r>
        <w:rPr>
          <w:color w:val="000000"/>
        </w:rPr>
        <w:t>safety report</w:t>
      </w:r>
      <w:bookmarkEnd w:id="2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4" w:name="_Toc191980780"/>
      <w:bookmarkStart w:id="25" w:name="_Toc233693219"/>
      <w:bookmarkStart w:id="26" w:name="_Toc264887907"/>
      <w:bookmarkStart w:id="27" w:name="_Toc264887979"/>
      <w:r>
        <w:rPr>
          <w:rStyle w:val="CharPartNo"/>
        </w:rPr>
        <w:t>Part 3</w:t>
      </w:r>
      <w:r>
        <w:rPr>
          <w:rStyle w:val="CharDivNo"/>
        </w:rPr>
        <w:t> </w:t>
      </w:r>
      <w:r>
        <w:t>—</w:t>
      </w:r>
      <w:r>
        <w:rPr>
          <w:rStyle w:val="CharDivText"/>
        </w:rPr>
        <w:t> </w:t>
      </w:r>
      <w:r>
        <w:rPr>
          <w:rStyle w:val="CharPartText"/>
        </w:rPr>
        <w:t>Notification requirements</w:t>
      </w:r>
      <w:bookmarkEnd w:id="24"/>
      <w:bookmarkEnd w:id="25"/>
      <w:bookmarkEnd w:id="26"/>
      <w:bookmarkEnd w:id="27"/>
    </w:p>
    <w:p>
      <w:pPr>
        <w:pStyle w:val="Heading5"/>
      </w:pPr>
      <w:bookmarkStart w:id="28" w:name="_Toc264887980"/>
      <w:r>
        <w:rPr>
          <w:rStyle w:val="CharSectno"/>
        </w:rPr>
        <w:t>14</w:t>
      </w:r>
      <w:r>
        <w:t>.</w:t>
      </w:r>
      <w:r>
        <w:tab/>
        <w:t>Operator to notify Chief Officer if more than critical quantity of Schedule 1 substances likely to be at the place</w:t>
      </w:r>
      <w:bookmarkEnd w:id="2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9" w:name="_Toc264887981"/>
      <w:r>
        <w:rPr>
          <w:rStyle w:val="CharSectno"/>
        </w:rPr>
        <w:t>15</w:t>
      </w:r>
      <w:r>
        <w:t>.</w:t>
      </w:r>
      <w:r>
        <w:tab/>
        <w:t>Operator of certain places to notify Chief Officer of change</w:t>
      </w:r>
      <w:bookmarkEnd w:id="2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30" w:name="_Toc264887982"/>
      <w:r>
        <w:rPr>
          <w:rStyle w:val="CharSectno"/>
        </w:rPr>
        <w:t>16</w:t>
      </w:r>
      <w:r>
        <w:t>.</w:t>
      </w:r>
      <w:r>
        <w:tab/>
        <w:t>Chief Officer may direct operator to give notification</w:t>
      </w:r>
      <w:bookmarkEnd w:id="3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1" w:name="_Toc264887983"/>
      <w:r>
        <w:rPr>
          <w:rStyle w:val="CharSectno"/>
        </w:rPr>
        <w:t>17</w:t>
      </w:r>
      <w:r>
        <w:t>.</w:t>
      </w:r>
      <w:r>
        <w:tab/>
        <w:t>Notification required</w:t>
      </w:r>
      <w:bookmarkEnd w:id="31"/>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32" w:name="_Toc264887984"/>
      <w:r>
        <w:rPr>
          <w:rStyle w:val="CharSectno"/>
        </w:rPr>
        <w:t>18</w:t>
      </w:r>
      <w:r>
        <w:t>.</w:t>
      </w:r>
      <w:r>
        <w:tab/>
        <w:t>Chief Officer may direct operator to give further information</w:t>
      </w:r>
      <w:bookmarkEnd w:id="3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3" w:name="_Toc191980786"/>
      <w:bookmarkStart w:id="34" w:name="_Toc233693225"/>
      <w:bookmarkStart w:id="35" w:name="_Toc264887913"/>
      <w:bookmarkStart w:id="36" w:name="_Toc264887985"/>
      <w:r>
        <w:rPr>
          <w:rStyle w:val="CharPartNo"/>
        </w:rPr>
        <w:t>Part 4</w:t>
      </w:r>
      <w:r>
        <w:rPr>
          <w:rStyle w:val="CharDivNo"/>
        </w:rPr>
        <w:t> </w:t>
      </w:r>
      <w:r>
        <w:t>—</w:t>
      </w:r>
      <w:r>
        <w:rPr>
          <w:rStyle w:val="CharDivText"/>
        </w:rPr>
        <w:t> </w:t>
      </w:r>
      <w:r>
        <w:rPr>
          <w:rStyle w:val="CharPartText"/>
        </w:rPr>
        <w:t>Certain places to be major hazard facilities</w:t>
      </w:r>
      <w:bookmarkEnd w:id="33"/>
      <w:bookmarkEnd w:id="34"/>
      <w:bookmarkEnd w:id="35"/>
      <w:bookmarkEnd w:id="36"/>
    </w:p>
    <w:p>
      <w:pPr>
        <w:pStyle w:val="Heading5"/>
      </w:pPr>
      <w:bookmarkStart w:id="37" w:name="_Toc264887986"/>
      <w:r>
        <w:rPr>
          <w:rStyle w:val="CharSectno"/>
        </w:rPr>
        <w:t>19</w:t>
      </w:r>
      <w:r>
        <w:t>.</w:t>
      </w:r>
      <w:r>
        <w:tab/>
        <w:t>Classification of certain places as major hazard facilities</w:t>
      </w:r>
      <w:bookmarkEnd w:id="3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8" w:name="_Toc264887987"/>
      <w:r>
        <w:rPr>
          <w:rStyle w:val="CharSectno"/>
        </w:rPr>
        <w:t>20</w:t>
      </w:r>
      <w:r>
        <w:t>.</w:t>
      </w:r>
      <w:r>
        <w:tab/>
        <w:t>Chief Officer to consult in relation to a decision to classify a place as a major hazard facility</w:t>
      </w:r>
      <w:bookmarkEnd w:id="38"/>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9" w:name="_Toc264887988"/>
      <w:r>
        <w:rPr>
          <w:rStyle w:val="CharSectno"/>
        </w:rPr>
        <w:t>21</w:t>
      </w:r>
      <w:r>
        <w:t>.</w:t>
      </w:r>
      <w:r>
        <w:tab/>
        <w:t>Chief Officer to notify decision whether or not to classify a place as a major hazard facility</w:t>
      </w:r>
      <w:bookmarkEnd w:id="39"/>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40" w:name="_Toc264887989"/>
      <w:r>
        <w:rPr>
          <w:rStyle w:val="CharSectno"/>
        </w:rPr>
        <w:t>22</w:t>
      </w:r>
      <w:r>
        <w:t>.</w:t>
      </w:r>
      <w:r>
        <w:tab/>
        <w:t>Chief Officer may revoke decision to classify a place as a major hazard facility</w:t>
      </w:r>
      <w:bookmarkEnd w:id="40"/>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41" w:name="_Toc191980791"/>
      <w:bookmarkStart w:id="42" w:name="_Toc233693230"/>
      <w:bookmarkStart w:id="43" w:name="_Toc264887918"/>
      <w:bookmarkStart w:id="44" w:name="_Toc264887990"/>
      <w:r>
        <w:rPr>
          <w:rStyle w:val="CharPartNo"/>
        </w:rPr>
        <w:t>Part 5</w:t>
      </w:r>
      <w:r>
        <w:rPr>
          <w:rStyle w:val="CharDivNo"/>
        </w:rPr>
        <w:t> </w:t>
      </w:r>
      <w:r>
        <w:t>—</w:t>
      </w:r>
      <w:r>
        <w:rPr>
          <w:rStyle w:val="CharDivText"/>
        </w:rPr>
        <w:t> </w:t>
      </w:r>
      <w:r>
        <w:rPr>
          <w:rStyle w:val="CharPartText"/>
          <w:color w:val="000000"/>
        </w:rPr>
        <w:t>Safety reports</w:t>
      </w:r>
      <w:bookmarkEnd w:id="41"/>
      <w:bookmarkEnd w:id="42"/>
      <w:bookmarkEnd w:id="43"/>
      <w:bookmarkEnd w:id="44"/>
    </w:p>
    <w:p>
      <w:pPr>
        <w:pStyle w:val="Heading5"/>
      </w:pPr>
      <w:bookmarkStart w:id="45" w:name="_Toc264887991"/>
      <w:r>
        <w:rPr>
          <w:rStyle w:val="CharSectno"/>
        </w:rPr>
        <w:t>23</w:t>
      </w:r>
      <w:r>
        <w:t>.</w:t>
      </w:r>
      <w:r>
        <w:tab/>
        <w:t xml:space="preserve">Duty to </w:t>
      </w:r>
      <w:r>
        <w:rPr>
          <w:color w:val="000000"/>
        </w:rPr>
        <w:t>prepare risk assessment</w:t>
      </w:r>
      <w:bookmarkEnd w:id="45"/>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46" w:name="_Toc264887992"/>
      <w:r>
        <w:rPr>
          <w:rStyle w:val="CharSectno"/>
        </w:rPr>
        <w:t>24</w:t>
      </w:r>
      <w:r>
        <w:t>.</w:t>
      </w:r>
      <w:r>
        <w:tab/>
        <w:t xml:space="preserve">Duty to </w:t>
      </w:r>
      <w:r>
        <w:rPr>
          <w:color w:val="000000"/>
        </w:rPr>
        <w:t>prepare safety management system</w:t>
      </w:r>
      <w:bookmarkEnd w:id="46"/>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47" w:name="_Toc264887993"/>
      <w:r>
        <w:rPr>
          <w:rStyle w:val="CharSectno"/>
        </w:rPr>
        <w:t>25</w:t>
      </w:r>
      <w:r>
        <w:t>.</w:t>
      </w:r>
      <w:r>
        <w:tab/>
        <w:t xml:space="preserve">Duty to </w:t>
      </w:r>
      <w:r>
        <w:rPr>
          <w:color w:val="000000"/>
        </w:rPr>
        <w:t>prepare safety report</w:t>
      </w:r>
      <w:bookmarkEnd w:id="47"/>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48" w:name="_Toc264887994"/>
      <w:r>
        <w:rPr>
          <w:rStyle w:val="CharSectno"/>
        </w:rPr>
        <w:t>26</w:t>
      </w:r>
      <w:r>
        <w:t>.</w:t>
      </w:r>
      <w:r>
        <w:tab/>
        <w:t xml:space="preserve">Application for approval of </w:t>
      </w:r>
      <w:r>
        <w:rPr>
          <w:color w:val="000000"/>
        </w:rPr>
        <w:t>safety report</w:t>
      </w:r>
      <w:bookmarkEnd w:id="48"/>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49" w:name="_Toc264887995"/>
      <w:r>
        <w:rPr>
          <w:rStyle w:val="CharSectno"/>
        </w:rPr>
        <w:t>27</w:t>
      </w:r>
      <w:r>
        <w:t>.</w:t>
      </w:r>
      <w:r>
        <w:tab/>
        <w:t xml:space="preserve">Approval of </w:t>
      </w:r>
      <w:r>
        <w:rPr>
          <w:color w:val="000000"/>
        </w:rPr>
        <w:t>safety report</w:t>
      </w:r>
      <w:r>
        <w:t xml:space="preserve"> by the Chief Officer</w:t>
      </w:r>
      <w:bookmarkEnd w:id="4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50" w:name="_Toc264887996"/>
      <w:r>
        <w:rPr>
          <w:rStyle w:val="CharSectno"/>
        </w:rPr>
        <w:t>28</w:t>
      </w:r>
      <w:r>
        <w:t>.</w:t>
      </w:r>
      <w:r>
        <w:tab/>
        <w:t xml:space="preserve">Withdrawal of approval of </w:t>
      </w:r>
      <w:r>
        <w:rPr>
          <w:color w:val="000000"/>
        </w:rPr>
        <w:t>safety report</w:t>
      </w:r>
      <w:bookmarkEnd w:id="50"/>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51" w:name="_Toc264887997"/>
      <w:r>
        <w:rPr>
          <w:rStyle w:val="CharSectno"/>
        </w:rPr>
        <w:t>29</w:t>
      </w:r>
      <w:r>
        <w:t>.</w:t>
      </w:r>
      <w:r>
        <w:tab/>
        <w:t xml:space="preserve">Chief Officer to consult and notify in relation to approval of </w:t>
      </w:r>
      <w:r>
        <w:rPr>
          <w:color w:val="000000"/>
        </w:rPr>
        <w:t>safety report</w:t>
      </w:r>
      <w:bookmarkEnd w:id="51"/>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52" w:name="_Toc264887998"/>
      <w:r>
        <w:rPr>
          <w:rStyle w:val="CharSectno"/>
        </w:rPr>
        <w:t>30</w:t>
      </w:r>
      <w:r>
        <w:t>.</w:t>
      </w:r>
      <w:r>
        <w:tab/>
        <w:t>Operators to review safety reports</w:t>
      </w:r>
      <w:bookmarkEnd w:id="5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53" w:name="_Toc191980800"/>
      <w:bookmarkStart w:id="54" w:name="_Toc233693239"/>
      <w:bookmarkStart w:id="55" w:name="_Toc264887927"/>
      <w:bookmarkStart w:id="56" w:name="_Toc264887999"/>
      <w:r>
        <w:rPr>
          <w:rStyle w:val="CharPartNo"/>
        </w:rPr>
        <w:t>Part 6</w:t>
      </w:r>
      <w:r>
        <w:rPr>
          <w:rStyle w:val="CharDivNo"/>
        </w:rPr>
        <w:t> </w:t>
      </w:r>
      <w:r>
        <w:t>—</w:t>
      </w:r>
      <w:r>
        <w:rPr>
          <w:rStyle w:val="CharDivText"/>
        </w:rPr>
        <w:t> </w:t>
      </w:r>
      <w:r>
        <w:rPr>
          <w:rStyle w:val="CharPartText"/>
        </w:rPr>
        <w:t>Miscellaneous</w:t>
      </w:r>
      <w:bookmarkEnd w:id="53"/>
      <w:bookmarkEnd w:id="54"/>
      <w:bookmarkEnd w:id="55"/>
      <w:bookmarkEnd w:id="56"/>
    </w:p>
    <w:p>
      <w:pPr>
        <w:pStyle w:val="Heading5"/>
      </w:pPr>
      <w:bookmarkStart w:id="57" w:name="_Toc264888000"/>
      <w:r>
        <w:rPr>
          <w:rStyle w:val="CharSectno"/>
        </w:rPr>
        <w:t>31</w:t>
      </w:r>
      <w:r>
        <w:t>.</w:t>
      </w:r>
      <w:r>
        <w:tab/>
        <w:t>Direction to provide information to nearby major hazard facility</w:t>
      </w:r>
      <w:bookmarkEnd w:id="57"/>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8" w:name="_Toc264888001"/>
      <w:r>
        <w:rPr>
          <w:rStyle w:val="CharSectno"/>
        </w:rPr>
        <w:t>32</w:t>
      </w:r>
      <w:r>
        <w:t>.</w:t>
      </w:r>
      <w:r>
        <w:tab/>
        <w:t>Operator of major hazard facility to notify Chief Officer of closure</w:t>
      </w:r>
      <w:bookmarkEnd w:id="58"/>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59" w:name="_Toc191980803"/>
      <w:bookmarkStart w:id="60" w:name="_Toc233693242"/>
      <w:bookmarkStart w:id="61" w:name="_Toc264887930"/>
      <w:bookmarkStart w:id="62" w:name="_Toc264888002"/>
      <w:r>
        <w:rPr>
          <w:rStyle w:val="CharSchNo"/>
        </w:rPr>
        <w:t>Schedule 1</w:t>
      </w:r>
      <w:r>
        <w:rPr>
          <w:rStyle w:val="CharSDivNo"/>
        </w:rPr>
        <w:t> </w:t>
      </w:r>
      <w:r>
        <w:t>—</w:t>
      </w:r>
      <w:r>
        <w:rPr>
          <w:rStyle w:val="CharSDivText"/>
        </w:rPr>
        <w:t> </w:t>
      </w:r>
      <w:r>
        <w:rPr>
          <w:rStyle w:val="CharSchText"/>
        </w:rPr>
        <w:t>Threshold quantity for Schedule 1 substances</w:t>
      </w:r>
      <w:bookmarkEnd w:id="59"/>
      <w:bookmarkEnd w:id="60"/>
      <w:bookmarkEnd w:id="61"/>
      <w:bookmarkEnd w:id="62"/>
    </w:p>
    <w:p>
      <w:pPr>
        <w:pStyle w:val="yShoulderClause"/>
      </w:pPr>
      <w:r>
        <w:t>[r. 4 and 10]</w:t>
      </w:r>
    </w:p>
    <w:p>
      <w:pPr>
        <w:pStyle w:val="yHeading5"/>
      </w:pPr>
      <w:bookmarkStart w:id="63" w:name="_Toc264888003"/>
      <w:r>
        <w:rPr>
          <w:rStyle w:val="CharSClsNo"/>
        </w:rPr>
        <w:t>1</w:t>
      </w:r>
      <w:r>
        <w:t>.</w:t>
      </w:r>
      <w:r>
        <w:tab/>
        <w:t>Threshold quantity for substances</w:t>
      </w:r>
      <w:bookmarkEnd w:id="6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64" w:name="_Toc264888004"/>
      <w:r>
        <w:rPr>
          <w:rStyle w:val="CharSClsNo"/>
        </w:rPr>
        <w:t>2</w:t>
      </w:r>
      <w:r>
        <w:t>.</w:t>
      </w:r>
      <w:r>
        <w:tab/>
        <w:t>Threshold quantity for categories of substances</w:t>
      </w:r>
      <w:bookmarkEnd w:id="64"/>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65" w:name="_Toc191980806"/>
      <w:bookmarkStart w:id="66" w:name="_Toc233693245"/>
      <w:bookmarkStart w:id="67" w:name="_Toc264887933"/>
      <w:bookmarkStart w:id="68" w:name="_Toc264888005"/>
      <w:r>
        <w:rPr>
          <w:rStyle w:val="CharSchNo"/>
        </w:rPr>
        <w:t>Schedule 2</w:t>
      </w:r>
      <w:r>
        <w:rPr>
          <w:rStyle w:val="CharSDivNo"/>
        </w:rPr>
        <w:t> </w:t>
      </w:r>
      <w:r>
        <w:t>—</w:t>
      </w:r>
      <w:r>
        <w:rPr>
          <w:rStyle w:val="CharSDivText"/>
        </w:rPr>
        <w:t> </w:t>
      </w:r>
      <w:r>
        <w:rPr>
          <w:rStyle w:val="CharSchText"/>
        </w:rPr>
        <w:t>Notifiable information</w:t>
      </w:r>
      <w:bookmarkEnd w:id="65"/>
      <w:bookmarkEnd w:id="66"/>
      <w:bookmarkEnd w:id="67"/>
      <w:bookmarkEnd w:id="68"/>
    </w:p>
    <w:p>
      <w:pPr>
        <w:pStyle w:val="yShoulderClause"/>
      </w:pPr>
      <w:r>
        <w:t>[r. 4]</w:t>
      </w:r>
    </w:p>
    <w:p>
      <w:pPr>
        <w:pStyle w:val="yHeading5"/>
      </w:pPr>
      <w:bookmarkStart w:id="69" w:name="_Toc264888006"/>
      <w:r>
        <w:rPr>
          <w:rStyle w:val="CharSClsNo"/>
        </w:rPr>
        <w:t>1</w:t>
      </w:r>
      <w:r>
        <w:t>.</w:t>
      </w:r>
      <w:r>
        <w:tab/>
        <w:t>“Material safety data sheet”, meaning of</w:t>
      </w:r>
      <w:bookmarkEnd w:id="69"/>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70" w:name="_Toc264888007"/>
      <w:r>
        <w:rPr>
          <w:rStyle w:val="CharSClsNo"/>
        </w:rPr>
        <w:t>2</w:t>
      </w:r>
      <w:r>
        <w:t>.</w:t>
      </w:r>
      <w:r>
        <w:tab/>
        <w:t>Notifiable information</w:t>
      </w:r>
      <w:bookmarkEnd w:id="7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71" w:name="_Toc191980809"/>
      <w:bookmarkStart w:id="72" w:name="_Toc233693248"/>
      <w:bookmarkStart w:id="73" w:name="_Toc264887936"/>
      <w:bookmarkStart w:id="74" w:name="_Toc264888008"/>
      <w:r>
        <w:rPr>
          <w:rStyle w:val="CharSchNo"/>
        </w:rPr>
        <w:t>Schedule 3</w:t>
      </w:r>
      <w:r>
        <w:rPr>
          <w:rStyle w:val="CharSDivNo"/>
        </w:rPr>
        <w:t> </w:t>
      </w:r>
      <w:r>
        <w:t>—</w:t>
      </w:r>
      <w:r>
        <w:rPr>
          <w:rStyle w:val="CharSDivText"/>
        </w:rPr>
        <w:t> </w:t>
      </w:r>
      <w:r>
        <w:rPr>
          <w:rStyle w:val="CharSchText"/>
        </w:rPr>
        <w:t>Fees</w:t>
      </w:r>
      <w:bookmarkEnd w:id="71"/>
      <w:bookmarkEnd w:id="72"/>
      <w:bookmarkEnd w:id="73"/>
      <w:bookmarkEnd w:id="74"/>
    </w:p>
    <w:p>
      <w:pPr>
        <w:pStyle w:val="yShoulderClause"/>
      </w:pPr>
      <w:r>
        <w:t>[r. 26]</w:t>
      </w:r>
    </w:p>
    <w:p>
      <w:pPr>
        <w:pStyle w:val="yHeading5"/>
      </w:pPr>
      <w:bookmarkStart w:id="75" w:name="_Toc264888009"/>
      <w:r>
        <w:rPr>
          <w:rStyle w:val="CharSClsNo"/>
        </w:rPr>
        <w:t>1</w:t>
      </w:r>
      <w:r>
        <w:t>.</w:t>
      </w:r>
      <w:r>
        <w:tab/>
        <w:t>Fees</w:t>
      </w:r>
      <w:bookmarkEnd w:id="75"/>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—$57 300;</w:t>
      </w:r>
    </w:p>
    <w:p>
      <w:pPr>
        <w:pStyle w:val="yIndenta"/>
      </w:pPr>
      <w:r>
        <w:tab/>
        <w:t>(b)</w:t>
      </w:r>
      <w:r>
        <w:tab/>
        <w:t>for a Class B facility —$40 600;</w:t>
      </w:r>
    </w:p>
    <w:p>
      <w:pPr>
        <w:pStyle w:val="yIndenta"/>
      </w:pPr>
      <w:r>
        <w:tab/>
        <w:t>(c)</w:t>
      </w:r>
      <w:r>
        <w:tab/>
        <w:t>for a Class C facility —$22 900;</w:t>
      </w:r>
    </w:p>
    <w:p>
      <w:pPr>
        <w:pStyle w:val="yIndenta"/>
      </w:pPr>
      <w:r>
        <w:tab/>
        <w:t>(d)</w:t>
      </w:r>
      <w:r>
        <w:tab/>
        <w:t>for a Class D facility —$6 200.</w:t>
      </w:r>
    </w:p>
    <w:p>
      <w:pPr>
        <w:pStyle w:val="yFootnotesection"/>
      </w:pPr>
      <w:r>
        <w:tab/>
        <w:t>[Schedule 3 amended in Gazette 16 Jun 2009 p. 2195.]</w:t>
      </w:r>
    </w:p>
    <w:p>
      <w:pPr>
        <w:pStyle w:val="yScheduleHeading"/>
      </w:pPr>
      <w:bookmarkStart w:id="76" w:name="_Toc191980811"/>
      <w:bookmarkStart w:id="77" w:name="_Toc233693250"/>
      <w:bookmarkStart w:id="78" w:name="_Toc264887938"/>
      <w:bookmarkStart w:id="79" w:name="_Toc26488801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6"/>
      <w:bookmarkEnd w:id="77"/>
      <w:bookmarkEnd w:id="78"/>
      <w:bookmarkEnd w:id="79"/>
      <w:r>
        <w:rPr>
          <w:rStyle w:val="CharSchText"/>
        </w:rPr>
        <w:t xml:space="preserve"> </w:t>
      </w:r>
    </w:p>
    <w:p>
      <w:pPr>
        <w:pStyle w:val="yShoulderClause"/>
      </w:pPr>
      <w:r>
        <w:t>[r. 24]</w:t>
      </w:r>
    </w:p>
    <w:p>
      <w:pPr>
        <w:pStyle w:val="yHeading5"/>
      </w:pPr>
      <w:bookmarkStart w:id="80" w:name="_Toc264888011"/>
      <w:r>
        <w:rPr>
          <w:rStyle w:val="CharSClsNo"/>
        </w:rPr>
        <w:t>1</w:t>
      </w:r>
      <w:r>
        <w:t>.</w:t>
      </w:r>
      <w:r>
        <w:tab/>
        <w:t>Organisation and personnel</w:t>
      </w:r>
      <w:bookmarkEnd w:id="80"/>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81" w:name="_Toc264888012"/>
      <w:r>
        <w:rPr>
          <w:rStyle w:val="CharSClsNo"/>
        </w:rPr>
        <w:t>2</w:t>
      </w:r>
      <w:r>
        <w:t>.</w:t>
      </w:r>
      <w:r>
        <w:tab/>
        <w:t>Operational controls</w:t>
      </w:r>
      <w:bookmarkEnd w:id="81"/>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82" w:name="_Toc264888013"/>
      <w:r>
        <w:rPr>
          <w:rStyle w:val="CharSClsNo"/>
        </w:rPr>
        <w:t>3</w:t>
      </w:r>
      <w:r>
        <w:t>.</w:t>
      </w:r>
      <w:r>
        <w:tab/>
        <w:t>Security</w:t>
      </w:r>
      <w:bookmarkEnd w:id="82"/>
    </w:p>
    <w:p>
      <w:pPr>
        <w:pStyle w:val="ySubsection"/>
      </w:pPr>
      <w:r>
        <w:tab/>
      </w:r>
      <w:r>
        <w:tab/>
        <w:t>The procedures for preventing unauthorised acts that could cause a major incident and for preventing acts intended to cause a major incident.</w:t>
      </w:r>
    </w:p>
    <w:p>
      <w:pPr>
        <w:pStyle w:val="yHeading5"/>
      </w:pPr>
      <w:bookmarkStart w:id="83" w:name="_Toc264888014"/>
      <w:r>
        <w:rPr>
          <w:rStyle w:val="CharSClsNo"/>
        </w:rPr>
        <w:t>4</w:t>
      </w:r>
      <w:r>
        <w:t>.</w:t>
      </w:r>
      <w:r>
        <w:tab/>
        <w:t>Informing employees and others</w:t>
      </w:r>
      <w:bookmarkEnd w:id="8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84" w:name="_Toc264888015"/>
      <w:r>
        <w:rPr>
          <w:rStyle w:val="CharSClsNo"/>
        </w:rPr>
        <w:t>5</w:t>
      </w:r>
      <w:r>
        <w:t>.</w:t>
      </w:r>
      <w:r>
        <w:tab/>
        <w:t>Monitoring and continual improvement</w:t>
      </w:r>
      <w:bookmarkEnd w:id="84"/>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85" w:name="_Toc191980817"/>
      <w:bookmarkStart w:id="86" w:name="_Toc233693256"/>
      <w:bookmarkStart w:id="87" w:name="_Toc264887944"/>
      <w:bookmarkStart w:id="88" w:name="_Toc264888016"/>
      <w:r>
        <w:t>Notes</w:t>
      </w:r>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  </w:t>
      </w:r>
    </w:p>
    <w:p>
      <w:pPr>
        <w:pStyle w:val="nHeading3"/>
      </w:pPr>
      <w:bookmarkStart w:id="89" w:name="_Toc264888017"/>
      <w:r>
        <w:t>Compilation table</w:t>
      </w:r>
      <w:bookmarkEnd w:id="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tcBorders>
          </w:tcPr>
          <w:p>
            <w:pPr>
              <w:pStyle w:val="nTable"/>
              <w:spacing w:after="40"/>
              <w:rPr>
                <w:i/>
                <w:sz w:val="19"/>
              </w:rPr>
            </w:pPr>
            <w:r>
              <w:rPr>
                <w:i/>
                <w:sz w:val="19"/>
              </w:rPr>
              <w:t>Dangerous Goods Safety (Major Hazard Facilities) Amendment Regulations 2010</w:t>
            </w:r>
          </w:p>
        </w:tc>
        <w:tc>
          <w:tcPr>
            <w:tcW w:w="1276" w:type="dxa"/>
            <w:tcBorders>
              <w:top w:val="nil"/>
            </w:tcBorders>
          </w:tcPr>
          <w:p>
            <w:pPr>
              <w:pStyle w:val="nTable"/>
              <w:spacing w:after="40"/>
              <w:rPr>
                <w:sz w:val="19"/>
              </w:rPr>
            </w:pPr>
            <w:r>
              <w:rPr>
                <w:sz w:val="19"/>
              </w:rPr>
              <w:t>22 Jun 2010 p. 2782-3</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90" w:name="AutoSch"/>
      <w:bookmarkEnd w:id="90"/>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10"/>
    <w:docVar w:name="WAFER_20151210102110" w:val="RemoveTrackChanges"/>
    <w:docVar w:name="WAFER_20151210102110_GUID" w:val="4f30aef7-ef43-4b5c-8168-3a3dd6900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8814</Words>
  <Characters>42489</Characters>
  <Application>Microsoft Office Word</Application>
  <DocSecurity>0</DocSecurity>
  <Lines>1416</Lines>
  <Paragraphs>884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2007 - 00-e0-02</dc:title>
  <dc:subject/>
  <dc:creator/>
  <cp:keywords/>
  <dc:description/>
  <cp:lastModifiedBy>svcMRProcess</cp:lastModifiedBy>
  <cp:revision>4</cp:revision>
  <cp:lastPrinted>2007-12-11T09:45:00Z</cp:lastPrinted>
  <dcterms:created xsi:type="dcterms:W3CDTF">2020-02-22T16:04:00Z</dcterms:created>
  <dcterms:modified xsi:type="dcterms:W3CDTF">2020-02-22T16:04:00Z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36895</vt:i4>
  </property>
  <property fmtid="{D5CDD505-2E9C-101B-9397-08002B2CF9AE}" pid="6" name="AsAtDate">
    <vt:lpwstr>23 Jun 2010</vt:lpwstr>
  </property>
  <property fmtid="{D5CDD505-2E9C-101B-9397-08002B2CF9AE}" pid="7" name="Suffix">
    <vt:lpwstr>00-e0-02</vt:lpwstr>
  </property>
</Properties>
</file>