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Registration of Deeds Act 1856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Application of Act</w:t>
      </w:r>
      <w:r>
        <w:rPr>
          <w:noProof/>
        </w:rPr>
        <w:tab/>
      </w:r>
      <w:r>
        <w:rPr>
          <w:noProof/>
        </w:rPr>
        <w:fldChar w:fldCharType="begin"/>
      </w:r>
      <w:r>
        <w:rPr>
          <w:noProof/>
        </w:rPr>
        <w:instrText xml:space="preserve"> PAGEREF _Toc155607311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Office</w:t>
      </w:r>
      <w:r>
        <w:rPr>
          <w:noProof/>
        </w:rPr>
        <w:tab/>
      </w:r>
      <w:r>
        <w:rPr>
          <w:noProof/>
        </w:rPr>
        <w:fldChar w:fldCharType="begin"/>
      </w:r>
      <w:r>
        <w:rPr>
          <w:noProof/>
        </w:rPr>
        <w:instrText xml:space="preserve"> PAGEREF _Toc155607312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2A</w:t>
      </w:r>
      <w:r>
        <w:rPr>
          <w:noProof/>
          <w:snapToGrid w:val="0"/>
          <w:szCs w:val="24"/>
        </w:rPr>
        <w:t>.</w:t>
      </w:r>
      <w:r>
        <w:rPr>
          <w:noProof/>
          <w:sz w:val="24"/>
          <w:szCs w:val="24"/>
        </w:rPr>
        <w:tab/>
      </w:r>
      <w:r>
        <w:rPr>
          <w:noProof/>
          <w:snapToGrid w:val="0"/>
          <w:szCs w:val="24"/>
        </w:rPr>
        <w:t>Assistant Registrar of Deeds and Transfers</w:t>
      </w:r>
      <w:r>
        <w:rPr>
          <w:noProof/>
        </w:rPr>
        <w:tab/>
      </w:r>
      <w:r>
        <w:rPr>
          <w:noProof/>
        </w:rPr>
        <w:fldChar w:fldCharType="begin"/>
      </w:r>
      <w:r>
        <w:rPr>
          <w:noProof/>
        </w:rPr>
        <w:instrText xml:space="preserve"> PAGEREF _Toc155607313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Priority according to date of registration</w:t>
      </w:r>
      <w:r>
        <w:rPr>
          <w:noProof/>
        </w:rPr>
        <w:tab/>
      </w:r>
      <w:r>
        <w:rPr>
          <w:noProof/>
        </w:rPr>
        <w:fldChar w:fldCharType="begin"/>
      </w:r>
      <w:r>
        <w:rPr>
          <w:noProof/>
        </w:rPr>
        <w:instrText xml:space="preserve"> PAGEREF _Toc155607314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Times for registration</w:t>
      </w:r>
      <w:r>
        <w:rPr>
          <w:noProof/>
        </w:rPr>
        <w:tab/>
      </w:r>
      <w:r>
        <w:rPr>
          <w:noProof/>
        </w:rPr>
        <w:fldChar w:fldCharType="begin"/>
      </w:r>
      <w:r>
        <w:rPr>
          <w:noProof/>
        </w:rPr>
        <w:instrText xml:space="preserve"> PAGEREF _Toc155607315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Purchaser not disturbed by suppressed will if unregistered</w:t>
      </w:r>
      <w:r>
        <w:rPr>
          <w:noProof/>
        </w:rPr>
        <w:tab/>
      </w:r>
      <w:r>
        <w:rPr>
          <w:noProof/>
        </w:rPr>
        <w:fldChar w:fldCharType="begin"/>
      </w:r>
      <w:r>
        <w:rPr>
          <w:noProof/>
        </w:rPr>
        <w:instrText xml:space="preserve"> PAGEREF _Toc155607316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Memorial for registration</w:t>
      </w:r>
      <w:r>
        <w:rPr>
          <w:noProof/>
        </w:rPr>
        <w:tab/>
      </w:r>
      <w:r>
        <w:rPr>
          <w:noProof/>
        </w:rPr>
        <w:fldChar w:fldCharType="begin"/>
      </w:r>
      <w:r>
        <w:rPr>
          <w:noProof/>
        </w:rPr>
        <w:instrText xml:space="preserve"> PAGEREF _Toc155607317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Claimant's signature to affidavit authorises registration</w:t>
      </w:r>
      <w:r>
        <w:rPr>
          <w:noProof/>
        </w:rPr>
        <w:tab/>
      </w:r>
      <w:r>
        <w:rPr>
          <w:noProof/>
        </w:rPr>
        <w:fldChar w:fldCharType="begin"/>
      </w:r>
      <w:r>
        <w:rPr>
          <w:noProof/>
        </w:rPr>
        <w:instrText xml:space="preserve"> PAGEREF _Toc155607318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Memorial to contain the names, etc., of all the parties, and the pecuniary consideration</w:t>
      </w:r>
      <w:r>
        <w:rPr>
          <w:noProof/>
        </w:rPr>
        <w:tab/>
      </w:r>
      <w:r>
        <w:rPr>
          <w:noProof/>
        </w:rPr>
        <w:fldChar w:fldCharType="begin"/>
      </w:r>
      <w:r>
        <w:rPr>
          <w:noProof/>
        </w:rPr>
        <w:instrText xml:space="preserve"> PAGEREF _Toc155607319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Order of time</w:t>
      </w:r>
      <w:r>
        <w:rPr>
          <w:noProof/>
        </w:rPr>
        <w:tab/>
      </w:r>
      <w:r>
        <w:rPr>
          <w:noProof/>
        </w:rPr>
        <w:fldChar w:fldCharType="begin"/>
      </w:r>
      <w:r>
        <w:rPr>
          <w:noProof/>
        </w:rPr>
        <w:instrText xml:space="preserve"> PAGEREF _Toc155607320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Memorials to be registered in succession, as numbered in a book kept by Registrar, who shall also keep an index of places and of names of parties to deed, and of plaintiff and defendant in judgments</w:t>
      </w:r>
      <w:r>
        <w:rPr>
          <w:noProof/>
        </w:rPr>
        <w:tab/>
      </w:r>
      <w:r>
        <w:rPr>
          <w:noProof/>
        </w:rPr>
        <w:fldChar w:fldCharType="begin"/>
      </w:r>
      <w:r>
        <w:rPr>
          <w:noProof/>
        </w:rPr>
        <w:instrText xml:space="preserve"> PAGEREF _Toc155607321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Mortgages and judgments</w:t>
      </w:r>
      <w:r>
        <w:rPr>
          <w:noProof/>
        </w:rPr>
        <w:tab/>
      </w:r>
      <w:r>
        <w:rPr>
          <w:noProof/>
        </w:rPr>
        <w:fldChar w:fldCharType="begin"/>
      </w:r>
      <w:r>
        <w:rPr>
          <w:noProof/>
        </w:rPr>
        <w:instrText xml:space="preserve"> PAGEREF _Toc155607322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Contents of certificate</w:t>
      </w:r>
      <w:r>
        <w:rPr>
          <w:noProof/>
        </w:rPr>
        <w:tab/>
      </w:r>
      <w:r>
        <w:rPr>
          <w:noProof/>
        </w:rPr>
        <w:fldChar w:fldCharType="begin"/>
      </w:r>
      <w:r>
        <w:rPr>
          <w:noProof/>
        </w:rPr>
        <w:instrText xml:space="preserve"> PAGEREF _Toc155607323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Anyone may deposit for safe custody, any deed or will</w:t>
      </w:r>
      <w:r>
        <w:rPr>
          <w:noProof/>
        </w:rPr>
        <w:tab/>
      </w:r>
      <w:r>
        <w:rPr>
          <w:noProof/>
        </w:rPr>
        <w:fldChar w:fldCharType="begin"/>
      </w:r>
      <w:r>
        <w:rPr>
          <w:noProof/>
        </w:rPr>
        <w:instrText xml:space="preserve"> PAGEREF _Toc155607324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Enrolment</w:t>
      </w:r>
      <w:r>
        <w:rPr>
          <w:noProof/>
        </w:rPr>
        <w:tab/>
      </w:r>
      <w:r>
        <w:rPr>
          <w:noProof/>
        </w:rPr>
        <w:fldChar w:fldCharType="begin"/>
      </w:r>
      <w:r>
        <w:rPr>
          <w:noProof/>
        </w:rPr>
        <w:instrText xml:space="preserve"> PAGEREF _Toc155607325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Lost instrument</w:t>
      </w:r>
      <w:r>
        <w:rPr>
          <w:noProof/>
        </w:rPr>
        <w:tab/>
      </w:r>
      <w:r>
        <w:rPr>
          <w:noProof/>
        </w:rPr>
        <w:fldChar w:fldCharType="begin"/>
      </w:r>
      <w:r>
        <w:rPr>
          <w:noProof/>
        </w:rPr>
        <w:instrText xml:space="preserve"> PAGEREF _Toc155607326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Prior registrations even if informal evidence of facts and circumstances</w:t>
      </w:r>
      <w:r>
        <w:rPr>
          <w:noProof/>
        </w:rPr>
        <w:tab/>
      </w:r>
      <w:r>
        <w:rPr>
          <w:noProof/>
        </w:rPr>
        <w:fldChar w:fldCharType="begin"/>
      </w:r>
      <w:r>
        <w:rPr>
          <w:noProof/>
        </w:rPr>
        <w:instrText xml:space="preserve"> PAGEREF _Toc155607327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Court may cancel a false or fraudulent registration</w:t>
      </w:r>
      <w:r>
        <w:rPr>
          <w:noProof/>
        </w:rPr>
        <w:tab/>
      </w:r>
      <w:r>
        <w:rPr>
          <w:noProof/>
        </w:rPr>
        <w:fldChar w:fldCharType="begin"/>
      </w:r>
      <w:r>
        <w:rPr>
          <w:noProof/>
        </w:rPr>
        <w:instrText xml:space="preserve"> PAGEREF _Toc155607328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Mistake or omission, if not wilful, may be rectified by Court</w:t>
      </w:r>
      <w:r>
        <w:rPr>
          <w:noProof/>
        </w:rPr>
        <w:tab/>
      </w:r>
      <w:r>
        <w:rPr>
          <w:noProof/>
        </w:rPr>
        <w:fldChar w:fldCharType="begin"/>
      </w:r>
      <w:r>
        <w:rPr>
          <w:noProof/>
        </w:rPr>
        <w:instrText xml:space="preserve"> PAGEREF _Toc155607329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_Toc155607330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22A</w:t>
      </w:r>
      <w:r>
        <w:rPr>
          <w:noProof/>
          <w:snapToGrid w:val="0"/>
          <w:szCs w:val="24"/>
        </w:rPr>
        <w:t>.</w:t>
      </w:r>
      <w:r>
        <w:rPr>
          <w:noProof/>
          <w:sz w:val="24"/>
          <w:szCs w:val="24"/>
        </w:rPr>
        <w:tab/>
      </w:r>
      <w:r>
        <w:rPr>
          <w:noProof/>
          <w:snapToGrid w:val="0"/>
          <w:szCs w:val="24"/>
        </w:rPr>
        <w:t>Validation</w:t>
      </w:r>
      <w:r>
        <w:rPr>
          <w:noProof/>
        </w:rPr>
        <w:tab/>
      </w:r>
      <w:r>
        <w:rPr>
          <w:noProof/>
        </w:rPr>
        <w:fldChar w:fldCharType="begin"/>
      </w:r>
      <w:r>
        <w:rPr>
          <w:noProof/>
        </w:rPr>
        <w:instrText xml:space="preserve"> PAGEREF _Toc155607331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lastRenderedPageBreak/>
        <w:t>25</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_Toc155607332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_Toc155607334 \h </w:instrText>
      </w:r>
      <w:r>
        <w:rPr>
          <w:noProof/>
        </w:rPr>
      </w:r>
      <w:r>
        <w:rPr>
          <w:noProof/>
        </w:rPr>
        <w:fldChar w:fldCharType="separate"/>
      </w:r>
      <w:r>
        <w:rPr>
          <w:noProof/>
        </w:rPr>
        <w:t>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2" w:name="_Toc155607311"/>
      <w:bookmarkStart w:id="3" w:name="_Toc61168576"/>
      <w:bookmarkStart w:id="4" w:name="_Toc67886637"/>
      <w:bookmarkStart w:id="5" w:name="_Toc71097015"/>
      <w:r>
        <w:rPr>
          <w:rStyle w:val="CharSectno"/>
        </w:rPr>
        <w:t>1</w:t>
      </w:r>
      <w:r>
        <w:t>.</w:t>
      </w:r>
      <w:r>
        <w:tab/>
        <w:t>Application of Act</w:t>
      </w:r>
      <w:bookmarkEnd w:id="2"/>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6" w:name="_Toc155607312"/>
      <w:r>
        <w:rPr>
          <w:rStyle w:val="CharSectno"/>
        </w:rPr>
        <w:t>2</w:t>
      </w:r>
      <w:r>
        <w:rPr>
          <w:snapToGrid w:val="0"/>
        </w:rPr>
        <w:t>.</w:t>
      </w:r>
      <w:r>
        <w:rPr>
          <w:snapToGrid w:val="0"/>
        </w:rPr>
        <w:tab/>
        <w:t>Office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240"/>
      </w:pPr>
      <w:r>
        <w:tab/>
        <w:t xml:space="preserve">[Section 2 amended by No. 17 of 1974 s. 3 and 9; No. 60 of 2006 s. 150(2).] </w:t>
      </w:r>
    </w:p>
    <w:p>
      <w:pPr>
        <w:pStyle w:val="Heading5"/>
        <w:rPr>
          <w:snapToGrid w:val="0"/>
        </w:rPr>
      </w:pPr>
      <w:bookmarkStart w:id="7" w:name="_Toc61168577"/>
      <w:bookmarkStart w:id="8" w:name="_Toc67886638"/>
      <w:bookmarkStart w:id="9" w:name="_Toc71097016"/>
      <w:bookmarkStart w:id="10" w:name="_Toc155607313"/>
      <w:r>
        <w:rPr>
          <w:rStyle w:val="CharSectno"/>
        </w:rPr>
        <w:t>2A</w:t>
      </w:r>
      <w:r>
        <w:rPr>
          <w:snapToGrid w:val="0"/>
        </w:rPr>
        <w:t>.</w:t>
      </w:r>
      <w:r>
        <w:rPr>
          <w:snapToGrid w:val="0"/>
        </w:rPr>
        <w:tab/>
        <w:t>Assistant Registrar of Deeds and Transfers</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pPr>
      <w:r>
        <w:tab/>
        <w:t>[Section 2A inserted by No. 17 of 1974 s. 4; amended by No. 60 of 2006 s. 150(3).]</w:t>
      </w:r>
    </w:p>
    <w:p>
      <w:pPr>
        <w:pStyle w:val="Heading5"/>
        <w:rPr>
          <w:snapToGrid w:val="0"/>
        </w:rPr>
      </w:pPr>
      <w:bookmarkStart w:id="11" w:name="_Toc61168578"/>
      <w:bookmarkStart w:id="12" w:name="_Toc67886639"/>
      <w:bookmarkStart w:id="13" w:name="_Toc71097017"/>
      <w:bookmarkStart w:id="14" w:name="_Toc155607314"/>
      <w:r>
        <w:rPr>
          <w:rStyle w:val="CharSectno"/>
        </w:rPr>
        <w:t>3</w:t>
      </w:r>
      <w:r>
        <w:rPr>
          <w:snapToGrid w:val="0"/>
        </w:rPr>
        <w:t>.</w:t>
      </w:r>
      <w:r>
        <w:rPr>
          <w:snapToGrid w:val="0"/>
        </w:rPr>
        <w:tab/>
        <w:t>Priority according to date of registration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15" w:name="_Toc61168579"/>
      <w:bookmarkStart w:id="16" w:name="_Toc67886640"/>
      <w:bookmarkStart w:id="17" w:name="_Toc71097018"/>
      <w:bookmarkStart w:id="18" w:name="_Toc155607315"/>
      <w:r>
        <w:rPr>
          <w:rStyle w:val="CharSectno"/>
        </w:rPr>
        <w:t>4</w:t>
      </w:r>
      <w:r>
        <w:rPr>
          <w:snapToGrid w:val="0"/>
        </w:rPr>
        <w:t>.</w:t>
      </w:r>
      <w:r>
        <w:rPr>
          <w:snapToGrid w:val="0"/>
        </w:rPr>
        <w:tab/>
        <w:t>Times for registration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19" w:name="_Toc61168580"/>
      <w:bookmarkStart w:id="20" w:name="_Toc67886641"/>
      <w:bookmarkStart w:id="21" w:name="_Toc71097019"/>
      <w:bookmarkStart w:id="22" w:name="_Toc155607316"/>
      <w:r>
        <w:rPr>
          <w:rStyle w:val="CharSectno"/>
        </w:rPr>
        <w:t>5</w:t>
      </w:r>
      <w:r>
        <w:rPr>
          <w:snapToGrid w:val="0"/>
        </w:rPr>
        <w:t>.</w:t>
      </w:r>
      <w:r>
        <w:rPr>
          <w:snapToGrid w:val="0"/>
        </w:rPr>
        <w:tab/>
        <w:t>Purchaser not disturbed by suppressed will if unregistered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23" w:name="_Toc61168581"/>
      <w:bookmarkStart w:id="24" w:name="_Toc67886642"/>
      <w:bookmarkStart w:id="25" w:name="_Toc71097020"/>
      <w:bookmarkStart w:id="26" w:name="_Toc155607317"/>
      <w:r>
        <w:rPr>
          <w:rStyle w:val="CharSectno"/>
        </w:rPr>
        <w:t>6</w:t>
      </w:r>
      <w:r>
        <w:rPr>
          <w:snapToGrid w:val="0"/>
        </w:rPr>
        <w:t>.</w:t>
      </w:r>
      <w:r>
        <w:rPr>
          <w:snapToGrid w:val="0"/>
        </w:rPr>
        <w:tab/>
        <w:t>Memorial for registration</w:t>
      </w:r>
      <w:bookmarkEnd w:id="23"/>
      <w:bookmarkEnd w:id="24"/>
      <w:bookmarkEnd w:id="25"/>
      <w:bookmarkEnd w:id="26"/>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a </w:t>
      </w:r>
      <w:r>
        <w:t xml:space="preserve">legal practitioner (as defined in the </w:t>
      </w:r>
      <w:r>
        <w:rPr>
          <w:i/>
        </w:rPr>
        <w:t>Legal Practice Act 2003</w:t>
      </w:r>
      <w:r>
        <w:t xml:space="preserve">)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w:t>
      </w:r>
    </w:p>
    <w:p>
      <w:pPr>
        <w:pStyle w:val="Heading5"/>
        <w:rPr>
          <w:snapToGrid w:val="0"/>
        </w:rPr>
      </w:pPr>
      <w:bookmarkStart w:id="27" w:name="_Toc61168582"/>
      <w:bookmarkStart w:id="28" w:name="_Toc67886643"/>
      <w:bookmarkStart w:id="29" w:name="_Toc71097021"/>
      <w:bookmarkStart w:id="30" w:name="_Toc155607318"/>
      <w:r>
        <w:rPr>
          <w:rStyle w:val="CharSectno"/>
        </w:rPr>
        <w:t>7</w:t>
      </w:r>
      <w:r>
        <w:rPr>
          <w:snapToGrid w:val="0"/>
        </w:rPr>
        <w:t>.</w:t>
      </w:r>
      <w:r>
        <w:rPr>
          <w:snapToGrid w:val="0"/>
        </w:rPr>
        <w:tab/>
        <w:t>Claimant's signature to affidavit authorises registration</w:t>
      </w:r>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31" w:name="_Toc61168583"/>
      <w:bookmarkStart w:id="32" w:name="_Toc67886644"/>
      <w:bookmarkStart w:id="33" w:name="_Toc71097022"/>
      <w:bookmarkStart w:id="34" w:name="_Toc155607319"/>
      <w:r>
        <w:rPr>
          <w:rStyle w:val="CharSectno"/>
        </w:rPr>
        <w:t>8</w:t>
      </w:r>
      <w:r>
        <w:rPr>
          <w:snapToGrid w:val="0"/>
        </w:rPr>
        <w:t>.</w:t>
      </w:r>
      <w:r>
        <w:rPr>
          <w:snapToGrid w:val="0"/>
        </w:rPr>
        <w:tab/>
        <w:t>Memorial to contain the names, etc., of all the parties, and the pecuniary consideration</w:t>
      </w:r>
      <w:bookmarkEnd w:id="31"/>
      <w:bookmarkEnd w:id="32"/>
      <w:bookmarkEnd w:id="33"/>
      <w:bookmarkEnd w:id="34"/>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35" w:name="_Toc61168584"/>
      <w:bookmarkStart w:id="36" w:name="_Toc67886645"/>
      <w:bookmarkStart w:id="37" w:name="_Toc71097023"/>
      <w:bookmarkStart w:id="38" w:name="_Toc155607320"/>
      <w:r>
        <w:rPr>
          <w:rStyle w:val="CharSectno"/>
        </w:rPr>
        <w:t>9</w:t>
      </w:r>
      <w:r>
        <w:rPr>
          <w:snapToGrid w:val="0"/>
        </w:rPr>
        <w:t>.</w:t>
      </w:r>
      <w:r>
        <w:rPr>
          <w:snapToGrid w:val="0"/>
        </w:rPr>
        <w:tab/>
        <w:t>Order of time</w:t>
      </w:r>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keepNext w:val="0"/>
        <w:keepLines w:val="0"/>
        <w:rPr>
          <w:snapToGrid w:val="0"/>
        </w:rPr>
      </w:pPr>
      <w:bookmarkStart w:id="39" w:name="_Toc61168585"/>
      <w:bookmarkStart w:id="40" w:name="_Toc67886646"/>
      <w:bookmarkStart w:id="41" w:name="_Toc71097024"/>
      <w:bookmarkStart w:id="42" w:name="_Toc155607321"/>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39"/>
      <w:bookmarkEnd w:id="40"/>
      <w:bookmarkEnd w:id="41"/>
      <w:bookmarkEnd w:id="42"/>
      <w:r>
        <w:rPr>
          <w:snapToGrid w:val="0"/>
        </w:rPr>
        <w:t xml:space="preserve"> </w:t>
      </w:r>
    </w:p>
    <w:p>
      <w:pPr>
        <w:pStyle w:val="Subsection"/>
        <w:spacing w:before="140"/>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43" w:name="_Toc61168586"/>
      <w:bookmarkStart w:id="44" w:name="_Toc67886647"/>
      <w:bookmarkStart w:id="45" w:name="_Toc71097025"/>
      <w:bookmarkStart w:id="46" w:name="_Toc155607322"/>
      <w:r>
        <w:rPr>
          <w:rStyle w:val="CharSectno"/>
        </w:rPr>
        <w:t>11</w:t>
      </w:r>
      <w:r>
        <w:rPr>
          <w:snapToGrid w:val="0"/>
        </w:rPr>
        <w:t>.</w:t>
      </w:r>
      <w:r>
        <w:rPr>
          <w:snapToGrid w:val="0"/>
        </w:rPr>
        <w:tab/>
        <w:t>Mortgages and judgments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47" w:name="_Toc61168587"/>
      <w:bookmarkStart w:id="48" w:name="_Toc67886648"/>
      <w:bookmarkStart w:id="49" w:name="_Toc71097026"/>
      <w:bookmarkStart w:id="50" w:name="_Toc155607323"/>
      <w:r>
        <w:rPr>
          <w:rStyle w:val="CharSectno"/>
        </w:rPr>
        <w:t>12</w:t>
      </w:r>
      <w:r>
        <w:rPr>
          <w:snapToGrid w:val="0"/>
        </w:rPr>
        <w:t>.</w:t>
      </w:r>
      <w:r>
        <w:rPr>
          <w:snapToGrid w:val="0"/>
        </w:rPr>
        <w:tab/>
        <w:t>Contents of certificate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51" w:name="_Toc61168588"/>
      <w:bookmarkStart w:id="52" w:name="_Toc67886649"/>
      <w:bookmarkStart w:id="53" w:name="_Toc71097027"/>
      <w:bookmarkStart w:id="54" w:name="_Toc155607324"/>
      <w:r>
        <w:rPr>
          <w:rStyle w:val="CharSectno"/>
        </w:rPr>
        <w:t>13</w:t>
      </w:r>
      <w:r>
        <w:rPr>
          <w:snapToGrid w:val="0"/>
        </w:rPr>
        <w:t>.</w:t>
      </w:r>
      <w:r>
        <w:rPr>
          <w:snapToGrid w:val="0"/>
        </w:rPr>
        <w:tab/>
        <w:t>Anyone may deposit for safe custody, any deed or will</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55" w:name="_Toc61168589"/>
      <w:bookmarkStart w:id="56" w:name="_Toc67886650"/>
      <w:bookmarkStart w:id="57" w:name="_Toc71097028"/>
      <w:bookmarkStart w:id="58" w:name="_Toc155607325"/>
      <w:r>
        <w:rPr>
          <w:rStyle w:val="CharSectno"/>
        </w:rPr>
        <w:t>14</w:t>
      </w:r>
      <w:r>
        <w:rPr>
          <w:snapToGrid w:val="0"/>
        </w:rPr>
        <w:t>.</w:t>
      </w:r>
      <w:r>
        <w:rPr>
          <w:snapToGrid w:val="0"/>
        </w:rPr>
        <w:tab/>
        <w:t>Enrolment</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59" w:name="_Toc61168590"/>
      <w:bookmarkStart w:id="60" w:name="_Toc67886651"/>
      <w:bookmarkStart w:id="61" w:name="_Toc71097029"/>
      <w:bookmarkStart w:id="62" w:name="_Toc155607326"/>
      <w:r>
        <w:rPr>
          <w:rStyle w:val="CharSectno"/>
        </w:rPr>
        <w:t>15</w:t>
      </w:r>
      <w:r>
        <w:rPr>
          <w:snapToGrid w:val="0"/>
        </w:rPr>
        <w:t>.</w:t>
      </w:r>
      <w:r>
        <w:rPr>
          <w:snapToGrid w:val="0"/>
        </w:rPr>
        <w:tab/>
        <w:t>Lost instrument</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63" w:name="_Toc61168591"/>
      <w:bookmarkStart w:id="64" w:name="_Toc67886652"/>
      <w:bookmarkStart w:id="65" w:name="_Toc71097030"/>
      <w:bookmarkStart w:id="66" w:name="_Toc155607327"/>
      <w:r>
        <w:rPr>
          <w:rStyle w:val="CharSectno"/>
        </w:rPr>
        <w:t>16</w:t>
      </w:r>
      <w:r>
        <w:rPr>
          <w:snapToGrid w:val="0"/>
        </w:rPr>
        <w:t>.</w:t>
      </w:r>
      <w:r>
        <w:rPr>
          <w:snapToGrid w:val="0"/>
        </w:rPr>
        <w:tab/>
        <w:t>Prior registrations even if informal evidence of facts and circumstances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Repealed by 1 and 2 Edw. VII No. 14 s. 3.] </w:t>
      </w:r>
    </w:p>
    <w:p>
      <w:pPr>
        <w:pStyle w:val="Heading5"/>
        <w:rPr>
          <w:snapToGrid w:val="0"/>
        </w:rPr>
      </w:pPr>
      <w:bookmarkStart w:id="67" w:name="_Toc61168592"/>
      <w:bookmarkStart w:id="68" w:name="_Toc67886653"/>
      <w:bookmarkStart w:id="69" w:name="_Toc71097031"/>
      <w:bookmarkStart w:id="70" w:name="_Toc155607328"/>
      <w:r>
        <w:rPr>
          <w:rStyle w:val="CharSectno"/>
        </w:rPr>
        <w:t>19</w:t>
      </w:r>
      <w:r>
        <w:rPr>
          <w:snapToGrid w:val="0"/>
        </w:rPr>
        <w:t>.</w:t>
      </w:r>
      <w:r>
        <w:rPr>
          <w:snapToGrid w:val="0"/>
        </w:rPr>
        <w:tab/>
        <w:t>Court may cancel a false or fraudulent registration</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71" w:name="_Toc61168593"/>
      <w:bookmarkStart w:id="72" w:name="_Toc67886654"/>
      <w:bookmarkStart w:id="73" w:name="_Toc71097032"/>
      <w:bookmarkStart w:id="74" w:name="_Toc155607329"/>
      <w:r>
        <w:rPr>
          <w:rStyle w:val="CharSectno"/>
        </w:rPr>
        <w:t>20</w:t>
      </w:r>
      <w:r>
        <w:rPr>
          <w:snapToGrid w:val="0"/>
        </w:rPr>
        <w:t>.</w:t>
      </w:r>
      <w:r>
        <w:rPr>
          <w:snapToGrid w:val="0"/>
        </w:rPr>
        <w:tab/>
        <w:t>Mistake or omission, if not wilful, may be rectified by Court</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t xml:space="preserve">Repealed by No. 17 of 1974 s. 5.] </w:t>
      </w:r>
    </w:p>
    <w:p>
      <w:pPr>
        <w:pStyle w:val="Heading5"/>
        <w:rPr>
          <w:snapToGrid w:val="0"/>
        </w:rPr>
      </w:pPr>
      <w:bookmarkStart w:id="75" w:name="_Toc61168594"/>
      <w:bookmarkStart w:id="76" w:name="_Toc67886655"/>
      <w:bookmarkStart w:id="77" w:name="_Toc71097033"/>
      <w:bookmarkStart w:id="78" w:name="_Toc155607330"/>
      <w:r>
        <w:rPr>
          <w:rStyle w:val="CharSectno"/>
        </w:rPr>
        <w:t>22</w:t>
      </w:r>
      <w:r>
        <w:rPr>
          <w:snapToGrid w:val="0"/>
        </w:rPr>
        <w:t>.</w:t>
      </w:r>
      <w:r>
        <w:rPr>
          <w:snapToGrid w:val="0"/>
        </w:rPr>
        <w:tab/>
        <w:t>Regulations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79" w:name="_Toc61168595"/>
      <w:bookmarkStart w:id="80" w:name="_Toc67886656"/>
      <w:bookmarkStart w:id="81" w:name="_Toc71097034"/>
      <w:bookmarkStart w:id="82" w:name="_Toc155607331"/>
      <w:r>
        <w:rPr>
          <w:rStyle w:val="CharSectno"/>
        </w:rPr>
        <w:t>22A</w:t>
      </w:r>
      <w:r>
        <w:rPr>
          <w:snapToGrid w:val="0"/>
        </w:rPr>
        <w:t>.</w:t>
      </w:r>
      <w:r>
        <w:rPr>
          <w:snapToGrid w:val="0"/>
        </w:rPr>
        <w:tab/>
        <w:t>Validation</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Repealed by No. 17 of 1974 s. 8.] </w:t>
      </w:r>
    </w:p>
    <w:p>
      <w:pPr>
        <w:pStyle w:val="Ednotesection"/>
      </w:pPr>
      <w:r>
        <w:t>[</w:t>
      </w:r>
      <w:r>
        <w:rPr>
          <w:b/>
        </w:rPr>
        <w:t>24.</w:t>
      </w:r>
      <w:r>
        <w:tab/>
        <w:t xml:space="preserve">Repealed by 1 and 2 Edw. VII No. 14 s. 3.] </w:t>
      </w:r>
    </w:p>
    <w:p>
      <w:pPr>
        <w:pStyle w:val="Heading5"/>
        <w:rPr>
          <w:snapToGrid w:val="0"/>
        </w:rPr>
      </w:pPr>
      <w:bookmarkStart w:id="83" w:name="_Toc61168596"/>
      <w:bookmarkStart w:id="84" w:name="_Toc67886657"/>
      <w:bookmarkStart w:id="85" w:name="_Toc71097035"/>
      <w:bookmarkStart w:id="86" w:name="_Toc155607332"/>
      <w:r>
        <w:rPr>
          <w:rStyle w:val="CharSectno"/>
        </w:rPr>
        <w:t>25</w:t>
      </w:r>
      <w:r>
        <w:rPr>
          <w:snapToGrid w:val="0"/>
        </w:rPr>
        <w:t>.</w:t>
      </w:r>
      <w:r>
        <w:rPr>
          <w:snapToGrid w:val="0"/>
        </w:rPr>
        <w:tab/>
      </w:r>
      <w:bookmarkEnd w:id="83"/>
      <w:r>
        <w:rPr>
          <w:snapToGrid w:val="0"/>
        </w:rPr>
        <w:t>Short title</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7" w:name="_Toc71097036"/>
      <w:bookmarkStart w:id="88" w:name="_Toc101780125"/>
      <w:bookmarkStart w:id="89" w:name="_Toc101780935"/>
      <w:bookmarkStart w:id="90" w:name="_Toc151805540"/>
      <w:bookmarkStart w:id="91" w:name="_Toc155607333"/>
      <w:r>
        <w:t>Notes</w:t>
      </w:r>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 w:name="_Toc67886658"/>
      <w:bookmarkStart w:id="93" w:name="_Toc71097037"/>
      <w:bookmarkStart w:id="94" w:name="_Toc155607334"/>
      <w:r>
        <w:rPr>
          <w:snapToGrid w:val="0"/>
        </w:rPr>
        <w:t>Compilation table</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 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Pr>
          <w:p>
            <w:pPr>
              <w:pStyle w:val="nTable"/>
              <w:spacing w:after="40"/>
              <w:rPr>
                <w:sz w:val="19"/>
              </w:rPr>
            </w:pPr>
            <w:r>
              <w:rPr>
                <w:i/>
                <w:iCs/>
                <w:snapToGrid w:val="0"/>
                <w:sz w:val="19"/>
                <w:lang w:val="en-US"/>
              </w:rPr>
              <w:t>Courts Legislation Amendment and Repeal Act 2004</w:t>
            </w:r>
            <w:r>
              <w:rPr>
                <w:snapToGrid w:val="0"/>
                <w:sz w:val="19"/>
                <w:lang w:val="en-US"/>
              </w:rPr>
              <w:t xml:space="preserve"> Pt. 20 Div. 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pPr>
      <w:r>
        <w:rPr>
          <w:vertAlign w:val="superscript"/>
        </w:rPr>
        <w:t>2</w:t>
      </w:r>
      <w:r>
        <w:tab/>
        <w:t xml:space="preserve">Now known as the </w:t>
      </w:r>
      <w:r>
        <w:rPr>
          <w:i/>
        </w:rPr>
        <w:t>Registration of Deeds Act 1856</w:t>
      </w:r>
      <w:r>
        <w:t>; short title inserted and amended (see note under s. 25).</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C0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EC1F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BE59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468E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D212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8C1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A852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784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105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AC4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178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16AF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02"/>
    <w:docVar w:name="WAFER_20151209115402" w:val="RemoveTrackChanges"/>
    <w:docVar w:name="WAFER_20151209115402_GUID" w:val="6e3bda26-32e1-4860-b382-d5bd0c28c1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4213</Words>
  <Characters>19932</Characters>
  <Application>Microsoft Office Word</Application>
  <DocSecurity>0</DocSecurity>
  <Lines>498</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1856 - 02-d0-04</dc:title>
  <dc:subject/>
  <dc:creator/>
  <cp:keywords/>
  <dc:description/>
  <cp:lastModifiedBy>svcMRProcess</cp:lastModifiedBy>
  <cp:revision>4</cp:revision>
  <cp:lastPrinted>2004-04-07T02:04:00Z</cp:lastPrinted>
  <dcterms:created xsi:type="dcterms:W3CDTF">2015-12-15T03:22:00Z</dcterms:created>
  <dcterms:modified xsi:type="dcterms:W3CDTF">2015-12-15T03:22:00Z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682</vt:i4>
  </property>
  <property fmtid="{D5CDD505-2E9C-101B-9397-08002B2CF9AE}" pid="6" name="AsAtDate">
    <vt:lpwstr>01 Jan 2007</vt:lpwstr>
  </property>
  <property fmtid="{D5CDD505-2E9C-101B-9397-08002B2CF9AE}" pid="7" name="Suffix">
    <vt:lpwstr>02-d0-04</vt:lpwstr>
  </property>
</Properties>
</file>