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Builders’ Registration Act 1939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Regulations</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_Toc33301948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_Toc33301949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_Toc33301950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_Toc33301951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_Toc33301952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_Toc33301953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_Toc33301954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_Toc33301955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_Toc33301956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_Toc33301957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_Toc33301958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_Toc33301959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_Toc33301960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_Toc33301961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_Toc33301962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_Toc33301963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_Toc33301964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_Toc33301965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_Toc33301966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_Toc33301967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_Toc33301968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_Toc33301969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_Toc33301970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_Toc33301971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_Toc33301972 \h </w:instrText>
      </w:r>
      <w:r>
        <w:fldChar w:fldCharType="separate"/>
      </w:r>
      <w:r>
        <w:t>13</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_Toc33301973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_Toc33301974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rPr>
      </w:pPr>
      <w:r>
        <w:t>First Appendix</w:t>
      </w:r>
    </w:p>
    <w:p>
      <w:pPr>
        <w:pStyle w:val="TOC2"/>
        <w:tabs>
          <w:tab w:val="right" w:pos="7086"/>
        </w:tabs>
        <w:rPr>
          <w:rFonts w:asciiTheme="minorHAnsi" w:eastAsiaTheme="minorEastAsia" w:hAnsiTheme="minorHAnsi" w:cstheme="minorBidi"/>
          <w:b w:val="0"/>
          <w:sz w:val="22"/>
          <w:szCs w:val="22"/>
        </w:rPr>
      </w:pPr>
      <w:r>
        <w:t>Second Appendix — Fees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_Toc33301978 \h </w:instrText>
      </w:r>
      <w:r>
        <w:fldChar w:fldCharType="separate"/>
      </w:r>
      <w:r>
        <w:t>43</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2" w:name="_Toc3330194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3" w:name="_Toc33301949"/>
      <w:r>
        <w:rPr>
          <w:rStyle w:val="CharSectno"/>
        </w:rPr>
        <w:t>1A</w:t>
      </w:r>
      <w:r>
        <w:t>.</w:t>
      </w:r>
      <w:r>
        <w:tab/>
        <w:t>Limiting the definition of company</w:t>
      </w:r>
      <w:bookmarkEnd w:id="3"/>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4" w:name="_Toc33301950"/>
      <w:r>
        <w:rPr>
          <w:rStyle w:val="CharSectno"/>
        </w:rPr>
        <w:t>2</w:t>
      </w:r>
      <w:r>
        <w:rPr>
          <w:snapToGrid w:val="0"/>
        </w:rPr>
        <w:t>.</w:t>
      </w:r>
      <w:r>
        <w:rPr>
          <w:snapToGrid w:val="0"/>
        </w:rPr>
        <w:tab/>
        <w:t>Registration of body corporate</w:t>
      </w:r>
      <w:bookmarkEnd w:id="4"/>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5" w:name="_Toc33301951"/>
      <w:r>
        <w:rPr>
          <w:rStyle w:val="CharSectno"/>
        </w:rPr>
        <w:t>4</w:t>
      </w:r>
      <w:r>
        <w:rPr>
          <w:snapToGrid w:val="0"/>
        </w:rPr>
        <w:t>.</w:t>
      </w:r>
      <w:r>
        <w:rPr>
          <w:snapToGrid w:val="0"/>
        </w:rPr>
        <w:tab/>
        <w:t>Meetings of the Board</w:t>
      </w:r>
      <w:bookmarkEnd w:id="5"/>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6" w:name="_Toc33301952"/>
      <w:r>
        <w:rPr>
          <w:rStyle w:val="CharSectno"/>
        </w:rPr>
        <w:t>6</w:t>
      </w:r>
      <w:r>
        <w:rPr>
          <w:snapToGrid w:val="0"/>
        </w:rPr>
        <w:t>.</w:t>
      </w:r>
      <w:r>
        <w:rPr>
          <w:snapToGrid w:val="0"/>
        </w:rPr>
        <w:tab/>
        <w:t>Adjournment</w:t>
      </w:r>
      <w:bookmarkEnd w:id="6"/>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7" w:name="_Toc33301953"/>
      <w:r>
        <w:rPr>
          <w:rStyle w:val="CharSectno"/>
        </w:rPr>
        <w:t>7</w:t>
      </w:r>
      <w:r>
        <w:rPr>
          <w:snapToGrid w:val="0"/>
        </w:rPr>
        <w:t>.</w:t>
      </w:r>
      <w:r>
        <w:rPr>
          <w:snapToGrid w:val="0"/>
        </w:rPr>
        <w:tab/>
        <w:t>Register of Builders</w:t>
      </w:r>
      <w:bookmarkEnd w:id="7"/>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8" w:name="_Toc33301954"/>
      <w:r>
        <w:rPr>
          <w:rStyle w:val="CharSectno"/>
        </w:rPr>
        <w:t>8</w:t>
      </w:r>
      <w:r>
        <w:rPr>
          <w:snapToGrid w:val="0"/>
        </w:rPr>
        <w:t>.</w:t>
      </w:r>
      <w:r>
        <w:rPr>
          <w:snapToGrid w:val="0"/>
        </w:rPr>
        <w:tab/>
        <w:t>Application for registration</w:t>
      </w:r>
      <w:bookmarkEnd w:id="8"/>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9" w:name="_Toc33301955"/>
      <w:r>
        <w:rPr>
          <w:rStyle w:val="CharSectno"/>
        </w:rPr>
        <w:t>8A</w:t>
      </w:r>
      <w:r>
        <w:rPr>
          <w:snapToGrid w:val="0"/>
        </w:rPr>
        <w:t>.</w:t>
      </w:r>
      <w:r>
        <w:rPr>
          <w:snapToGrid w:val="0"/>
        </w:rPr>
        <w:tab/>
        <w:t>Application under section 4(1a)</w:t>
      </w:r>
      <w:bookmarkEnd w:id="9"/>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0" w:name="_Toc33301956"/>
      <w:r>
        <w:rPr>
          <w:rStyle w:val="CharSectno"/>
        </w:rPr>
        <w:t>8B</w:t>
      </w:r>
      <w:r>
        <w:rPr>
          <w:snapToGrid w:val="0"/>
        </w:rPr>
        <w:t>.</w:t>
      </w:r>
      <w:r>
        <w:rPr>
          <w:snapToGrid w:val="0"/>
        </w:rPr>
        <w:tab/>
        <w:t>Application for partnership to be registered</w:t>
      </w:r>
      <w:bookmarkEnd w:id="10"/>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1" w:name="_Toc33301957"/>
      <w:r>
        <w:rPr>
          <w:rStyle w:val="CharSectno"/>
        </w:rPr>
        <w:t>8C</w:t>
      </w:r>
      <w:r>
        <w:rPr>
          <w:snapToGrid w:val="0"/>
        </w:rPr>
        <w:t>.</w:t>
      </w:r>
      <w:r>
        <w:rPr>
          <w:snapToGrid w:val="0"/>
        </w:rPr>
        <w:tab/>
        <w:t>Application for body corporate to be registered</w:t>
      </w:r>
      <w:bookmarkEnd w:id="11"/>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2" w:name="_Toc33301958"/>
      <w:r>
        <w:rPr>
          <w:rStyle w:val="CharSectno"/>
        </w:rPr>
        <w:t>8D</w:t>
      </w:r>
      <w:r>
        <w:rPr>
          <w:snapToGrid w:val="0"/>
        </w:rPr>
        <w:t>.</w:t>
      </w:r>
      <w:r>
        <w:rPr>
          <w:snapToGrid w:val="0"/>
        </w:rPr>
        <w:tab/>
        <w:t>Statutory declaration to be completed</w:t>
      </w:r>
      <w:bookmarkEnd w:id="12"/>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3" w:name="_Toc33301959"/>
      <w:r>
        <w:rPr>
          <w:rStyle w:val="CharSectno"/>
        </w:rPr>
        <w:t>8E</w:t>
      </w:r>
      <w:r>
        <w:t>.</w:t>
      </w:r>
      <w:r>
        <w:tab/>
        <w:t>Prescribed manner of certifying payment of fee under section 4A(1)(c)(iii)</w:t>
      </w:r>
      <w:bookmarkEnd w:id="13"/>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4" w:name="_Toc33301960"/>
      <w:r>
        <w:rPr>
          <w:rStyle w:val="CharSectno"/>
        </w:rPr>
        <w:t>8F</w:t>
      </w:r>
      <w:r>
        <w:t>.</w:t>
      </w:r>
      <w:r>
        <w:tab/>
        <w:t>Prescribed period for furnishing particulars and remitting fee to Board under section 4B(2)</w:t>
      </w:r>
      <w:bookmarkEnd w:id="14"/>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5" w:name="_Toc33301961"/>
      <w:r>
        <w:rPr>
          <w:rStyle w:val="CharSectno"/>
        </w:rPr>
        <w:t>8G</w:t>
      </w:r>
      <w:r>
        <w:t>.</w:t>
      </w:r>
      <w:r>
        <w:tab/>
        <w:t>Prescribed particulars under section 4B(2)(a)</w:t>
      </w:r>
      <w:bookmarkEnd w:id="15"/>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16" w:name="_Toc33301962"/>
      <w:r>
        <w:rPr>
          <w:rStyle w:val="CharSectno"/>
        </w:rPr>
        <w:t>10</w:t>
      </w:r>
      <w:r>
        <w:rPr>
          <w:snapToGrid w:val="0"/>
        </w:rPr>
        <w:t>.</w:t>
      </w:r>
      <w:r>
        <w:rPr>
          <w:snapToGrid w:val="0"/>
        </w:rPr>
        <w:tab/>
        <w:t>Course of training and study</w:t>
      </w:r>
      <w:bookmarkEnd w:id="16"/>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17" w:name="_Toc33301963"/>
      <w:r>
        <w:rPr>
          <w:rStyle w:val="CharSectno"/>
        </w:rPr>
        <w:t>14</w:t>
      </w:r>
      <w:r>
        <w:rPr>
          <w:snapToGrid w:val="0"/>
        </w:rPr>
        <w:t>.</w:t>
      </w:r>
      <w:r>
        <w:rPr>
          <w:snapToGrid w:val="0"/>
        </w:rPr>
        <w:tab/>
        <w:t>Board may grant temporary licences</w:t>
      </w:r>
      <w:bookmarkEnd w:id="17"/>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8" w:name="_Toc33301964"/>
      <w:r>
        <w:rPr>
          <w:rStyle w:val="CharSectno"/>
        </w:rPr>
        <w:t>15</w:t>
      </w:r>
      <w:r>
        <w:rPr>
          <w:snapToGrid w:val="0"/>
        </w:rPr>
        <w:t>.</w:t>
      </w:r>
      <w:r>
        <w:rPr>
          <w:snapToGrid w:val="0"/>
        </w:rPr>
        <w:tab/>
        <w:t>Application for temporary licence</w:t>
      </w:r>
      <w:bookmarkEnd w:id="18"/>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9" w:name="_Toc33301965"/>
      <w:r>
        <w:rPr>
          <w:rStyle w:val="CharSectno"/>
        </w:rPr>
        <w:t>16</w:t>
      </w:r>
      <w:r>
        <w:rPr>
          <w:snapToGrid w:val="0"/>
        </w:rPr>
        <w:t>.</w:t>
      </w:r>
      <w:r>
        <w:rPr>
          <w:snapToGrid w:val="0"/>
        </w:rPr>
        <w:tab/>
        <w:t>Temporary licence may contain conditions</w:t>
      </w:r>
      <w:bookmarkEnd w:id="19"/>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20" w:name="_Toc33301966"/>
      <w:r>
        <w:rPr>
          <w:rStyle w:val="CharSectno"/>
        </w:rPr>
        <w:t>17</w:t>
      </w:r>
      <w:r>
        <w:rPr>
          <w:snapToGrid w:val="0"/>
        </w:rPr>
        <w:t>.</w:t>
      </w:r>
      <w:r>
        <w:rPr>
          <w:snapToGrid w:val="0"/>
        </w:rPr>
        <w:tab/>
        <w:t>Fees</w:t>
      </w:r>
      <w:bookmarkEnd w:id="20"/>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1" w:name="_Toc33301967"/>
      <w:r>
        <w:rPr>
          <w:rStyle w:val="CharSectno"/>
        </w:rPr>
        <w:t>18</w:t>
      </w:r>
      <w:r>
        <w:rPr>
          <w:snapToGrid w:val="0"/>
        </w:rPr>
        <w:t>.</w:t>
      </w:r>
      <w:r>
        <w:rPr>
          <w:snapToGrid w:val="0"/>
        </w:rPr>
        <w:tab/>
        <w:t>Threshold price for construction of building by unregistered person</w:t>
      </w:r>
      <w:bookmarkEnd w:id="21"/>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2" w:name="_Toc33301968"/>
      <w:r>
        <w:rPr>
          <w:rStyle w:val="CharSectno"/>
        </w:rPr>
        <w:t>19</w:t>
      </w:r>
      <w:r>
        <w:t>.</w:t>
      </w:r>
      <w:r>
        <w:tab/>
        <w:t>Prescribed fee for complaint or application to Disputes Tribunal (section 34A)</w:t>
      </w:r>
      <w:bookmarkEnd w:id="22"/>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23" w:name="_Toc33301969"/>
      <w:r>
        <w:rPr>
          <w:rStyle w:val="CharSectno"/>
        </w:rPr>
        <w:t>20</w:t>
      </w:r>
      <w:r>
        <w:t>.</w:t>
      </w:r>
      <w:r>
        <w:tab/>
        <w:t>Board to keep register of ineligible persons</w:t>
      </w:r>
      <w:bookmarkEnd w:id="23"/>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24" w:name="_Toc33301970"/>
      <w:r>
        <w:rPr>
          <w:rStyle w:val="CharSectno"/>
        </w:rPr>
        <w:t>21</w:t>
      </w:r>
      <w:r>
        <w:t>.</w:t>
      </w:r>
      <w:r>
        <w:tab/>
        <w:t>Prescribed amount of maximum fine under section 13A</w:t>
      </w:r>
      <w:bookmarkEnd w:id="24"/>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25" w:name="_Toc33301971"/>
      <w:r>
        <w:rPr>
          <w:rStyle w:val="CharSectno"/>
        </w:rPr>
        <w:t>22</w:t>
      </w:r>
      <w:r>
        <w:t>.</w:t>
      </w:r>
      <w:r>
        <w:tab/>
        <w:t>Prescribed offences and modified penalties (section 20B(2) and (4))</w:t>
      </w:r>
      <w:bookmarkEnd w:id="25"/>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26" w:name="_Toc33301972"/>
      <w:r>
        <w:rPr>
          <w:rStyle w:val="CharSectno"/>
        </w:rPr>
        <w:t>23</w:t>
      </w:r>
      <w:r>
        <w:t>.</w:t>
      </w:r>
      <w:r>
        <w:tab/>
        <w:t>Prescribed form of preliminary notice under section 12A(3)</w:t>
      </w:r>
      <w:bookmarkEnd w:id="26"/>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7" w:name="_Toc33301973"/>
      <w:r>
        <w:rPr>
          <w:rStyle w:val="CharSectno"/>
        </w:rPr>
        <w:t>24</w:t>
      </w:r>
      <w:r>
        <w:t>.</w:t>
      </w:r>
      <w:r>
        <w:tab/>
        <w:t>Prescribed form of infringement notice under section 20B(3)</w:t>
      </w:r>
      <w:bookmarkEnd w:id="27"/>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8" w:name="_Toc33301974"/>
      <w:r>
        <w:rPr>
          <w:rStyle w:val="CharSectno"/>
        </w:rPr>
        <w:t>25</w:t>
      </w:r>
      <w:r>
        <w:t>.</w:t>
      </w:r>
      <w:r>
        <w:tab/>
        <w:t>Prescribed form of notice withdrawing infringement notice under section 20B(7)</w:t>
      </w:r>
      <w:bookmarkEnd w:id="28"/>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9" w:name="_Toc33301975"/>
      <w:r>
        <w:rPr>
          <w:rStyle w:val="CharSchNo"/>
        </w:rPr>
        <w:t>First Appendix</w:t>
      </w:r>
      <w:bookmarkEnd w:id="29"/>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To the Builders’ Registration Board of Western Australia, Perth,</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I am permanently residing in Western Australia;</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Declared at Perth in</w:t>
            </w:r>
          </w:p>
          <w:p>
            <w:pPr>
              <w:pStyle w:val="yMiscellaneousBody"/>
              <w:spacing w:before="0"/>
              <w:rPr>
                <w:snapToGrid w:val="0"/>
              </w:rPr>
            </w:pPr>
            <w:r>
              <w:rPr>
                <w:snapToGrid w:val="0"/>
              </w:rPr>
              <w:t>the State of Western</w:t>
            </w:r>
          </w:p>
          <w:p>
            <w:pPr>
              <w:pStyle w:val="yMiscellaneousBody"/>
              <w:spacing w:before="0"/>
              <w:rPr>
                <w:snapToGrid w:val="0"/>
              </w:rPr>
            </w:pPr>
            <w:r>
              <w:rPr>
                <w:snapToGrid w:val="0"/>
              </w:rPr>
              <w:t>Australia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r>
        <w:rPr>
          <w:snapToGrid w:val="0"/>
        </w:rPr>
        <w:t>Western Australia</w:t>
      </w:r>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Western Australia, </w:t>
      </w:r>
      <w:r>
        <w:rPr>
          <w:snapToGrid w:val="0"/>
        </w:rPr>
        <w:br/>
      </w:r>
      <w:r>
        <w:rPr>
          <w:snapToGrid w:val="0"/>
        </w:rPr>
        <w:tab/>
        <w:t>18 Harvest Terrace, WEST PERTH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Address of principal place of business in Western Australia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in the State of Western Australia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Builders’ Registration Board of Western Australia</w:t>
      </w:r>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r>
        <w:rPr>
          <w:snapToGrid w:val="0"/>
        </w:rPr>
        <w:t>Western Australia</w:t>
      </w:r>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Board of Western Australia.</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Western Australia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r>
              <w:t>Western Australia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The Registrar, Builders’ Registration Board of Western Australia, 18 Harvest Terrace, WEST PERTH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r>
        <w:rPr>
          <w:snapToGrid w:val="0"/>
        </w:rPr>
        <w:t>Western Australia</w:t>
      </w:r>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delivering this form, and paying the amount of the modified penalty stated in item 2, to an authorised person* at the Builders’ Registration Board, 18 Harvest Terrace, West Perth WA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30" w:name="_Toc33301976"/>
      <w:r>
        <w:rPr>
          <w:rStyle w:val="CharSchNo"/>
        </w:rPr>
        <w:t>Second Appendix</w:t>
      </w:r>
      <w:r>
        <w:t> — </w:t>
      </w:r>
      <w:r>
        <w:rPr>
          <w:rStyle w:val="CharSchText"/>
        </w:rPr>
        <w:t>Fees</w:t>
      </w:r>
      <w:bookmarkEnd w:id="30"/>
    </w:p>
    <w:p>
      <w:pPr>
        <w:pStyle w:val="yFootnoteheading"/>
        <w:spacing w:after="60"/>
      </w:pPr>
      <w:r>
        <w:tab/>
        <w:t>[Heading inserted in Gazette 17 Jun 2008 p. 2545.]</w:t>
      </w:r>
    </w:p>
    <w:tbl>
      <w:tblPr>
        <w:tblW w:w="0" w:type="auto"/>
        <w:jc w:val="center"/>
        <w:tblInd w:w="-270" w:type="dxa"/>
        <w:tblLayout w:type="fixed"/>
        <w:tblCellMar>
          <w:left w:w="113" w:type="dxa"/>
          <w:right w:w="113" w:type="dxa"/>
        </w:tblCellMar>
        <w:tblLook w:val="0000" w:firstRow="0" w:lastRow="0" w:firstColumn="0" w:lastColumn="0" w:noHBand="0" w:noVBand="0"/>
      </w:tblPr>
      <w:tblGrid>
        <w:gridCol w:w="1635"/>
        <w:gridCol w:w="4680"/>
        <w:gridCol w:w="69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68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69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68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691" w:type="dxa"/>
            <w:tcBorders>
              <w:top w:val="single" w:sz="4" w:space="0" w:color="auto"/>
            </w:tcBorders>
          </w:tcPr>
          <w:p>
            <w:pPr>
              <w:pStyle w:val="yTableNAm"/>
              <w:spacing w:before="60"/>
              <w:jc w:val="right"/>
            </w:pPr>
            <w:r>
              <w:br/>
              <w:t>280</w:t>
            </w:r>
          </w:p>
        </w:tc>
      </w:tr>
      <w:tr>
        <w:trPr>
          <w:jc w:val="center"/>
        </w:trPr>
        <w:tc>
          <w:tcPr>
            <w:tcW w:w="1635" w:type="dxa"/>
          </w:tcPr>
          <w:p>
            <w:pPr>
              <w:pStyle w:val="yTableNAm"/>
              <w:tabs>
                <w:tab w:val="clear" w:pos="567"/>
                <w:tab w:val="left" w:pos="307"/>
              </w:tabs>
              <w:spacing w:before="60"/>
            </w:pPr>
            <w:r>
              <w:t>2.</w:t>
            </w:r>
            <w:r>
              <w:tab/>
              <w:t>s. 9(6)(a)</w:t>
            </w:r>
          </w:p>
        </w:tc>
        <w:tc>
          <w:tcPr>
            <w:tcW w:w="4680" w:type="dxa"/>
          </w:tcPr>
          <w:p>
            <w:pPr>
              <w:pStyle w:val="yTableNAm"/>
              <w:spacing w:before="60"/>
            </w:pPr>
            <w:r>
              <w:t>To obtain from the registrar a list of the names and addresses of all persons registered in the register</w:t>
            </w:r>
          </w:p>
        </w:tc>
        <w:tc>
          <w:tcPr>
            <w:tcW w:w="69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68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691" w:type="dxa"/>
          </w:tcPr>
          <w:p>
            <w:pPr>
              <w:pStyle w:val="yTableNAm"/>
              <w:spacing w:before="60"/>
              <w:jc w:val="right"/>
            </w:pPr>
            <w:r>
              <w:br/>
            </w:r>
            <w:r>
              <w:br/>
              <w:t>20</w:t>
            </w:r>
          </w:p>
        </w:tc>
      </w:tr>
      <w:tr>
        <w:trPr>
          <w:jc w:val="center"/>
        </w:trPr>
        <w:tc>
          <w:tcPr>
            <w:tcW w:w="1635" w:type="dxa"/>
          </w:tcPr>
          <w:p>
            <w:pPr>
              <w:pStyle w:val="yTableNAm"/>
              <w:tabs>
                <w:tab w:val="clear" w:pos="567"/>
                <w:tab w:val="left" w:pos="307"/>
              </w:tabs>
              <w:spacing w:before="60"/>
            </w:pPr>
            <w:r>
              <w:t>4.</w:t>
            </w:r>
            <w:r>
              <w:tab/>
              <w:t>s. 9A(1)(e)</w:t>
            </w:r>
          </w:p>
        </w:tc>
        <w:tc>
          <w:tcPr>
            <w:tcW w:w="4680" w:type="dxa"/>
          </w:tcPr>
          <w:p>
            <w:pPr>
              <w:pStyle w:val="yTableNAm"/>
              <w:spacing w:before="60"/>
            </w:pPr>
            <w:r>
              <w:t>For an individual who is an architect, engineer etc. with 5 years experience to be registered under the Act</w:t>
            </w:r>
          </w:p>
        </w:tc>
        <w:tc>
          <w:tcPr>
            <w:tcW w:w="691" w:type="dxa"/>
          </w:tcPr>
          <w:p>
            <w:pPr>
              <w:pStyle w:val="yTableNAm"/>
              <w:spacing w:before="60"/>
              <w:jc w:val="right"/>
            </w:pPr>
            <w:r>
              <w:br/>
            </w:r>
            <w:r>
              <w:br/>
              <w:t>269</w:t>
            </w:r>
          </w:p>
        </w:tc>
      </w:tr>
      <w:tr>
        <w:trPr>
          <w:jc w:val="center"/>
        </w:trPr>
        <w:tc>
          <w:tcPr>
            <w:tcW w:w="1635" w:type="dxa"/>
          </w:tcPr>
          <w:p>
            <w:pPr>
              <w:pStyle w:val="yTableNAm"/>
              <w:tabs>
                <w:tab w:val="clear" w:pos="567"/>
                <w:tab w:val="left" w:pos="307"/>
              </w:tabs>
              <w:spacing w:before="60"/>
            </w:pPr>
            <w:r>
              <w:t>5.</w:t>
            </w:r>
            <w:r>
              <w:tab/>
              <w:t>s. 10(1)(a)</w:t>
            </w:r>
          </w:p>
        </w:tc>
        <w:tc>
          <w:tcPr>
            <w:tcW w:w="4680" w:type="dxa"/>
          </w:tcPr>
          <w:p>
            <w:pPr>
              <w:pStyle w:val="yTableNAm"/>
              <w:spacing w:before="60"/>
            </w:pPr>
            <w:r>
              <w:t>For an individual to be registered under the Act</w:t>
            </w:r>
          </w:p>
        </w:tc>
        <w:tc>
          <w:tcPr>
            <w:tcW w:w="691" w:type="dxa"/>
          </w:tcPr>
          <w:p>
            <w:pPr>
              <w:pStyle w:val="yTableNAm"/>
              <w:spacing w:before="60"/>
              <w:jc w:val="right"/>
            </w:pPr>
            <w:r>
              <w:t>269</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680" w:type="dxa"/>
          </w:tcPr>
          <w:p>
            <w:pPr>
              <w:pStyle w:val="yTableNAm"/>
              <w:spacing w:before="60"/>
            </w:pPr>
            <w:r>
              <w:t>For a partnership to be registered under the Act</w:t>
            </w:r>
          </w:p>
        </w:tc>
        <w:tc>
          <w:tcPr>
            <w:tcW w:w="691" w:type="dxa"/>
          </w:tcPr>
          <w:p>
            <w:pPr>
              <w:pStyle w:val="yTableNAm"/>
              <w:spacing w:before="60"/>
              <w:jc w:val="right"/>
            </w:pPr>
            <w:r>
              <w:t>203</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680" w:type="dxa"/>
          </w:tcPr>
          <w:p>
            <w:pPr>
              <w:pStyle w:val="yTableNAm"/>
              <w:spacing w:before="60"/>
            </w:pPr>
            <w:r>
              <w:t>For a company or other body corporate to be registered under the Act</w:t>
            </w:r>
          </w:p>
        </w:tc>
        <w:tc>
          <w:tcPr>
            <w:tcW w:w="691" w:type="dxa"/>
          </w:tcPr>
          <w:p>
            <w:pPr>
              <w:pStyle w:val="yTableNAm"/>
              <w:spacing w:before="60"/>
              <w:jc w:val="right"/>
            </w:pPr>
            <w:r>
              <w:br/>
              <w:t>269</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680" w:type="dxa"/>
          </w:tcPr>
          <w:p>
            <w:pPr>
              <w:pStyle w:val="yTableNAm"/>
              <w:spacing w:before="60"/>
            </w:pPr>
            <w:r>
              <w:t>For the issue of a certificate of registration (Form No. 3)</w:t>
            </w:r>
          </w:p>
        </w:tc>
        <w:tc>
          <w:tcPr>
            <w:tcW w:w="691" w:type="dxa"/>
          </w:tcPr>
          <w:p>
            <w:pPr>
              <w:pStyle w:val="yTableNAm"/>
              <w:spacing w:before="60"/>
              <w:jc w:val="right"/>
            </w:pPr>
            <w:r>
              <w:br/>
              <w:t>28</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68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691" w:type="dxa"/>
          </w:tcPr>
          <w:p>
            <w:pPr>
              <w:pStyle w:val="yTableNAm"/>
              <w:spacing w:before="60"/>
              <w:jc w:val="right"/>
            </w:pPr>
          </w:p>
          <w:p>
            <w:pPr>
              <w:pStyle w:val="yTableNAm"/>
              <w:spacing w:before="60"/>
              <w:jc w:val="right"/>
            </w:pPr>
            <w:r>
              <w:t>253</w:t>
            </w:r>
          </w:p>
          <w:p>
            <w:pPr>
              <w:pStyle w:val="yTableNAm"/>
              <w:spacing w:before="60"/>
              <w:jc w:val="right"/>
            </w:pPr>
            <w:r>
              <w:t>346</w:t>
            </w:r>
          </w:p>
          <w:p>
            <w:pPr>
              <w:pStyle w:val="yTableNAm"/>
              <w:spacing w:before="60"/>
              <w:jc w:val="right"/>
            </w:pPr>
            <w:r>
              <w:t>787</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68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691" w:type="dxa"/>
            <w:tcBorders>
              <w:bottom w:val="single" w:sz="4" w:space="0" w:color="auto"/>
            </w:tcBorders>
          </w:tcPr>
          <w:p>
            <w:pPr>
              <w:pStyle w:val="yTableNAm"/>
              <w:spacing w:before="60"/>
              <w:jc w:val="right"/>
            </w:pPr>
            <w:r>
              <w:br/>
            </w:r>
          </w:p>
          <w:p>
            <w:pPr>
              <w:pStyle w:val="yTableNAm"/>
              <w:spacing w:before="60"/>
              <w:jc w:val="right"/>
            </w:pPr>
            <w:r>
              <w:t>20</w:t>
            </w:r>
          </w:p>
          <w:p>
            <w:pPr>
              <w:pStyle w:val="yTableNAm"/>
              <w:spacing w:before="60"/>
              <w:jc w:val="right"/>
            </w:pPr>
            <w:r>
              <w:t>32</w:t>
            </w:r>
          </w:p>
        </w:tc>
      </w:tr>
    </w:tbl>
    <w:p>
      <w:pPr>
        <w:pStyle w:val="yFootnotesection"/>
      </w:pPr>
      <w:r>
        <w:tab/>
        <w:t>[Second Appendix inserted in Gazette 17 Jun 2008 p. 2545-6; amended in Gazette 17 Jun 2008 p. 2547; 23 Jun 2009 p. 2432 and 2433; 25 Jun 2010 p. 2857.]</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1" w:name="_Toc33301977"/>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2" w:name="_Toc33301978"/>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2010</w:t>
            </w:r>
          </w:p>
        </w:tc>
        <w:tc>
          <w:tcPr>
            <w:tcW w:w="1276" w:type="dxa"/>
            <w:tcBorders>
              <w:bottom w:val="single" w:sz="4" w:space="0" w:color="auto"/>
            </w:tcBorders>
          </w:tcPr>
          <w:p>
            <w:pPr>
              <w:pStyle w:val="nTable"/>
              <w:spacing w:after="40"/>
              <w:rPr>
                <w:sz w:val="19"/>
              </w:rPr>
            </w:pPr>
            <w:r>
              <w:rPr>
                <w:sz w:val="19"/>
              </w:rPr>
              <w:t>25 Jun 2010 p. 2856</w:t>
            </w:r>
            <w:r>
              <w:rPr>
                <w:sz w:val="19"/>
              </w:rPr>
              <w:noBreakHyphen/>
              <w:t>7</w:t>
            </w:r>
          </w:p>
        </w:tc>
        <w:tc>
          <w:tcPr>
            <w:tcW w:w="2693" w:type="dxa"/>
            <w:tcBorders>
              <w:bottom w:val="single" w:sz="4" w:space="0" w:color="auto"/>
            </w:tcBorders>
          </w:tcPr>
          <w:p>
            <w:pPr>
              <w:pStyle w:val="nTable"/>
              <w:spacing w:after="40"/>
              <w:rPr>
                <w:snapToGrid w:val="0"/>
                <w:sz w:val="19"/>
              </w:rPr>
            </w:pPr>
            <w:r>
              <w:rPr>
                <w:snapToGrid w:val="0"/>
                <w:spacing w:val="-2"/>
                <w:sz w:val="19"/>
              </w:rPr>
              <w:t>r. 1 and 2: 25 Jun 2010 (see r. 2(a));</w:t>
            </w:r>
            <w:r>
              <w:rPr>
                <w:snapToGrid w:val="0"/>
                <w:spacing w:val="-2"/>
                <w:sz w:val="19"/>
              </w:rPr>
              <w:br/>
              <w:t>Regulations other than r. 1 and 2: 1 Jul 2010 (see r. 2(b))</w:t>
            </w:r>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3" w:name="_Toc33301979"/>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constructed</w:t>
      </w:r>
      <w:r>
        <w:tab/>
        <w:t>8G(2)</w:t>
      </w:r>
    </w:p>
    <w:p>
      <w:pPr>
        <w:pStyle w:val="DefinedTerms"/>
      </w:pPr>
      <w:r>
        <w:t>financially disadvantaged person</w:t>
      </w:r>
      <w:r>
        <w:tab/>
        <w:t>19(2)</w:t>
      </w:r>
    </w:p>
    <w:p>
      <w:pPr>
        <w:pStyle w:val="DefinedTerms"/>
      </w:pPr>
      <w:r>
        <w:t>policy of home indemnity insurance</w:t>
      </w:r>
      <w:r>
        <w:tab/>
        <w:t>8G(2)</w:t>
      </w:r>
    </w:p>
    <w:p>
      <w:pPr>
        <w:pStyle w:val="DefinedTerms"/>
      </w:pPr>
      <w:r>
        <w:t>registered Australian body</w:t>
      </w:r>
      <w:r>
        <w:tab/>
        <w:t>1A(2)</w:t>
      </w:r>
    </w:p>
    <w:p>
      <w:pPr>
        <w:pStyle w:val="DefinedTerms"/>
      </w:pP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46</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45</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532"/>
    <w:docVar w:name="WAFER_20140604124525" w:val="RemoveTocBookmarks,RemoveUnusedBookmarks,RemoveLanguageTags,UsedStyles,ResetPageSize"/>
    <w:docVar w:name="WAFER_20140604124525_GUID" w:val="f126fa9e-e8c2-4768-a163-e725c9e245b1"/>
    <w:docVar w:name="WAFER_20140604124532" w:val="RemoveTocBookmarks,RunningHeaders"/>
    <w:docVar w:name="WAFER_20140604124532_GUID" w:val="1202d073-163b-4114-ab44-045987881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9010</Words>
  <Characters>57128</Characters>
  <Application>Microsoft Office Word</Application>
  <DocSecurity>0</DocSecurity>
  <Lines>1731</Lines>
  <Paragraphs>1102</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65036</CharactersWithSpaces>
  <SharedDoc>false</SharedDoc>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- 04-b0-02</dc:title>
  <dc:subject/>
  <dc:creator/>
  <cp:keywords/>
  <dc:description/>
  <cp:lastModifiedBy>svcMRProcess</cp:lastModifiedBy>
  <cp:revision>4</cp:revision>
  <cp:lastPrinted>2009-09-16T00:13:00Z</cp:lastPrinted>
  <dcterms:created xsi:type="dcterms:W3CDTF">2020-02-22T14:12:00Z</dcterms:created>
  <dcterms:modified xsi:type="dcterms:W3CDTF">2020-02-22T14:12:00Z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04-b0-02</vt:lpwstr>
  </property>
</Properties>
</file>