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left="120" w:right="128"/>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Energy Operators (Powers) Act 1979</w:t>
      </w:r>
    </w:p>
    <w:p>
      <w:pPr>
        <w:pStyle w:val="NameofActRegPage1"/>
        <w:spacing w:before="1980" w:after="4200"/>
        <w:ind w:left="11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(Electricity Retail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_Toc265662047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_Toc265662048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_Toc265662049 \h </w:instrText>
      </w:r>
      <w:r>
        <w:fldChar w:fldCharType="separate"/>
      </w:r>
      <w:r>
        <w:t>1</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_Toc265662050 \h </w:instrText>
      </w:r>
      <w:r>
        <w:fldChar w:fldCharType="separate"/>
      </w:r>
      <w:r>
        <w:t>2</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_Toc265662051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_Toc265662052 \h </w:instrText>
      </w:r>
      <w:r>
        <w:fldChar w:fldCharType="separate"/>
      </w:r>
      <w:r>
        <w:t>2</w:t>
      </w:r>
      <w:r>
        <w:fldChar w:fldCharType="end"/>
      </w:r>
    </w:p>
    <w:p>
      <w:pPr>
        <w:pStyle w:val="TOC8"/>
        <w:rPr>
          <w:sz w:val="24"/>
          <w:szCs w:val="24"/>
        </w:rPr>
      </w:pPr>
      <w:r>
        <w:rPr>
          <w:szCs w:val="24"/>
        </w:rPr>
        <w:t>7.</w:t>
      </w:r>
      <w:r>
        <w:rPr>
          <w:szCs w:val="24"/>
        </w:rPr>
        <w:tab/>
        <w:t>Fees</w:t>
      </w:r>
      <w:r>
        <w:tab/>
      </w:r>
      <w:r>
        <w:fldChar w:fldCharType="begin"/>
      </w:r>
      <w:r>
        <w:instrText xml:space="preserve"> PAGEREF _Toc265662053 \h </w:instrText>
      </w:r>
      <w:r>
        <w:fldChar w:fldCharType="separate"/>
      </w:r>
      <w:r>
        <w:t>3</w:t>
      </w:r>
      <w:r>
        <w:fldChar w:fldCharType="end"/>
      </w:r>
    </w:p>
    <w:p>
      <w:pPr>
        <w:pStyle w:val="TOC8"/>
        <w:rPr>
          <w:sz w:val="24"/>
          <w:szCs w:val="24"/>
        </w:rPr>
      </w:pPr>
      <w:r>
        <w:rPr>
          <w:szCs w:val="24"/>
        </w:rPr>
        <w:t>8.</w:t>
      </w:r>
      <w:r>
        <w:rPr>
          <w:szCs w:val="24"/>
        </w:rPr>
        <w:tab/>
        <w:t>Payment</w:t>
      </w:r>
      <w:r>
        <w:tab/>
      </w:r>
      <w:r>
        <w:fldChar w:fldCharType="begin"/>
      </w:r>
      <w:r>
        <w:instrText xml:space="preserve"> PAGEREF _Toc265662054 \h </w:instrText>
      </w:r>
      <w:r>
        <w:fldChar w:fldCharType="separate"/>
      </w:r>
      <w:r>
        <w:t>3</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_Toc265662055 \h </w:instrText>
      </w:r>
      <w:r>
        <w:fldChar w:fldCharType="separate"/>
      </w:r>
      <w:r>
        <w:t>4</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_Toc265662056 \h </w:instrText>
      </w:r>
      <w:r>
        <w:fldChar w:fldCharType="separate"/>
      </w:r>
      <w:r>
        <w:t>5</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_Toc265662057 \h </w:instrText>
      </w:r>
      <w:r>
        <w:fldChar w:fldCharType="separate"/>
      </w:r>
      <w:r>
        <w:t>5</w:t>
      </w:r>
      <w:r>
        <w:fldChar w:fldCharType="end"/>
      </w:r>
    </w:p>
    <w:p>
      <w:pPr>
        <w:pStyle w:val="TOC8"/>
        <w:rPr>
          <w:sz w:val="24"/>
          <w:szCs w:val="24"/>
        </w:rPr>
      </w:pPr>
      <w:r>
        <w:rPr>
          <w:szCs w:val="24"/>
        </w:rPr>
        <w:t>12.</w:t>
      </w:r>
      <w:r>
        <w:rPr>
          <w:szCs w:val="24"/>
        </w:rPr>
        <w:tab/>
        <w:t>Prescribed rate of interest for s. 62(16) of the Act</w:t>
      </w:r>
      <w:r>
        <w:tab/>
      </w:r>
      <w:r>
        <w:fldChar w:fldCharType="begin"/>
      </w:r>
      <w:r>
        <w:instrText xml:space="preserve"> PAGEREF _Toc265662058 \h </w:instrText>
      </w:r>
      <w:r>
        <w:fldChar w:fldCharType="separate"/>
      </w:r>
      <w:r>
        <w:t>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Supply charges</w:t>
      </w:r>
    </w:p>
    <w:p>
      <w:pPr>
        <w:pStyle w:val="TOC8"/>
        <w:rPr>
          <w:sz w:val="24"/>
          <w:szCs w:val="24"/>
        </w:rPr>
      </w:pPr>
      <w:r>
        <w:rPr>
          <w:szCs w:val="22"/>
        </w:rPr>
        <w:t>1.</w:t>
      </w:r>
      <w:r>
        <w:rPr>
          <w:szCs w:val="22"/>
        </w:rPr>
        <w:tab/>
        <w:t>Tariff L1 (general supply — low/medium voltage tariff)</w:t>
      </w:r>
      <w:r>
        <w:tab/>
      </w:r>
      <w:r>
        <w:fldChar w:fldCharType="begin"/>
      </w:r>
      <w:r>
        <w:instrText xml:space="preserve"> PAGEREF _Toc265662060 \h </w:instrText>
      </w:r>
      <w:r>
        <w:fldChar w:fldCharType="separate"/>
      </w:r>
      <w:r>
        <w:t>7</w:t>
      </w:r>
      <w:r>
        <w:fldChar w:fldCharType="end"/>
      </w:r>
    </w:p>
    <w:p>
      <w:pPr>
        <w:pStyle w:val="TOC8"/>
        <w:rPr>
          <w:sz w:val="24"/>
          <w:szCs w:val="24"/>
        </w:rPr>
      </w:pPr>
      <w:r>
        <w:rPr>
          <w:szCs w:val="22"/>
        </w:rPr>
        <w:t>2.</w:t>
      </w:r>
      <w:r>
        <w:rPr>
          <w:szCs w:val="22"/>
        </w:rPr>
        <w:tab/>
        <w:t>Tariff L3 (general supply — low/medium voltage tariff)</w:t>
      </w:r>
      <w:r>
        <w:tab/>
      </w:r>
      <w:r>
        <w:fldChar w:fldCharType="begin"/>
      </w:r>
      <w:r>
        <w:instrText xml:space="preserve"> PAGEREF _Toc265662061 \h </w:instrText>
      </w:r>
      <w:r>
        <w:fldChar w:fldCharType="separate"/>
      </w:r>
      <w:r>
        <w:t>7</w:t>
      </w:r>
      <w:r>
        <w:fldChar w:fldCharType="end"/>
      </w:r>
    </w:p>
    <w:p>
      <w:pPr>
        <w:pStyle w:val="TOC8"/>
        <w:rPr>
          <w:sz w:val="24"/>
          <w:szCs w:val="24"/>
        </w:rPr>
      </w:pPr>
      <w:r>
        <w:rPr>
          <w:szCs w:val="22"/>
        </w:rPr>
        <w:t>3.</w:t>
      </w:r>
      <w:r>
        <w:rPr>
          <w:szCs w:val="22"/>
        </w:rPr>
        <w:tab/>
        <w:t>Tariff M1 (general supply — high voltage tariff)</w:t>
      </w:r>
      <w:r>
        <w:tab/>
      </w:r>
      <w:r>
        <w:fldChar w:fldCharType="begin"/>
      </w:r>
      <w:r>
        <w:instrText xml:space="preserve"> PAGEREF _Toc265662062 \h </w:instrText>
      </w:r>
      <w:r>
        <w:fldChar w:fldCharType="separate"/>
      </w:r>
      <w:r>
        <w:t>8</w:t>
      </w:r>
      <w:r>
        <w:fldChar w:fldCharType="end"/>
      </w:r>
    </w:p>
    <w:p>
      <w:pPr>
        <w:pStyle w:val="TOC8"/>
        <w:rPr>
          <w:sz w:val="24"/>
          <w:szCs w:val="24"/>
        </w:rPr>
      </w:pPr>
      <w:r>
        <w:rPr>
          <w:szCs w:val="22"/>
        </w:rPr>
        <w:t>4.</w:t>
      </w:r>
      <w:r>
        <w:rPr>
          <w:szCs w:val="22"/>
        </w:rPr>
        <w:tab/>
        <w:t>Tariff R1 (time of use tariff)</w:t>
      </w:r>
      <w:r>
        <w:tab/>
      </w:r>
      <w:r>
        <w:fldChar w:fldCharType="begin"/>
      </w:r>
      <w:r>
        <w:instrText xml:space="preserve"> PAGEREF _Toc265662063 \h </w:instrText>
      </w:r>
      <w:r>
        <w:fldChar w:fldCharType="separate"/>
      </w:r>
      <w:r>
        <w:t>8</w:t>
      </w:r>
      <w:r>
        <w:fldChar w:fldCharType="end"/>
      </w:r>
    </w:p>
    <w:p>
      <w:pPr>
        <w:pStyle w:val="TOC8"/>
        <w:rPr>
          <w:sz w:val="24"/>
          <w:szCs w:val="24"/>
        </w:rPr>
      </w:pPr>
      <w:r>
        <w:rPr>
          <w:szCs w:val="22"/>
        </w:rPr>
        <w:t>5.</w:t>
      </w:r>
      <w:r>
        <w:rPr>
          <w:szCs w:val="22"/>
        </w:rPr>
        <w:tab/>
        <w:t>Tariff R3 (time of use tariff)</w:t>
      </w:r>
      <w:r>
        <w:tab/>
      </w:r>
      <w:r>
        <w:fldChar w:fldCharType="begin"/>
      </w:r>
      <w:r>
        <w:instrText xml:space="preserve"> PAGEREF _Toc265662064 \h </w:instrText>
      </w:r>
      <w:r>
        <w:fldChar w:fldCharType="separate"/>
      </w:r>
      <w:r>
        <w:t>9</w:t>
      </w:r>
      <w:r>
        <w:fldChar w:fldCharType="end"/>
      </w:r>
    </w:p>
    <w:p>
      <w:pPr>
        <w:pStyle w:val="TOC8"/>
        <w:rPr>
          <w:sz w:val="24"/>
          <w:szCs w:val="24"/>
        </w:rPr>
      </w:pPr>
      <w:r>
        <w:rPr>
          <w:szCs w:val="22"/>
        </w:rPr>
        <w:t>6.</w:t>
      </w:r>
      <w:r>
        <w:rPr>
          <w:szCs w:val="22"/>
        </w:rPr>
        <w:tab/>
      </w:r>
      <w:r>
        <w:rPr>
          <w:snapToGrid w:val="0"/>
          <w:szCs w:val="22"/>
        </w:rPr>
        <w:t>Tariff S1 (low/medium voltage time based demand and energy tariff)</w:t>
      </w:r>
      <w:r>
        <w:tab/>
      </w:r>
      <w:r>
        <w:fldChar w:fldCharType="begin"/>
      </w:r>
      <w:r>
        <w:instrText xml:space="preserve"> PAGEREF _Toc265662065 \h </w:instrText>
      </w:r>
      <w:r>
        <w:fldChar w:fldCharType="separate"/>
      </w:r>
      <w:r>
        <w:t>9</w:t>
      </w:r>
      <w:r>
        <w:fldChar w:fldCharType="end"/>
      </w:r>
    </w:p>
    <w:p>
      <w:pPr>
        <w:pStyle w:val="TOC8"/>
        <w:rPr>
          <w:sz w:val="24"/>
          <w:szCs w:val="24"/>
        </w:rPr>
      </w:pPr>
      <w:r>
        <w:rPr>
          <w:szCs w:val="22"/>
        </w:rPr>
        <w:t>7.</w:t>
      </w:r>
      <w:r>
        <w:rPr>
          <w:szCs w:val="22"/>
        </w:rPr>
        <w:tab/>
        <w:t xml:space="preserve">Tariff T1 </w:t>
      </w:r>
      <w:r>
        <w:rPr>
          <w:snapToGrid w:val="0"/>
          <w:szCs w:val="22"/>
        </w:rPr>
        <w:t>(high voltage time based demand and energy tariff)</w:t>
      </w:r>
      <w:r>
        <w:tab/>
      </w:r>
      <w:r>
        <w:fldChar w:fldCharType="begin"/>
      </w:r>
      <w:r>
        <w:instrText xml:space="preserve"> PAGEREF _Toc265662066 \h </w:instrText>
      </w:r>
      <w:r>
        <w:fldChar w:fldCharType="separate"/>
      </w:r>
      <w:r>
        <w:t>10</w:t>
      </w:r>
      <w:r>
        <w:fldChar w:fldCharType="end"/>
      </w:r>
    </w:p>
    <w:p>
      <w:pPr>
        <w:pStyle w:val="TOC8"/>
        <w:rPr>
          <w:sz w:val="24"/>
          <w:szCs w:val="24"/>
        </w:rPr>
      </w:pPr>
      <w:r>
        <w:rPr>
          <w:szCs w:val="22"/>
        </w:rPr>
        <w:t>8.</w:t>
      </w:r>
      <w:r>
        <w:rPr>
          <w:szCs w:val="22"/>
        </w:rPr>
        <w:tab/>
        <w:t>Standby charges</w:t>
      </w:r>
      <w:r>
        <w:tab/>
      </w:r>
      <w:r>
        <w:fldChar w:fldCharType="begin"/>
      </w:r>
      <w:r>
        <w:instrText xml:space="preserve"> PAGEREF _Toc265662067 \h </w:instrText>
      </w:r>
      <w:r>
        <w:fldChar w:fldCharType="separate"/>
      </w:r>
      <w:r>
        <w:t>11</w:t>
      </w:r>
      <w:r>
        <w:fldChar w:fldCharType="end"/>
      </w:r>
    </w:p>
    <w:p>
      <w:pPr>
        <w:pStyle w:val="TOC8"/>
        <w:rPr>
          <w:sz w:val="24"/>
          <w:szCs w:val="24"/>
        </w:rPr>
      </w:pPr>
      <w:r>
        <w:rPr>
          <w:szCs w:val="22"/>
        </w:rPr>
        <w:lastRenderedPageBreak/>
        <w:t>9.</w:t>
      </w:r>
      <w:r>
        <w:rPr>
          <w:szCs w:val="22"/>
        </w:rPr>
        <w:tab/>
        <w:t>Tariff A1 (residential tariff)</w:t>
      </w:r>
      <w:r>
        <w:tab/>
      </w:r>
      <w:r>
        <w:fldChar w:fldCharType="begin"/>
      </w:r>
      <w:r>
        <w:instrText xml:space="preserve"> PAGEREF _Toc265662068 \h </w:instrText>
      </w:r>
      <w:r>
        <w:fldChar w:fldCharType="separate"/>
      </w:r>
      <w:r>
        <w:t>12</w:t>
      </w:r>
      <w:r>
        <w:fldChar w:fldCharType="end"/>
      </w:r>
    </w:p>
    <w:p>
      <w:pPr>
        <w:pStyle w:val="TOC8"/>
        <w:rPr>
          <w:sz w:val="24"/>
          <w:szCs w:val="24"/>
        </w:rPr>
      </w:pPr>
      <w:r>
        <w:rPr>
          <w:szCs w:val="22"/>
        </w:rPr>
        <w:t>10.</w:t>
      </w:r>
      <w:r>
        <w:rPr>
          <w:szCs w:val="22"/>
        </w:rPr>
        <w:tab/>
        <w:t>Tariff B1 (residential water heating tariff)</w:t>
      </w:r>
      <w:r>
        <w:tab/>
      </w:r>
      <w:r>
        <w:fldChar w:fldCharType="begin"/>
      </w:r>
      <w:r>
        <w:instrText xml:space="preserve"> PAGEREF _Toc265662069 \h </w:instrText>
      </w:r>
      <w:r>
        <w:fldChar w:fldCharType="separate"/>
      </w:r>
      <w:r>
        <w:t>13</w:t>
      </w:r>
      <w:r>
        <w:fldChar w:fldCharType="end"/>
      </w:r>
    </w:p>
    <w:p>
      <w:pPr>
        <w:pStyle w:val="TOC8"/>
        <w:rPr>
          <w:sz w:val="24"/>
          <w:szCs w:val="24"/>
        </w:rPr>
      </w:pPr>
      <w:r>
        <w:rPr>
          <w:szCs w:val="22"/>
        </w:rPr>
        <w:t>11.</w:t>
      </w:r>
      <w:r>
        <w:rPr>
          <w:szCs w:val="22"/>
        </w:rPr>
        <w:tab/>
        <w:t>Tariff C1 (special community service tariff)</w:t>
      </w:r>
      <w:r>
        <w:tab/>
      </w:r>
      <w:r>
        <w:fldChar w:fldCharType="begin"/>
      </w:r>
      <w:r>
        <w:instrText xml:space="preserve"> PAGEREF _Toc265662070 \h </w:instrText>
      </w:r>
      <w:r>
        <w:fldChar w:fldCharType="separate"/>
      </w:r>
      <w:r>
        <w:t>13</w:t>
      </w:r>
      <w:r>
        <w:fldChar w:fldCharType="end"/>
      </w:r>
    </w:p>
    <w:p>
      <w:pPr>
        <w:pStyle w:val="TOC8"/>
        <w:rPr>
          <w:sz w:val="24"/>
          <w:szCs w:val="24"/>
        </w:rPr>
      </w:pPr>
      <w:r>
        <w:rPr>
          <w:szCs w:val="22"/>
        </w:rPr>
        <w:t>12.</w:t>
      </w:r>
      <w:r>
        <w:rPr>
          <w:szCs w:val="22"/>
        </w:rPr>
        <w:tab/>
        <w:t>Tariff D1 (special tariff for certain premises)</w:t>
      </w:r>
      <w:r>
        <w:tab/>
      </w:r>
      <w:r>
        <w:fldChar w:fldCharType="begin"/>
      </w:r>
      <w:r>
        <w:instrText xml:space="preserve"> PAGEREF _Toc265662071 \h </w:instrText>
      </w:r>
      <w:r>
        <w:fldChar w:fldCharType="separate"/>
      </w:r>
      <w:r>
        <w:t>14</w:t>
      </w:r>
      <w:r>
        <w:fldChar w:fldCharType="end"/>
      </w:r>
    </w:p>
    <w:p>
      <w:pPr>
        <w:pStyle w:val="TOC8"/>
        <w:rPr>
          <w:sz w:val="24"/>
          <w:szCs w:val="24"/>
        </w:rPr>
      </w:pPr>
      <w:r>
        <w:rPr>
          <w:szCs w:val="22"/>
        </w:rPr>
        <w:t>13.</w:t>
      </w:r>
      <w:r>
        <w:rPr>
          <w:szCs w:val="22"/>
        </w:rPr>
        <w:tab/>
        <w:t>Tariff K1 (general supply with residential tariff)</w:t>
      </w:r>
      <w:r>
        <w:tab/>
      </w:r>
      <w:r>
        <w:fldChar w:fldCharType="begin"/>
      </w:r>
      <w:r>
        <w:instrText xml:space="preserve"> PAGEREF _Toc265662072 \h </w:instrText>
      </w:r>
      <w:r>
        <w:fldChar w:fldCharType="separate"/>
      </w:r>
      <w:r>
        <w:t>15</w:t>
      </w:r>
      <w:r>
        <w:fldChar w:fldCharType="end"/>
      </w:r>
    </w:p>
    <w:p>
      <w:pPr>
        <w:pStyle w:val="TOC8"/>
        <w:rPr>
          <w:sz w:val="24"/>
          <w:szCs w:val="24"/>
        </w:rPr>
      </w:pPr>
      <w:r>
        <w:rPr>
          <w:szCs w:val="22"/>
        </w:rPr>
        <w:t>14.</w:t>
      </w:r>
      <w:r>
        <w:rPr>
          <w:szCs w:val="22"/>
        </w:rPr>
        <w:tab/>
        <w:t>Tariff W1 (traffic light installations)</w:t>
      </w:r>
      <w:r>
        <w:tab/>
      </w:r>
      <w:r>
        <w:fldChar w:fldCharType="begin"/>
      </w:r>
      <w:r>
        <w:instrText xml:space="preserve"> PAGEREF _Toc265662073 \h </w:instrText>
      </w:r>
      <w:r>
        <w:fldChar w:fldCharType="separate"/>
      </w:r>
      <w:r>
        <w:t>15</w:t>
      </w:r>
      <w:r>
        <w:fldChar w:fldCharType="end"/>
      </w:r>
    </w:p>
    <w:p>
      <w:pPr>
        <w:pStyle w:val="TOC2"/>
        <w:tabs>
          <w:tab w:val="right" w:leader="dot" w:pos="7086"/>
        </w:tabs>
        <w:rPr>
          <w:b w:val="0"/>
          <w:sz w:val="24"/>
          <w:szCs w:val="24"/>
        </w:rPr>
      </w:pPr>
      <w:r>
        <w:rPr>
          <w:szCs w:val="28"/>
        </w:rPr>
        <w:t>Schedule 2 — 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_Toc265662078 \h </w:instrText>
      </w:r>
      <w:r>
        <w:fldChar w:fldCharType="separate"/>
      </w:r>
      <w:r>
        <w:t>21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26566204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26566204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265662049"/>
      <w:r>
        <w:rPr>
          <w:rStyle w:val="CharSectno"/>
        </w:rPr>
        <w:t>3</w:t>
      </w:r>
      <w:r>
        <w:t>.</w:t>
      </w:r>
      <w:r>
        <w:tab/>
      </w:r>
      <w:bookmarkEnd w:id="19"/>
      <w:bookmarkEnd w:id="20"/>
      <w:bookmarkEnd w:id="21"/>
      <w:bookmarkEnd w:id="22"/>
      <w:bookmarkEnd w:id="23"/>
      <w:bookmarkEnd w:id="24"/>
      <w:bookmarkEnd w:id="25"/>
      <w:r>
        <w:rPr>
          <w:snapToGrid w:val="0"/>
        </w:rPr>
        <w:t>Terms used</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w:t>
      </w:r>
    </w:p>
    <w:p>
      <w:pPr>
        <w:pStyle w:val="Ednotesection"/>
      </w:pPr>
      <w:bookmarkStart w:id="28" w:name="_Toc486232664"/>
      <w:bookmarkStart w:id="29" w:name="_Toc509735409"/>
      <w:bookmarkStart w:id="30" w:name="_Toc511625641"/>
      <w:bookmarkStart w:id="31" w:name="_Toc512237523"/>
      <w:bookmarkStart w:id="32" w:name="_Toc512935995"/>
      <w:bookmarkStart w:id="33" w:name="_Toc44470744"/>
      <w:bookmarkStart w:id="34" w:name="_Toc63831848"/>
      <w:bookmarkStart w:id="35" w:name="_Toc128282856"/>
      <w:r>
        <w:t>[</w:t>
      </w:r>
      <w:r>
        <w:rPr>
          <w:b/>
          <w:bCs/>
        </w:rPr>
        <w:t>3A.</w:t>
      </w:r>
      <w:r>
        <w:tab/>
        <w:t>Deleted in Gazette 26 Mar 2010 p. 1136.]</w:t>
      </w:r>
    </w:p>
    <w:p>
      <w:pPr>
        <w:pStyle w:val="Heading5"/>
        <w:rPr>
          <w:snapToGrid w:val="0"/>
        </w:rPr>
      </w:pPr>
      <w:bookmarkStart w:id="36" w:name="_Toc265662050"/>
      <w:r>
        <w:rPr>
          <w:rStyle w:val="CharSectno"/>
        </w:rPr>
        <w:t>4</w:t>
      </w:r>
      <w:r>
        <w:t>.</w:t>
      </w:r>
      <w:r>
        <w:tab/>
      </w:r>
      <w:r>
        <w:rPr>
          <w:snapToGrid w:val="0"/>
        </w:rPr>
        <w:t>Electricity charges</w:t>
      </w:r>
      <w:bookmarkEnd w:id="28"/>
      <w:bookmarkEnd w:id="29"/>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7" w:name="_Toc128282857"/>
      <w:bookmarkStart w:id="38" w:name="_Toc265662051"/>
      <w:r>
        <w:rPr>
          <w:rStyle w:val="CharSectno"/>
        </w:rPr>
        <w:t>5</w:t>
      </w:r>
      <w:r>
        <w:t>.</w:t>
      </w:r>
      <w:r>
        <w:tab/>
        <w:t>Application of residential tariffs</w:t>
      </w:r>
      <w:bookmarkEnd w:id="37"/>
      <w:bookmarkEnd w:id="38"/>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39" w:name="_Toc128282858"/>
      <w:bookmarkStart w:id="40" w:name="_Toc265662052"/>
      <w:r>
        <w:rPr>
          <w:rStyle w:val="CharSectno"/>
        </w:rPr>
        <w:t>6</w:t>
      </w:r>
      <w:r>
        <w:t>.</w:t>
      </w:r>
      <w:r>
        <w:tab/>
        <w:t>Meter rental</w:t>
      </w:r>
      <w:bookmarkEnd w:id="39"/>
      <w:bookmarkEnd w:id="40"/>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spacing w:before="180"/>
      </w:pPr>
      <w:bookmarkStart w:id="41" w:name="_Toc128282859"/>
      <w:bookmarkStart w:id="42" w:name="_Toc265662053"/>
      <w:r>
        <w:rPr>
          <w:rStyle w:val="CharSectno"/>
        </w:rPr>
        <w:t>7</w:t>
      </w:r>
      <w:r>
        <w:t>.</w:t>
      </w:r>
      <w:r>
        <w:tab/>
        <w:t>Fees</w:t>
      </w:r>
      <w:bookmarkEnd w:id="41"/>
      <w:bookmarkEnd w:id="42"/>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43" w:name="_Toc128282860"/>
      <w:bookmarkStart w:id="44" w:name="_Toc265662054"/>
      <w:r>
        <w:rPr>
          <w:rStyle w:val="CharSectno"/>
        </w:rPr>
        <w:t>8</w:t>
      </w:r>
      <w:r>
        <w:t>.</w:t>
      </w:r>
      <w:r>
        <w:tab/>
        <w:t>Payment</w:t>
      </w:r>
      <w:bookmarkEnd w:id="43"/>
      <w:bookmarkEnd w:id="4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Heading5"/>
      </w:pPr>
      <w:bookmarkStart w:id="45" w:name="_Toc128282861"/>
      <w:bookmarkStart w:id="46" w:name="_Toc265662055"/>
      <w:r>
        <w:rPr>
          <w:rStyle w:val="CharSectno"/>
        </w:rPr>
        <w:t>9</w:t>
      </w:r>
      <w:r>
        <w:t>.</w:t>
      </w:r>
      <w:r>
        <w:tab/>
        <w:t>Rebates and reduced fees</w:t>
      </w:r>
      <w:bookmarkEnd w:id="45"/>
      <w:bookmarkEnd w:id="46"/>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47" w:name="_Toc128282862"/>
      <w:bookmarkStart w:id="48" w:name="_Toc265662056"/>
      <w:r>
        <w:rPr>
          <w:rStyle w:val="CharSectno"/>
        </w:rPr>
        <w:t>10</w:t>
      </w:r>
      <w:r>
        <w:t>.</w:t>
      </w:r>
      <w:r>
        <w:tab/>
        <w:t>Calculation of charges</w:t>
      </w:r>
      <w:bookmarkEnd w:id="47"/>
      <w:bookmarkEnd w:id="4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49" w:name="_Toc128282863"/>
      <w:bookmarkStart w:id="50" w:name="_Toc265662057"/>
      <w:r>
        <w:rPr>
          <w:rStyle w:val="CharSectno"/>
        </w:rPr>
        <w:t>11</w:t>
      </w:r>
      <w:r>
        <w:t>.</w:t>
      </w:r>
      <w:r>
        <w:tab/>
        <w:t>Changes in rates</w:t>
      </w:r>
      <w:bookmarkEnd w:id="49"/>
      <w:bookmarkEnd w:id="50"/>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1" w:name="_Toc265662058"/>
      <w:r>
        <w:rPr>
          <w:rStyle w:val="CharSectno"/>
        </w:rPr>
        <w:t>12</w:t>
      </w:r>
      <w:r>
        <w:t>.</w:t>
      </w:r>
      <w:r>
        <w:tab/>
        <w:t>Prescribed rate of interest for s. 62(16) of the Act</w:t>
      </w:r>
      <w:bookmarkEnd w:id="51"/>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2" w:name="_Toc233185409"/>
      <w:bookmarkStart w:id="53" w:name="_Toc238445937"/>
      <w:bookmarkStart w:id="54" w:name="_Toc238889041"/>
      <w:bookmarkStart w:id="55" w:name="_Toc238890127"/>
      <w:bookmarkStart w:id="56" w:name="_Toc240950056"/>
      <w:bookmarkStart w:id="57" w:name="_Toc257300157"/>
      <w:bookmarkStart w:id="58" w:name="_Toc257300240"/>
      <w:bookmarkStart w:id="59" w:name="_Toc265662059"/>
      <w:bookmarkStart w:id="60" w:name="_Toc123621759"/>
      <w:bookmarkStart w:id="61" w:name="_Toc123621906"/>
      <w:bookmarkStart w:id="62" w:name="_Toc123624866"/>
      <w:bookmarkStart w:id="63" w:name="_Toc123624933"/>
      <w:bookmarkStart w:id="64" w:name="_Toc123626279"/>
      <w:bookmarkStart w:id="65" w:name="_Toc123629883"/>
      <w:bookmarkStart w:id="66" w:name="_Toc124135800"/>
      <w:bookmarkStart w:id="67" w:name="_Toc124137267"/>
      <w:bookmarkStart w:id="68" w:name="_Toc124147435"/>
      <w:bookmarkStart w:id="69" w:name="_Toc124147472"/>
      <w:bookmarkStart w:id="70" w:name="_Toc124158783"/>
      <w:bookmarkStart w:id="71" w:name="_Toc124158890"/>
      <w:bookmarkStart w:id="72" w:name="_Toc124158924"/>
      <w:bookmarkStart w:id="73" w:name="_Toc124216305"/>
      <w:bookmarkStart w:id="74" w:name="_Toc124227064"/>
      <w:bookmarkStart w:id="75" w:name="_Toc124227157"/>
      <w:bookmarkStart w:id="76" w:name="_Toc124234423"/>
      <w:bookmarkStart w:id="77" w:name="_Toc124234775"/>
      <w:bookmarkStart w:id="78" w:name="_Toc124234815"/>
      <w:r>
        <w:rPr>
          <w:rStyle w:val="CharSchNo"/>
        </w:rPr>
        <w:t>Schedule 1</w:t>
      </w:r>
      <w:r>
        <w:rPr>
          <w:rStyle w:val="CharSDivNo"/>
        </w:rPr>
        <w:t> </w:t>
      </w:r>
      <w:r>
        <w:t>—</w:t>
      </w:r>
      <w:r>
        <w:rPr>
          <w:rStyle w:val="CharSDivText"/>
        </w:rPr>
        <w:t> </w:t>
      </w:r>
      <w:r>
        <w:rPr>
          <w:rStyle w:val="CharSchText"/>
        </w:rPr>
        <w:t>Supply charges</w:t>
      </w:r>
      <w:bookmarkEnd w:id="52"/>
      <w:bookmarkEnd w:id="53"/>
      <w:bookmarkEnd w:id="54"/>
      <w:bookmarkEnd w:id="55"/>
      <w:bookmarkEnd w:id="56"/>
      <w:bookmarkEnd w:id="57"/>
      <w:bookmarkEnd w:id="58"/>
      <w:bookmarkEnd w:id="59"/>
    </w:p>
    <w:p>
      <w:pPr>
        <w:pStyle w:val="yShoulderClause"/>
      </w:pPr>
      <w:r>
        <w:t>[bl. 3, 4(1) and 10(1)]</w:t>
      </w:r>
    </w:p>
    <w:p>
      <w:pPr>
        <w:pStyle w:val="yFootnoteheading"/>
      </w:pPr>
      <w:r>
        <w:tab/>
        <w:t>[Heading inserted in Gazette 30 Mar 2009 p. 983.]</w:t>
      </w:r>
    </w:p>
    <w:p>
      <w:pPr>
        <w:pStyle w:val="yHeading5"/>
      </w:pPr>
      <w:bookmarkStart w:id="79" w:name="_Toc265662060"/>
      <w:r>
        <w:rPr>
          <w:rStyle w:val="CharSClsNo"/>
        </w:rPr>
        <w:t>1</w:t>
      </w:r>
      <w:r>
        <w:t>.</w:t>
      </w:r>
      <w:r>
        <w:tab/>
        <w:t>Tariff L1 (general supply — low/medium voltage tariff)</w:t>
      </w:r>
      <w:bookmarkEnd w:id="79"/>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36.278 cents per day; and</w:t>
      </w:r>
    </w:p>
    <w:p>
      <w:pPr>
        <w:pStyle w:val="yIndenta"/>
      </w:pPr>
      <w:r>
        <w:tab/>
        <w:t>(b)</w:t>
      </w:r>
      <w:r>
        <w:tab/>
        <w:t xml:space="preserve">a charge for metered consumption at the rate of — </w:t>
      </w:r>
    </w:p>
    <w:p>
      <w:pPr>
        <w:pStyle w:val="yIndenti0"/>
      </w:pPr>
      <w:r>
        <w:tab/>
        <w:t>(i)</w:t>
      </w:r>
      <w:r>
        <w:tab/>
        <w:t>23.8428 cents per unit for the first 1 650 units per day; and</w:t>
      </w:r>
    </w:p>
    <w:p>
      <w:pPr>
        <w:pStyle w:val="yIndenti0"/>
      </w:pPr>
      <w:r>
        <w:tab/>
        <w:t>(ii)</w:t>
      </w:r>
      <w:r>
        <w:tab/>
        <w:t>21.5145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30 Mar 2009 p. 983; amended in Gazette 26 Mar 2010 p. 1136 and 1139.]</w:t>
      </w:r>
    </w:p>
    <w:p>
      <w:pPr>
        <w:pStyle w:val="yHeading5"/>
      </w:pPr>
      <w:bookmarkStart w:id="80" w:name="_Toc265662061"/>
      <w:r>
        <w:rPr>
          <w:rStyle w:val="CharSClsNo"/>
        </w:rPr>
        <w:t>2</w:t>
      </w:r>
      <w:r>
        <w:t>.</w:t>
      </w:r>
      <w:r>
        <w:tab/>
        <w:t>Tariff L3 (general supply — low/medium voltage tariff)</w:t>
      </w:r>
      <w:bookmarkEnd w:id="80"/>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38.008 cents per day; and</w:t>
      </w:r>
    </w:p>
    <w:p>
      <w:pPr>
        <w:pStyle w:val="yIndenta"/>
      </w:pPr>
      <w:r>
        <w:tab/>
        <w:t>(b)</w:t>
      </w:r>
      <w:r>
        <w:tab/>
        <w:t xml:space="preserve">a charge for metered consumption at the rate of — </w:t>
      </w:r>
    </w:p>
    <w:p>
      <w:pPr>
        <w:pStyle w:val="yIndenti0"/>
      </w:pPr>
      <w:r>
        <w:tab/>
        <w:t>(i)</w:t>
      </w:r>
      <w:r>
        <w:tab/>
        <w:t>24.9744 cents per unit for the first 1 650 units per day; and</w:t>
      </w:r>
    </w:p>
    <w:p>
      <w:pPr>
        <w:pStyle w:val="yIndenti0"/>
      </w:pPr>
      <w:r>
        <w:tab/>
        <w:t>(ii)</w:t>
      </w:r>
      <w:r>
        <w:tab/>
        <w:t>22.5421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megawatt hours or more per annum.</w:t>
      </w:r>
    </w:p>
    <w:p>
      <w:pPr>
        <w:pStyle w:val="yFootnotesection"/>
      </w:pPr>
      <w:r>
        <w:tab/>
        <w:t>[Clause 2 inserted in Gazette 30 Mar 2009 p. 983</w:t>
      </w:r>
      <w:r>
        <w:noBreakHyphen/>
        <w:t>4; amended in Gazette 26 Mar 2010 p. 1136 and 1139.]</w:t>
      </w:r>
    </w:p>
    <w:p>
      <w:pPr>
        <w:pStyle w:val="yHeading5"/>
      </w:pPr>
      <w:bookmarkStart w:id="81" w:name="_Toc265662062"/>
      <w:r>
        <w:rPr>
          <w:rStyle w:val="CharSClsNo"/>
        </w:rPr>
        <w:t>3</w:t>
      </w:r>
      <w:r>
        <w:t>.</w:t>
      </w:r>
      <w:r>
        <w:rPr>
          <w:b w:val="0"/>
        </w:rPr>
        <w:tab/>
      </w:r>
      <w:r>
        <w:t>Tariff M1 (general supply — high voltage tariff)</w:t>
      </w:r>
      <w:bookmarkEnd w:id="81"/>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38.008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r>
      <w:r>
        <w:t xml:space="preserve">24.1289 </w:t>
      </w:r>
      <w:r>
        <w:rPr>
          <w:snapToGrid w:val="0"/>
        </w:rPr>
        <w:t>cents per unit for the first 1 650 units per day; and</w:t>
      </w:r>
    </w:p>
    <w:p>
      <w:pPr>
        <w:pStyle w:val="yIndenti0"/>
        <w:rPr>
          <w:snapToGrid w:val="0"/>
        </w:rPr>
      </w:pPr>
      <w:r>
        <w:rPr>
          <w:snapToGrid w:val="0"/>
        </w:rPr>
        <w:tab/>
        <w:t>(ii)</w:t>
      </w:r>
      <w:r>
        <w:rPr>
          <w:snapToGrid w:val="0"/>
        </w:rPr>
        <w:tab/>
      </w:r>
      <w:r>
        <w:t xml:space="preserve">21.6706 </w:t>
      </w:r>
      <w:r>
        <w:rPr>
          <w:snapToGrid w:val="0"/>
        </w:rPr>
        <w:t>cents per unit per day for all units exceeding 1 650 units.</w:t>
      </w:r>
    </w:p>
    <w:p>
      <w:pPr>
        <w:pStyle w:val="yFootnotesection"/>
      </w:pPr>
      <w:r>
        <w:tab/>
        <w:t>[Clause 3 inserted in Gazette 30 Mar 2009 p. 984; amended in Gazette 26 Mar 2010 p. 1136 and 1139.]</w:t>
      </w:r>
    </w:p>
    <w:p>
      <w:pPr>
        <w:pStyle w:val="yHeading5"/>
      </w:pPr>
      <w:bookmarkStart w:id="82" w:name="_Toc265662063"/>
      <w:r>
        <w:rPr>
          <w:rStyle w:val="CharSClsNo"/>
        </w:rPr>
        <w:t>4</w:t>
      </w:r>
      <w:r>
        <w:t>.</w:t>
      </w:r>
      <w:r>
        <w:tab/>
        <w:t>Tariff R1 (time of use tariff)</w:t>
      </w:r>
      <w:bookmarkEnd w:id="82"/>
    </w:p>
    <w:p>
      <w:pPr>
        <w:pStyle w:val="ySubsection"/>
      </w:pPr>
      <w:r>
        <w:tab/>
        <w:t>(1)</w:t>
      </w:r>
      <w:r>
        <w:tab/>
        <w:t>Tariff R1 comprises —</w:t>
      </w:r>
    </w:p>
    <w:p>
      <w:pPr>
        <w:pStyle w:val="yIndenta"/>
        <w:rPr>
          <w:snapToGrid w:val="0"/>
        </w:rPr>
      </w:pPr>
      <w:r>
        <w:tab/>
        <w:t>(a)</w:t>
      </w:r>
      <w:r>
        <w:tab/>
        <w:t>a fi</w:t>
      </w:r>
      <w:r>
        <w:rPr>
          <w:snapToGrid w:val="0"/>
        </w:rPr>
        <w:t xml:space="preserve">xed charge at the rate of </w:t>
      </w:r>
      <w:r>
        <w:t>$1.4873</w:t>
      </w:r>
      <w:r>
        <w:rPr>
          <w:snapToGrid w:val="0"/>
        </w:rPr>
        <w:t xml:space="preserve">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 xml:space="preserve">an on peak energy charge at the rate of </w:t>
      </w:r>
      <w:r>
        <w:t>26.1061</w:t>
      </w:r>
      <w:r>
        <w:rPr>
          <w:snapToGrid w:val="0"/>
        </w:rPr>
        <w:t xml:space="preserve"> cents per unit; and</w:t>
      </w:r>
    </w:p>
    <w:p>
      <w:pPr>
        <w:pStyle w:val="yIndenti0"/>
        <w:rPr>
          <w:snapToGrid w:val="0"/>
        </w:rPr>
      </w:pPr>
      <w:r>
        <w:tab/>
        <w:t>(ii)</w:t>
      </w:r>
      <w:r>
        <w:tab/>
        <w:t>an off</w:t>
      </w:r>
      <w:r>
        <w:rPr>
          <w:snapToGrid w:val="0"/>
        </w:rPr>
        <w:t xml:space="preserve"> peak energy charge at the rate of </w:t>
      </w:r>
      <w:r>
        <w:t>8.0517</w:t>
      </w:r>
      <w:r>
        <w:rPr>
          <w:snapToGrid w:val="0"/>
        </w:rP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pPr>
      <w:r>
        <w:tab/>
        <w:t>[Clause 4 inserted in Gazette 30 Mar 2009 p. 984</w:t>
      </w:r>
      <w:r>
        <w:noBreakHyphen/>
        <w:t>5; amended in Gazette 26 Mar 2010 p. 1136 and 1139.]</w:t>
      </w:r>
    </w:p>
    <w:p>
      <w:pPr>
        <w:pStyle w:val="yHeading5"/>
      </w:pPr>
      <w:bookmarkStart w:id="83" w:name="_Toc265662064"/>
      <w:r>
        <w:rPr>
          <w:rStyle w:val="CharSClsNo"/>
        </w:rPr>
        <w:t>5</w:t>
      </w:r>
      <w:r>
        <w:t>.</w:t>
      </w:r>
      <w:r>
        <w:tab/>
        <w:t>Tariff R3 (time of use tariff)</w:t>
      </w:r>
      <w:bookmarkEnd w:id="83"/>
    </w:p>
    <w:p>
      <w:pPr>
        <w:pStyle w:val="ySubsection"/>
      </w:pPr>
      <w:r>
        <w:tab/>
        <w:t>(1)</w:t>
      </w:r>
      <w:r>
        <w:tab/>
        <w:t>Tariff R3 comprises —</w:t>
      </w:r>
    </w:p>
    <w:p>
      <w:pPr>
        <w:pStyle w:val="yIndenta"/>
        <w:rPr>
          <w:snapToGrid w:val="0"/>
        </w:rPr>
      </w:pPr>
      <w:r>
        <w:tab/>
        <w:t>(a)</w:t>
      </w:r>
      <w:r>
        <w:tab/>
        <w:t>a fi</w:t>
      </w:r>
      <w:r>
        <w:rPr>
          <w:snapToGrid w:val="0"/>
        </w:rPr>
        <w:t xml:space="preserve">xed charge at the rate of </w:t>
      </w:r>
      <w:r>
        <w:t>$1.7883</w:t>
      </w:r>
      <w:r>
        <w:rPr>
          <w:snapToGrid w:val="0"/>
        </w:rPr>
        <w:t xml:space="preserve"> per day; and</w:t>
      </w:r>
    </w:p>
    <w:p>
      <w:pPr>
        <w:pStyle w:val="yIndenta"/>
        <w:keepNext/>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w:t>
      </w:r>
      <w:r>
        <w:t xml:space="preserve"> 31.3091</w:t>
      </w:r>
      <w:r>
        <w:rPr>
          <w:snapToGrid w:val="0"/>
        </w:rPr>
        <w:t> cents per unit; and</w:t>
      </w:r>
    </w:p>
    <w:p>
      <w:pPr>
        <w:pStyle w:val="yIndenti0"/>
        <w:rPr>
          <w:snapToGrid w:val="0"/>
        </w:rPr>
      </w:pPr>
      <w:r>
        <w:tab/>
        <w:t>(ii)</w:t>
      </w:r>
      <w:r>
        <w:tab/>
        <w:t>an off</w:t>
      </w:r>
      <w:r>
        <w:rPr>
          <w:snapToGrid w:val="0"/>
        </w:rPr>
        <w:t xml:space="preserve"> peak energy charge at the rate of </w:t>
      </w:r>
      <w:r>
        <w:t>9.6386</w:t>
      </w:r>
      <w:r>
        <w:rPr>
          <w:snapToGrid w:val="0"/>
        </w:rPr>
        <w:t>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megawatt hours or more per annum.</w:t>
      </w:r>
    </w:p>
    <w:p>
      <w:pPr>
        <w:pStyle w:val="yFootnotesection"/>
      </w:pPr>
      <w:r>
        <w:tab/>
        <w:t>[Clause 5 inserted in Gazette 30 Mar 2009 p. 985; amended in Gazette 26 Mar 2010 p. 1136 and 1139.]</w:t>
      </w:r>
    </w:p>
    <w:p>
      <w:pPr>
        <w:pStyle w:val="yHeading5"/>
        <w:rPr>
          <w:snapToGrid w:val="0"/>
        </w:rPr>
      </w:pPr>
      <w:bookmarkStart w:id="84" w:name="_Toc265662065"/>
      <w:r>
        <w:rPr>
          <w:rStyle w:val="CharSClsNo"/>
        </w:rPr>
        <w:t>6</w:t>
      </w:r>
      <w:r>
        <w:t>.</w:t>
      </w:r>
      <w:r>
        <w:rPr>
          <w:b w:val="0"/>
        </w:rPr>
        <w:tab/>
      </w:r>
      <w:r>
        <w:rPr>
          <w:snapToGrid w:val="0"/>
        </w:rPr>
        <w:t>Tariff S1 (low/medium voltage time based demand and energy tariff)</w:t>
      </w:r>
      <w:bookmarkEnd w:id="84"/>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$356.0955 per day; and</w:t>
      </w:r>
    </w:p>
    <w:p>
      <w:pPr>
        <w:pStyle w:val="yIndenta"/>
      </w:pPr>
      <w:r>
        <w:tab/>
        <w:t>(b)</w:t>
      </w:r>
      <w:r>
        <w:tab/>
        <w:t xml:space="preserve">a demand charge at the rate of 90.45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12.9415 cents per unit; and</w:t>
      </w:r>
    </w:p>
    <w:p>
      <w:pPr>
        <w:pStyle w:val="yIndenti0"/>
      </w:pPr>
      <w:r>
        <w:tab/>
        <w:t>(ii)</w:t>
      </w:r>
      <w:r>
        <w:tab/>
        <w:t>an off peak energy charge at the rate of 8.1876 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w:t>
      </w:r>
    </w:p>
    <w:p>
      <w:pPr>
        <w:pStyle w:val="yHeading5"/>
        <w:rPr>
          <w:snapToGrid w:val="0"/>
        </w:rPr>
      </w:pPr>
      <w:bookmarkStart w:id="85" w:name="_Toc265662066"/>
      <w:r>
        <w:rPr>
          <w:rStyle w:val="CharSClsNo"/>
        </w:rPr>
        <w:t>7</w:t>
      </w:r>
      <w:r>
        <w:t>.</w:t>
      </w:r>
      <w:r>
        <w:rPr>
          <w:b w:val="0"/>
        </w:rPr>
        <w:tab/>
      </w:r>
      <w:r>
        <w:t xml:space="preserve">Tariff T1 </w:t>
      </w:r>
      <w:r>
        <w:rPr>
          <w:snapToGrid w:val="0"/>
        </w:rPr>
        <w:t>(high voltage time based demand and energy tariff)</w:t>
      </w:r>
      <w:bookmarkEnd w:id="85"/>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$499.3865 per day; and</w:t>
      </w:r>
    </w:p>
    <w:p>
      <w:pPr>
        <w:pStyle w:val="yIndenta"/>
      </w:pPr>
      <w:r>
        <w:tab/>
        <w:t>(b)</w:t>
      </w:r>
      <w:r>
        <w:tab/>
        <w:t xml:space="preserve">a demand charge at the rate of 87.9815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12.8633 cents per unit; and</w:t>
      </w:r>
    </w:p>
    <w:p>
      <w:pPr>
        <w:pStyle w:val="yIndenti0"/>
      </w:pPr>
      <w:r>
        <w:tab/>
        <w:t>(ii)</w:t>
      </w:r>
      <w:r>
        <w:tab/>
        <w:t>an off peak energy charge at the rate of 8.5548 cents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 and 1139.]</w:t>
      </w:r>
    </w:p>
    <w:p>
      <w:pPr>
        <w:pStyle w:val="yHeading5"/>
      </w:pPr>
      <w:bookmarkStart w:id="86" w:name="_Toc265662067"/>
      <w:r>
        <w:rPr>
          <w:rStyle w:val="CharSClsNo"/>
        </w:rPr>
        <w:t>8</w:t>
      </w:r>
      <w:r>
        <w:t>.</w:t>
      </w:r>
      <w:r>
        <w:rPr>
          <w:b w:val="0"/>
        </w:rPr>
        <w:tab/>
      </w:r>
      <w:r>
        <w:t>Standby charges</w:t>
      </w:r>
      <w:bookmarkEnd w:id="86"/>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rPr>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87" w:name="_Toc265662068"/>
      <w:r>
        <w:rPr>
          <w:rStyle w:val="CharSClsNo"/>
        </w:rPr>
        <w:t>9</w:t>
      </w:r>
      <w:r>
        <w:t>.</w:t>
      </w:r>
      <w:r>
        <w:rPr>
          <w:b w:val="0"/>
        </w:rPr>
        <w:tab/>
      </w:r>
      <w:r>
        <w:t>Tariff A1 (residential tariff)</w:t>
      </w:r>
      <w:bookmarkEnd w:id="87"/>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w:t>
      </w:r>
      <w:r>
        <w:t>38.2291</w:t>
      </w:r>
      <w:r>
        <w:rPr>
          <w:snapToGrid w:val="0"/>
        </w:rPr>
        <w:t xml:space="preserve"> cents per day or, for multiple dwellings supplied through one metered supply point, a fixed charge at the rate of — </w:t>
      </w:r>
    </w:p>
    <w:p>
      <w:pPr>
        <w:pStyle w:val="yIndenti0"/>
        <w:rPr>
          <w:snapToGrid w:val="0"/>
        </w:rPr>
      </w:pPr>
      <w:r>
        <w:rPr>
          <w:snapToGrid w:val="0"/>
        </w:rPr>
        <w:tab/>
        <w:t>(i)</w:t>
      </w:r>
      <w:r>
        <w:rPr>
          <w:snapToGrid w:val="0"/>
        </w:rPr>
        <w:tab/>
      </w:r>
      <w:r>
        <w:t xml:space="preserve">38.2291 </w:t>
      </w:r>
      <w:r>
        <w:rPr>
          <w:snapToGrid w:val="0"/>
        </w:rPr>
        <w:t>cents per day for the first dwelling; and</w:t>
      </w:r>
    </w:p>
    <w:p>
      <w:pPr>
        <w:pStyle w:val="yIndenti0"/>
        <w:rPr>
          <w:snapToGrid w:val="0"/>
        </w:rPr>
      </w:pPr>
      <w:r>
        <w:rPr>
          <w:snapToGrid w:val="0"/>
        </w:rPr>
        <w:tab/>
        <w:t>(ii)</w:t>
      </w:r>
      <w:r>
        <w:rPr>
          <w:snapToGrid w:val="0"/>
        </w:rPr>
        <w:tab/>
      </w:r>
      <w:r>
        <w:t xml:space="preserve">29.6832 </w:t>
      </w:r>
      <w:r>
        <w:rPr>
          <w:snapToGrid w:val="0"/>
        </w:rPr>
        <w:t>cents per day for each additional dwelling;</w:t>
      </w:r>
    </w:p>
    <w:p>
      <w:pPr>
        <w:pStyle w:val="yIndenta"/>
      </w:pPr>
      <w:r>
        <w:tab/>
      </w:r>
      <w:r>
        <w:tab/>
        <w:t>and</w:t>
      </w:r>
    </w:p>
    <w:p>
      <w:pPr>
        <w:pStyle w:val="yIndenta"/>
      </w:pPr>
      <w:r>
        <w:tab/>
        <w:t>(b)</w:t>
      </w:r>
      <w:r>
        <w:tab/>
        <w:t>a charge for metered consumption at the rate of 20.8251 cents per unit.</w:t>
      </w:r>
    </w:p>
    <w:p>
      <w:pPr>
        <w:pStyle w:val="yFootnotesection"/>
      </w:pPr>
      <w:r>
        <w:tab/>
        <w:t>[Clause 9 inserted in Gazette 30 Mar 2009 p. 989; amended in Gazette 26 Mar 2010 p. 1136</w:t>
      </w:r>
      <w:r>
        <w:noBreakHyphen/>
        <w:t>7 and 1139-40.]</w:t>
      </w:r>
    </w:p>
    <w:p>
      <w:pPr>
        <w:pStyle w:val="yHeading5"/>
      </w:pPr>
      <w:bookmarkStart w:id="88" w:name="_Toc265662069"/>
      <w:r>
        <w:rPr>
          <w:rStyle w:val="CharSClsNo"/>
        </w:rPr>
        <w:t>10</w:t>
      </w:r>
      <w:r>
        <w:t>.</w:t>
      </w:r>
      <w:r>
        <w:rPr>
          <w:b w:val="0"/>
        </w:rPr>
        <w:tab/>
      </w:r>
      <w:r>
        <w:t>Tariff B1 (residential water heating tariff)</w:t>
      </w:r>
      <w:bookmarkEnd w:id="88"/>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w:t>
      </w:r>
      <w:r>
        <w:t>19.8054</w:t>
      </w:r>
      <w:r>
        <w:rPr>
          <w:snapToGrid w:val="0"/>
        </w:rPr>
        <w:t xml:space="preserve"> cents per day or, for multiple dwellings supplied through one metered supply point, a fixed charge at the rate of </w:t>
      </w:r>
      <w:r>
        <w:t>19.8054</w:t>
      </w:r>
      <w:r>
        <w:rPr>
          <w:snapToGrid w:val="0"/>
        </w:rPr>
        <w:t xml:space="preserve">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w:t>
      </w:r>
      <w:r>
        <w:t>10.9414</w:t>
      </w:r>
      <w:r>
        <w:rPr>
          <w:snapToGrid w:val="0"/>
        </w:rPr>
        <w:t xml:space="preserve"> cents per unit.</w:t>
      </w:r>
    </w:p>
    <w:p>
      <w:pPr>
        <w:pStyle w:val="yFootnotesection"/>
      </w:pPr>
      <w:r>
        <w:tab/>
        <w:t>[Clause 10 inserted in Gazette 30 Mar 2009 p. 990; amended in Gazette 26 Mar 2010 p. 1140.]</w:t>
      </w:r>
    </w:p>
    <w:p>
      <w:pPr>
        <w:pStyle w:val="yHeading5"/>
      </w:pPr>
      <w:bookmarkStart w:id="89" w:name="_Toc265662070"/>
      <w:r>
        <w:rPr>
          <w:rStyle w:val="CharSClsNo"/>
        </w:rPr>
        <w:t>11</w:t>
      </w:r>
      <w:r>
        <w:t>.</w:t>
      </w:r>
      <w:r>
        <w:rPr>
          <w:b w:val="0"/>
        </w:rPr>
        <w:tab/>
      </w:r>
      <w:r>
        <w:t>Tariff C1 (special community service tariff)</w:t>
      </w:r>
      <w:bookmarkEnd w:id="89"/>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 xml:space="preserve">fixed charge at the rate of </w:t>
      </w:r>
      <w:r>
        <w:t>34.9121</w:t>
      </w:r>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r>
        <w:t xml:space="preserve">19.03 </w:t>
      </w:r>
      <w:r>
        <w:rPr>
          <w:snapToGrid w:val="0"/>
        </w:rPr>
        <w:t>cents per unit for the first 20 units per day; and</w:t>
      </w:r>
    </w:p>
    <w:p>
      <w:pPr>
        <w:pStyle w:val="yIndenti0"/>
        <w:rPr>
          <w:snapToGrid w:val="0"/>
        </w:rPr>
      </w:pPr>
      <w:r>
        <w:rPr>
          <w:snapToGrid w:val="0"/>
        </w:rPr>
        <w:tab/>
        <w:t>(ii)</w:t>
      </w:r>
      <w:r>
        <w:rPr>
          <w:snapToGrid w:val="0"/>
        </w:rPr>
        <w:tab/>
      </w:r>
      <w:r>
        <w:t xml:space="preserve">23.8428 </w:t>
      </w:r>
      <w:r>
        <w:rPr>
          <w:snapToGrid w:val="0"/>
        </w:rPr>
        <w:t>cents for the next 1 630 units per day; and</w:t>
      </w:r>
    </w:p>
    <w:p>
      <w:pPr>
        <w:pStyle w:val="yIndenti0"/>
        <w:rPr>
          <w:snapToGrid w:val="0"/>
        </w:rPr>
      </w:pPr>
      <w:r>
        <w:rPr>
          <w:snapToGrid w:val="0"/>
        </w:rPr>
        <w:tab/>
        <w:t>(iii)</w:t>
      </w:r>
      <w:r>
        <w:rPr>
          <w:snapToGrid w:val="0"/>
        </w:rPr>
        <w:tab/>
      </w:r>
      <w:r>
        <w:t xml:space="preserve">21.5145 </w:t>
      </w:r>
      <w:r>
        <w:rPr>
          <w:snapToGrid w:val="0"/>
        </w:rPr>
        <w:t>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w:t>
      </w:r>
    </w:p>
    <w:p>
      <w:pPr>
        <w:pStyle w:val="yHeading5"/>
      </w:pPr>
      <w:bookmarkStart w:id="90" w:name="_Toc265662071"/>
      <w:r>
        <w:rPr>
          <w:rStyle w:val="CharSClsNo"/>
        </w:rPr>
        <w:t>12</w:t>
      </w:r>
      <w:r>
        <w:t>.</w:t>
      </w:r>
      <w:r>
        <w:rPr>
          <w:b w:val="0"/>
        </w:rPr>
        <w:tab/>
      </w:r>
      <w:r>
        <w:t>Tariff D1 (special tariff for certain premises)</w:t>
      </w:r>
      <w:bookmarkEnd w:id="90"/>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w:t>
      </w:r>
      <w:r>
        <w:t>34.9121</w:t>
      </w:r>
      <w:r>
        <w:rPr>
          <w:snapToGrid w:val="0"/>
        </w:rPr>
        <w:t xml:space="preserve">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w:t>
      </w:r>
      <w:r>
        <w:t>27.1076</w:t>
      </w:r>
      <w:r>
        <w:rPr>
          <w:snapToGrid w:val="0"/>
        </w:rPr>
        <w:t xml:space="preserve">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w:t>
      </w:r>
      <w:r>
        <w:t>19.03</w:t>
      </w:r>
      <w:r>
        <w:rPr>
          <w:snapToGrid w:val="0"/>
        </w:rPr>
        <w:t xml:space="preserve">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w:t>
      </w:r>
    </w:p>
    <w:p>
      <w:pPr>
        <w:pStyle w:val="yHeading5"/>
      </w:pPr>
      <w:bookmarkStart w:id="91" w:name="_Toc265662072"/>
      <w:r>
        <w:rPr>
          <w:rStyle w:val="CharSClsNo"/>
        </w:rPr>
        <w:t>13</w:t>
      </w:r>
      <w:r>
        <w:t>.</w:t>
      </w:r>
      <w:r>
        <w:rPr>
          <w:b w:val="0"/>
        </w:rPr>
        <w:tab/>
      </w:r>
      <w:r>
        <w:t>Tariff K1 (general supply with residential tariff)</w:t>
      </w:r>
      <w:bookmarkEnd w:id="91"/>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w:t>
      </w:r>
      <w:r>
        <w:t>38.2291</w:t>
      </w:r>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r>
        <w:t xml:space="preserve">20.8251 </w:t>
      </w:r>
      <w:r>
        <w:rPr>
          <w:snapToGrid w:val="0"/>
        </w:rPr>
        <w:t>cents per unit for the first 20 units per day; and</w:t>
      </w:r>
    </w:p>
    <w:p>
      <w:pPr>
        <w:pStyle w:val="yIndenti0"/>
        <w:rPr>
          <w:snapToGrid w:val="0"/>
        </w:rPr>
      </w:pPr>
      <w:r>
        <w:rPr>
          <w:snapToGrid w:val="0"/>
        </w:rPr>
        <w:tab/>
        <w:t>(ii)</w:t>
      </w:r>
      <w:r>
        <w:rPr>
          <w:snapToGrid w:val="0"/>
        </w:rPr>
        <w:tab/>
      </w:r>
      <w:r>
        <w:t xml:space="preserve">26.1061 </w:t>
      </w:r>
      <w:r>
        <w:rPr>
          <w:snapToGrid w:val="0"/>
        </w:rPr>
        <w:t>cents per unit for the next 1 630 units per day; and</w:t>
      </w:r>
    </w:p>
    <w:p>
      <w:pPr>
        <w:pStyle w:val="yIndenti0"/>
        <w:rPr>
          <w:snapToGrid w:val="0"/>
        </w:rPr>
      </w:pPr>
      <w:r>
        <w:rPr>
          <w:snapToGrid w:val="0"/>
        </w:rPr>
        <w:tab/>
        <w:t>(iii)</w:t>
      </w:r>
      <w:r>
        <w:rPr>
          <w:snapToGrid w:val="0"/>
        </w:rPr>
        <w:tab/>
      </w:r>
      <w:r>
        <w:t xml:space="preserve">23.5696 </w:t>
      </w:r>
      <w:r>
        <w:rPr>
          <w:snapToGrid w:val="0"/>
        </w:rPr>
        <w:t>cents per unit per day for all units exceeding 1 650 units.</w:t>
      </w:r>
    </w:p>
    <w:p>
      <w:pPr>
        <w:pStyle w:val="yFootnotesection"/>
      </w:pPr>
      <w:r>
        <w:tab/>
        <w:t>[Clause 13 inserted in Gazette 30 Mar 2009 p. 992; amended in Gazette 26 Mar 2010 p. 1136</w:t>
      </w:r>
      <w:r>
        <w:noBreakHyphen/>
        <w:t>7 and 1140.]</w:t>
      </w:r>
    </w:p>
    <w:p>
      <w:pPr>
        <w:pStyle w:val="yHeading5"/>
      </w:pPr>
      <w:bookmarkStart w:id="92" w:name="_Toc265662073"/>
      <w:r>
        <w:rPr>
          <w:rStyle w:val="CharSClsNo"/>
        </w:rPr>
        <w:t>14</w:t>
      </w:r>
      <w:r>
        <w:t>.</w:t>
      </w:r>
      <w:r>
        <w:rPr>
          <w:b w:val="0"/>
        </w:rPr>
        <w:tab/>
      </w:r>
      <w:r>
        <w:t>Tariff W1 (traffic light installations)</w:t>
      </w:r>
      <w:bookmarkEnd w:id="92"/>
    </w:p>
    <w:p>
      <w:pPr>
        <w:pStyle w:val="ySubsection"/>
      </w:pPr>
      <w:r>
        <w:tab/>
      </w:r>
      <w:r>
        <w:tab/>
        <w:t>Tariff W1 comprises a charge of $4.0192 per day per kW of installed wattage.</w:t>
      </w:r>
    </w:p>
    <w:p>
      <w:pPr>
        <w:pStyle w:val="yFootnotesection"/>
      </w:pPr>
      <w:r>
        <w:tab/>
        <w:t>[Clause 14 inserted in Gazette 30 Mar 2009 p. 992; amended in Gazette 26 Mar 2010 p. 1136</w:t>
      </w:r>
      <w:r>
        <w:noBreakHyphen/>
        <w:t>7.]</w:t>
      </w:r>
    </w:p>
    <w:p>
      <w:pPr>
        <w:rPr>
          <w:u w:val="words"/>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93" w:name="_Toc265662074"/>
      <w:bookmarkStart w:id="94" w:name="_Toc124158784"/>
      <w:bookmarkStart w:id="95" w:name="_Toc124158891"/>
      <w:bookmarkStart w:id="96" w:name="_Toc124158925"/>
      <w:bookmarkStart w:id="97" w:name="_Toc124216306"/>
      <w:bookmarkStart w:id="98" w:name="_Toc124227065"/>
      <w:bookmarkStart w:id="99" w:name="_Toc124227158"/>
      <w:bookmarkStart w:id="100" w:name="_Toc124234424"/>
      <w:bookmarkStart w:id="101" w:name="_Toc124234776"/>
      <w:bookmarkStart w:id="102" w:name="_Toc124234816"/>
      <w:bookmarkStart w:id="103" w:name="_Toc124934232"/>
      <w:bookmarkStart w:id="104" w:name="_Toc125279682"/>
      <w:bookmarkStart w:id="105" w:name="_Toc127067109"/>
      <w:bookmarkStart w:id="106" w:name="_Toc127076312"/>
      <w:bookmarkStart w:id="107" w:name="_Toc127085645"/>
      <w:bookmarkStart w:id="108" w:name="_Toc127086737"/>
      <w:bookmarkStart w:id="109" w:name="_Toc127671680"/>
      <w:bookmarkStart w:id="110" w:name="_Toc127690057"/>
      <w:bookmarkStart w:id="111" w:name="_Toc127699338"/>
      <w:bookmarkStart w:id="112" w:name="_Toc127760430"/>
      <w:bookmarkStart w:id="113" w:name="_Toc127760458"/>
      <w:bookmarkStart w:id="114" w:name="_Toc127946780"/>
      <w:bookmarkStart w:id="115" w:name="_Toc127960813"/>
      <w:bookmarkStart w:id="116" w:name="_Toc127960841"/>
      <w:bookmarkStart w:id="117" w:name="_Toc128190515"/>
      <w:bookmarkStart w:id="118" w:name="_Toc128196187"/>
      <w:bookmarkStart w:id="119" w:name="_Toc128197606"/>
      <w:bookmarkStart w:id="120" w:name="_Toc128282879"/>
      <w:bookmarkStart w:id="121" w:name="_Toc131490127"/>
      <w:bookmarkStart w:id="122" w:name="_Toc131491087"/>
      <w:bookmarkStart w:id="123" w:name="_Toc152664696"/>
      <w:bookmarkStart w:id="124" w:name="_Toc152669127"/>
      <w:bookmarkStart w:id="125" w:name="_Toc171051502"/>
      <w:bookmarkStart w:id="126" w:name="_Toc226275324"/>
      <w:bookmarkStart w:id="127" w:name="_Toc226275364"/>
      <w:bookmarkStart w:id="128" w:name="_Toc233185425"/>
      <w:bookmarkStart w:id="129" w:name="_Toc238445953"/>
      <w:bookmarkStart w:id="130" w:name="_Toc238889057"/>
      <w:bookmarkStart w:id="131" w:name="_Toc238890143"/>
      <w:bookmarkStart w:id="132" w:name="_Toc240950072"/>
      <w:bookmarkStart w:id="133" w:name="_Toc257300173"/>
      <w:bookmarkStart w:id="134" w:name="_Toc257300256"/>
      <w:bookmarkStart w:id="135" w:name="_Toc123621760"/>
      <w:bookmarkStart w:id="136" w:name="_Toc123621907"/>
      <w:bookmarkStart w:id="137" w:name="_Toc123624867"/>
      <w:bookmarkStart w:id="138" w:name="_Toc123624934"/>
      <w:bookmarkStart w:id="139" w:name="_Toc123626280"/>
      <w:bookmarkStart w:id="140" w:name="_Toc123629884"/>
      <w:bookmarkStart w:id="141" w:name="_Toc124135801"/>
      <w:bookmarkStart w:id="142" w:name="_Toc124137268"/>
      <w:bookmarkStart w:id="143" w:name="_Toc124147436"/>
      <w:bookmarkStart w:id="144" w:name="_Toc12414747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SchNo"/>
        </w:rPr>
        <w:t>Schedule 2</w:t>
      </w:r>
      <w:r>
        <w:t> — </w:t>
      </w:r>
      <w:r>
        <w:rPr>
          <w:rStyle w:val="CharSchText"/>
        </w:rPr>
        <w:t>Street lighting</w:t>
      </w:r>
      <w:bookmarkEnd w:id="93"/>
    </w:p>
    <w:p>
      <w:pPr>
        <w:pStyle w:val="yShoulderClause"/>
      </w:pPr>
      <w:r>
        <w:t>[bl. 4(2)]</w:t>
      </w:r>
    </w:p>
    <w:p>
      <w:pPr>
        <w:pStyle w:val="yFootnoteheading"/>
        <w:spacing w:after="120"/>
      </w:pPr>
      <w:r>
        <w:tab/>
        <w:t>[Heading inserted in Gazette 26 Mar 2010 p. 1140.]</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1276"/>
      </w:tblGrid>
      <w:tr>
        <w:trPr>
          <w:tblHeader/>
        </w:trPr>
        <w:tc>
          <w:tcPr>
            <w:tcW w:w="567" w:type="dxa"/>
            <w:tcBorders>
              <w:top w:val="single" w:sz="4" w:space="0" w:color="auto"/>
              <w:bottom w:val="single" w:sz="4" w:space="0" w:color="auto"/>
            </w:tcBorders>
          </w:tcPr>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tcBorders>
              <w:top w:val="single" w:sz="4" w:space="0" w:color="auto"/>
              <w:bottom w:val="single" w:sz="4" w:space="0" w:color="auto"/>
            </w:tcBorders>
          </w:tcPr>
          <w:p>
            <w:pPr>
              <w:pStyle w:val="yTableNAm"/>
              <w:rPr>
                <w:b/>
                <w:bCs/>
                <w:sz w:val="18"/>
              </w:rPr>
            </w:pPr>
            <w:r>
              <w:rPr>
                <w:b/>
                <w:bCs/>
                <w:sz w:val="18"/>
              </w:rPr>
              <w:t>Type</w:t>
            </w:r>
          </w:p>
        </w:tc>
        <w:tc>
          <w:tcPr>
            <w:tcW w:w="1275" w:type="dxa"/>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cantSplit/>
        </w:trPr>
        <w:tc>
          <w:tcPr>
            <w:tcW w:w="6941" w:type="dxa"/>
            <w:gridSpan w:val="6"/>
          </w:tcPr>
          <w:p>
            <w:pPr>
              <w:pStyle w:val="yTableNAm"/>
              <w:rPr>
                <w:i/>
                <w:iCs/>
                <w:sz w:val="18"/>
              </w:rPr>
            </w:pPr>
            <w:r>
              <w:rPr>
                <w:i/>
                <w:iCs/>
                <w:sz w:val="18"/>
              </w:rPr>
              <w:t>Street lighting on current offer and for existing services</w:t>
            </w:r>
          </w:p>
        </w:tc>
      </w:tr>
      <w:tr>
        <w:tc>
          <w:tcPr>
            <w:tcW w:w="567" w:type="dxa"/>
          </w:tcPr>
          <w:p>
            <w:pPr>
              <w:pStyle w:val="yTableNAm"/>
              <w:rPr>
                <w:sz w:val="18"/>
              </w:rPr>
            </w:pPr>
            <w:r>
              <w:rPr>
                <w:sz w:val="18"/>
              </w:rPr>
              <w:t>Z.01</w:t>
            </w:r>
          </w:p>
        </w:tc>
        <w:tc>
          <w:tcPr>
            <w:tcW w:w="851" w:type="dxa"/>
          </w:tcPr>
          <w:p>
            <w:pPr>
              <w:pStyle w:val="yTableNAm"/>
              <w:rPr>
                <w:sz w:val="18"/>
              </w:rPr>
            </w:pPr>
            <w:r>
              <w:rPr>
                <w:sz w:val="18"/>
              </w:rPr>
              <w:t>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26.7304</w:t>
            </w:r>
          </w:p>
        </w:tc>
        <w:tc>
          <w:tcPr>
            <w:tcW w:w="1276" w:type="dxa"/>
          </w:tcPr>
          <w:p>
            <w:pPr>
              <w:pStyle w:val="yTableNAm"/>
              <w:rPr>
                <w:sz w:val="18"/>
              </w:rPr>
            </w:pPr>
            <w:r>
              <w:rPr>
                <w:sz w:val="18"/>
              </w:rPr>
              <w:t>27.3028</w:t>
            </w:r>
          </w:p>
        </w:tc>
        <w:tc>
          <w:tcPr>
            <w:tcW w:w="1276" w:type="dxa"/>
          </w:tcPr>
          <w:p>
            <w:pPr>
              <w:pStyle w:val="yTableNAm"/>
              <w:rPr>
                <w:sz w:val="18"/>
              </w:rPr>
            </w:pPr>
            <w:r>
              <w:rPr>
                <w:sz w:val="18"/>
              </w:rPr>
              <w:t>29.371</w:t>
            </w:r>
          </w:p>
        </w:tc>
      </w:tr>
      <w:tr>
        <w:tc>
          <w:tcPr>
            <w:tcW w:w="567" w:type="dxa"/>
          </w:tcPr>
          <w:p>
            <w:pPr>
              <w:pStyle w:val="yTableNAm"/>
              <w:rPr>
                <w:sz w:val="18"/>
              </w:rPr>
            </w:pPr>
            <w:r>
              <w:rPr>
                <w:sz w:val="18"/>
              </w:rPr>
              <w:t>Z.02</w:t>
            </w:r>
          </w:p>
        </w:tc>
        <w:tc>
          <w:tcPr>
            <w:tcW w:w="851" w:type="dxa"/>
          </w:tcPr>
          <w:p>
            <w:pPr>
              <w:pStyle w:val="yTableNAm"/>
              <w:rPr>
                <w:sz w:val="18"/>
              </w:rPr>
            </w:pPr>
            <w:r>
              <w:rPr>
                <w:sz w:val="18"/>
              </w:rPr>
              <w:t>80</w:t>
            </w:r>
          </w:p>
        </w:tc>
        <w:tc>
          <w:tcPr>
            <w:tcW w:w="1701" w:type="dxa"/>
          </w:tcPr>
          <w:p>
            <w:pPr>
              <w:pStyle w:val="yTableNAm"/>
              <w:rPr>
                <w:sz w:val="18"/>
              </w:rPr>
            </w:pPr>
            <w:r>
              <w:rPr>
                <w:sz w:val="18"/>
              </w:rPr>
              <w:t>Mercury Vapour</w:t>
            </w:r>
          </w:p>
        </w:tc>
        <w:tc>
          <w:tcPr>
            <w:tcW w:w="1275" w:type="dxa"/>
          </w:tcPr>
          <w:p>
            <w:pPr>
              <w:pStyle w:val="yTableNAm"/>
              <w:rPr>
                <w:sz w:val="18"/>
              </w:rPr>
            </w:pPr>
            <w:r>
              <w:rPr>
                <w:sz w:val="18"/>
              </w:rPr>
              <w:t>31.4782</w:t>
            </w:r>
          </w:p>
        </w:tc>
        <w:tc>
          <w:tcPr>
            <w:tcW w:w="1276" w:type="dxa"/>
          </w:tcPr>
          <w:p>
            <w:pPr>
              <w:pStyle w:val="yTableNAm"/>
              <w:rPr>
                <w:sz w:val="18"/>
              </w:rPr>
            </w:pPr>
            <w:r>
              <w:rPr>
                <w:sz w:val="18"/>
              </w:rPr>
              <w:t>32.1806</w:t>
            </w:r>
          </w:p>
        </w:tc>
        <w:tc>
          <w:tcPr>
            <w:tcW w:w="1276" w:type="dxa"/>
          </w:tcPr>
          <w:p>
            <w:pPr>
              <w:pStyle w:val="yTableNAm"/>
              <w:rPr>
                <w:sz w:val="18"/>
              </w:rPr>
            </w:pPr>
            <w:r>
              <w:rPr>
                <w:sz w:val="18"/>
              </w:rPr>
              <w:t>35.4065</w:t>
            </w:r>
          </w:p>
        </w:tc>
      </w:tr>
      <w:tr>
        <w:tc>
          <w:tcPr>
            <w:tcW w:w="567" w:type="dxa"/>
          </w:tcPr>
          <w:p>
            <w:pPr>
              <w:pStyle w:val="yTableNAm"/>
              <w:rPr>
                <w:sz w:val="18"/>
              </w:rPr>
            </w:pPr>
            <w:r>
              <w:rPr>
                <w:sz w:val="18"/>
              </w:rPr>
              <w:t>Z.03</w:t>
            </w:r>
          </w:p>
        </w:tc>
        <w:tc>
          <w:tcPr>
            <w:tcW w:w="851" w:type="dxa"/>
          </w:tcPr>
          <w:p>
            <w:pPr>
              <w:pStyle w:val="yTableNAm"/>
              <w:rPr>
                <w:sz w:val="18"/>
              </w:rPr>
            </w:pPr>
            <w:r>
              <w:rPr>
                <w:sz w:val="18"/>
              </w:rPr>
              <w:t>125</w:t>
            </w:r>
          </w:p>
        </w:tc>
        <w:tc>
          <w:tcPr>
            <w:tcW w:w="1701" w:type="dxa"/>
          </w:tcPr>
          <w:p>
            <w:pPr>
              <w:pStyle w:val="yTableNAm"/>
              <w:rPr>
                <w:sz w:val="18"/>
              </w:rPr>
            </w:pPr>
            <w:r>
              <w:rPr>
                <w:sz w:val="18"/>
              </w:rPr>
              <w:t>Mercury Vapour</w:t>
            </w:r>
          </w:p>
        </w:tc>
        <w:tc>
          <w:tcPr>
            <w:tcW w:w="1275" w:type="dxa"/>
          </w:tcPr>
          <w:p>
            <w:pPr>
              <w:pStyle w:val="yTableNAm"/>
              <w:rPr>
                <w:sz w:val="18"/>
              </w:rPr>
            </w:pPr>
            <w:r>
              <w:rPr>
                <w:sz w:val="18"/>
              </w:rPr>
              <w:t>38.9315</w:t>
            </w:r>
          </w:p>
        </w:tc>
        <w:tc>
          <w:tcPr>
            <w:tcW w:w="1276" w:type="dxa"/>
          </w:tcPr>
          <w:p>
            <w:pPr>
              <w:pStyle w:val="yTableNAm"/>
              <w:rPr>
                <w:sz w:val="18"/>
              </w:rPr>
            </w:pPr>
            <w:r>
              <w:rPr>
                <w:sz w:val="18"/>
              </w:rPr>
              <w:t>40.1932</w:t>
            </w:r>
          </w:p>
        </w:tc>
        <w:tc>
          <w:tcPr>
            <w:tcW w:w="1276" w:type="dxa"/>
          </w:tcPr>
          <w:p>
            <w:pPr>
              <w:pStyle w:val="yTableNAm"/>
              <w:rPr>
                <w:sz w:val="18"/>
              </w:rPr>
            </w:pPr>
            <w:r>
              <w:rPr>
                <w:sz w:val="18"/>
              </w:rPr>
              <w:t>44.7458</w:t>
            </w:r>
          </w:p>
        </w:tc>
      </w:tr>
      <w:tr>
        <w:tc>
          <w:tcPr>
            <w:tcW w:w="567" w:type="dxa"/>
          </w:tcPr>
          <w:p>
            <w:pPr>
              <w:pStyle w:val="yTableNAm"/>
              <w:rPr>
                <w:sz w:val="18"/>
              </w:rPr>
            </w:pPr>
            <w:r>
              <w:rPr>
                <w:sz w:val="18"/>
              </w:rPr>
              <w:t>Z.04</w:t>
            </w:r>
          </w:p>
        </w:tc>
        <w:tc>
          <w:tcPr>
            <w:tcW w:w="851" w:type="dxa"/>
          </w:tcPr>
          <w:p>
            <w:pPr>
              <w:pStyle w:val="yTableNAm"/>
              <w:rPr>
                <w:sz w:val="18"/>
              </w:rPr>
            </w:pPr>
            <w:r>
              <w:rPr>
                <w:sz w:val="18"/>
              </w:rPr>
              <w:t>140</w:t>
            </w:r>
          </w:p>
        </w:tc>
        <w:tc>
          <w:tcPr>
            <w:tcW w:w="1701" w:type="dxa"/>
          </w:tcPr>
          <w:p>
            <w:pPr>
              <w:pStyle w:val="yTableNAm"/>
              <w:rPr>
                <w:sz w:val="18"/>
              </w:rPr>
            </w:pPr>
            <w:r>
              <w:rPr>
                <w:sz w:val="18"/>
              </w:rPr>
              <w:t xml:space="preserve">Low Pressure Sodium </w:t>
            </w:r>
          </w:p>
        </w:tc>
        <w:tc>
          <w:tcPr>
            <w:tcW w:w="1275" w:type="dxa"/>
          </w:tcPr>
          <w:p>
            <w:pPr>
              <w:pStyle w:val="yTableNAm"/>
              <w:rPr>
                <w:sz w:val="18"/>
              </w:rPr>
            </w:pPr>
            <w:r>
              <w:rPr>
                <w:sz w:val="18"/>
              </w:rPr>
              <w:br/>
              <w:t>39.842</w:t>
            </w:r>
          </w:p>
        </w:tc>
        <w:tc>
          <w:tcPr>
            <w:tcW w:w="1276" w:type="dxa"/>
          </w:tcPr>
          <w:p>
            <w:pPr>
              <w:pStyle w:val="yTableNAm"/>
              <w:rPr>
                <w:sz w:val="18"/>
              </w:rPr>
            </w:pPr>
            <w:r>
              <w:rPr>
                <w:sz w:val="18"/>
              </w:rPr>
              <w:br/>
              <w:t>41.1428</w:t>
            </w:r>
          </w:p>
        </w:tc>
        <w:tc>
          <w:tcPr>
            <w:tcW w:w="1276" w:type="dxa"/>
          </w:tcPr>
          <w:p>
            <w:pPr>
              <w:pStyle w:val="yTableNAm"/>
              <w:rPr>
                <w:sz w:val="18"/>
              </w:rPr>
            </w:pPr>
            <w:r>
              <w:rPr>
                <w:sz w:val="18"/>
              </w:rPr>
              <w:br/>
              <w:t>46.3718</w:t>
            </w:r>
          </w:p>
        </w:tc>
      </w:tr>
      <w:tr>
        <w:tc>
          <w:tcPr>
            <w:tcW w:w="567" w:type="dxa"/>
          </w:tcPr>
          <w:p>
            <w:pPr>
              <w:pStyle w:val="yTableNAm"/>
              <w:rPr>
                <w:sz w:val="18"/>
              </w:rPr>
            </w:pPr>
            <w:r>
              <w:rPr>
                <w:sz w:val="18"/>
              </w:rPr>
              <w:t>Z.07</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48.3099</w:t>
            </w:r>
          </w:p>
        </w:tc>
        <w:tc>
          <w:tcPr>
            <w:tcW w:w="1276" w:type="dxa"/>
          </w:tcPr>
          <w:p>
            <w:pPr>
              <w:pStyle w:val="yTableNAm"/>
              <w:rPr>
                <w:sz w:val="18"/>
              </w:rPr>
            </w:pPr>
            <w:r>
              <w:rPr>
                <w:sz w:val="18"/>
              </w:rPr>
              <w:t>50.7683</w:t>
            </w:r>
          </w:p>
        </w:tc>
        <w:tc>
          <w:tcPr>
            <w:tcW w:w="1276" w:type="dxa"/>
          </w:tcPr>
          <w:p>
            <w:pPr>
              <w:pStyle w:val="yTableNAm"/>
              <w:rPr>
                <w:sz w:val="18"/>
              </w:rPr>
            </w:pPr>
            <w:r>
              <w:rPr>
                <w:sz w:val="18"/>
              </w:rPr>
              <w:t>59.9386</w:t>
            </w:r>
          </w:p>
        </w:tc>
      </w:tr>
      <w:tr>
        <w:tc>
          <w:tcPr>
            <w:tcW w:w="567" w:type="dxa"/>
          </w:tcPr>
          <w:p>
            <w:pPr>
              <w:pStyle w:val="yTableNAm"/>
              <w:rPr>
                <w:sz w:val="18"/>
              </w:rPr>
            </w:pPr>
            <w:r>
              <w:rPr>
                <w:sz w:val="18"/>
              </w:rPr>
              <w:t>Z.10</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r>
              <w:rPr>
                <w:sz w:val="18"/>
              </w:rPr>
              <w:t>71.5673</w:t>
            </w:r>
          </w:p>
        </w:tc>
        <w:tc>
          <w:tcPr>
            <w:tcW w:w="1276" w:type="dxa"/>
          </w:tcPr>
          <w:p>
            <w:pPr>
              <w:pStyle w:val="yTableNAm"/>
              <w:rPr>
                <w:sz w:val="18"/>
              </w:rPr>
            </w:pPr>
            <w:r>
              <w:rPr>
                <w:sz w:val="18"/>
              </w:rPr>
              <w:t>75.3135</w:t>
            </w:r>
          </w:p>
        </w:tc>
        <w:tc>
          <w:tcPr>
            <w:tcW w:w="1276" w:type="dxa"/>
          </w:tcPr>
          <w:p>
            <w:pPr>
              <w:pStyle w:val="yTableNAm"/>
              <w:rPr>
                <w:sz w:val="18"/>
              </w:rPr>
            </w:pPr>
            <w:r>
              <w:rPr>
                <w:sz w:val="18"/>
              </w:rPr>
              <w:t>89.6217</w:t>
            </w:r>
          </w:p>
        </w:tc>
      </w:tr>
      <w:tr>
        <w:tc>
          <w:tcPr>
            <w:tcW w:w="567" w:type="dxa"/>
          </w:tcPr>
          <w:p>
            <w:pPr>
              <w:pStyle w:val="yTableNAm"/>
              <w:rPr>
                <w:sz w:val="18"/>
              </w:rPr>
            </w:pPr>
            <w:r>
              <w:rPr>
                <w:sz w:val="18"/>
              </w:rPr>
              <w:t>Z.13</w:t>
            </w:r>
          </w:p>
        </w:tc>
        <w:tc>
          <w:tcPr>
            <w:tcW w:w="851" w:type="dxa"/>
          </w:tcPr>
          <w:p>
            <w:pPr>
              <w:pStyle w:val="yTableNAm"/>
              <w:rPr>
                <w:sz w:val="18"/>
              </w:rPr>
            </w:pPr>
            <w:r>
              <w:rPr>
                <w:sz w:val="18"/>
              </w:rPr>
              <w:t>150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t>36.8763</w:t>
            </w:r>
          </w:p>
        </w:tc>
        <w:tc>
          <w:tcPr>
            <w:tcW w:w="1276" w:type="dxa"/>
          </w:tcPr>
          <w:p>
            <w:pPr>
              <w:pStyle w:val="yTableNAm"/>
              <w:rPr>
                <w:sz w:val="18"/>
              </w:rPr>
            </w:pPr>
            <w:r>
              <w:rPr>
                <w:sz w:val="18"/>
              </w:rPr>
              <w:br/>
              <w:t>38.2291</w:t>
            </w:r>
          </w:p>
        </w:tc>
        <w:tc>
          <w:tcPr>
            <w:tcW w:w="1276" w:type="dxa"/>
          </w:tcPr>
          <w:p>
            <w:pPr>
              <w:pStyle w:val="yTableNAm"/>
              <w:rPr>
                <w:sz w:val="18"/>
              </w:rPr>
            </w:pPr>
            <w:r>
              <w:rPr>
                <w:sz w:val="18"/>
              </w:rPr>
              <w:br/>
              <w:t>45.7995</w:t>
            </w:r>
          </w:p>
        </w:tc>
      </w:tr>
      <w:tr>
        <w:tc>
          <w:tcPr>
            <w:tcW w:w="567" w:type="dxa"/>
          </w:tcPr>
          <w:p>
            <w:pPr>
              <w:pStyle w:val="yTableNAm"/>
              <w:rPr>
                <w:sz w:val="18"/>
              </w:rPr>
            </w:pPr>
            <w:r>
              <w:rPr>
                <w:sz w:val="18"/>
              </w:rPr>
              <w:t>Z.15</w:t>
            </w:r>
          </w:p>
        </w:tc>
        <w:tc>
          <w:tcPr>
            <w:tcW w:w="851" w:type="dxa"/>
          </w:tcPr>
          <w:p>
            <w:pPr>
              <w:pStyle w:val="yTableNAm"/>
              <w:rPr>
                <w:sz w:val="18"/>
              </w:rPr>
            </w:pPr>
            <w:r>
              <w:rPr>
                <w:sz w:val="18"/>
              </w:rPr>
              <w:t>250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t>54.6706</w:t>
            </w:r>
          </w:p>
        </w:tc>
        <w:tc>
          <w:tcPr>
            <w:tcW w:w="1276" w:type="dxa"/>
          </w:tcPr>
          <w:p>
            <w:pPr>
              <w:pStyle w:val="yTableNAm"/>
              <w:rPr>
                <w:sz w:val="18"/>
              </w:rPr>
            </w:pPr>
            <w:r>
              <w:rPr>
                <w:sz w:val="18"/>
              </w:rPr>
              <w:br/>
              <w:t>57.5842</w:t>
            </w:r>
          </w:p>
        </w:tc>
        <w:tc>
          <w:tcPr>
            <w:tcW w:w="1276" w:type="dxa"/>
          </w:tcPr>
          <w:p>
            <w:pPr>
              <w:pStyle w:val="yTableNAm"/>
              <w:rPr>
                <w:sz w:val="18"/>
              </w:rPr>
            </w:pPr>
            <w:r>
              <w:rPr>
                <w:sz w:val="18"/>
              </w:rPr>
              <w:br/>
              <w:t>68.8227</w:t>
            </w:r>
          </w:p>
        </w:tc>
      </w:tr>
      <w:tr>
        <w:tc>
          <w:tcPr>
            <w:tcW w:w="567" w:type="dxa"/>
          </w:tcPr>
          <w:p>
            <w:pPr>
              <w:pStyle w:val="yTableNAm"/>
              <w:rPr>
                <w:sz w:val="18"/>
              </w:rPr>
            </w:pPr>
            <w:r>
              <w:rPr>
                <w:sz w:val="18"/>
              </w:rPr>
              <w:t>Z.18</w:t>
            </w:r>
          </w:p>
        </w:tc>
        <w:tc>
          <w:tcPr>
            <w:tcW w:w="851" w:type="dxa"/>
          </w:tcPr>
          <w:p>
            <w:pPr>
              <w:pStyle w:val="yTableNAm"/>
              <w:rPr>
                <w:sz w:val="18"/>
              </w:rPr>
            </w:pPr>
            <w:r>
              <w:rPr>
                <w:sz w:val="18"/>
              </w:rPr>
              <w:t>per kW</w:t>
            </w:r>
          </w:p>
        </w:tc>
        <w:tc>
          <w:tcPr>
            <w:tcW w:w="1701" w:type="dxa"/>
          </w:tcPr>
          <w:p>
            <w:pPr>
              <w:pStyle w:val="yTableNAm"/>
              <w:rPr>
                <w:sz w:val="18"/>
              </w:rPr>
            </w:pPr>
            <w:r>
              <w:rPr>
                <w:sz w:val="18"/>
              </w:rPr>
              <w:t>Auxiliary Lighting in Public Places</w:t>
            </w:r>
          </w:p>
        </w:tc>
        <w:tc>
          <w:tcPr>
            <w:tcW w:w="1275" w:type="dxa"/>
          </w:tcPr>
          <w:p>
            <w:pPr>
              <w:pStyle w:val="yTableNAm"/>
              <w:rPr>
                <w:sz w:val="18"/>
              </w:rPr>
            </w:pPr>
            <w:r>
              <w:rPr>
                <w:sz w:val="18"/>
              </w:rPr>
              <w:br/>
              <w:t>156.6234</w:t>
            </w:r>
          </w:p>
        </w:tc>
        <w:tc>
          <w:tcPr>
            <w:tcW w:w="1276" w:type="dxa"/>
          </w:tcPr>
          <w:p>
            <w:pPr>
              <w:pStyle w:val="yTableNAm"/>
              <w:rPr>
                <w:sz w:val="18"/>
              </w:rPr>
            </w:pPr>
            <w:r>
              <w:rPr>
                <w:sz w:val="18"/>
              </w:rPr>
              <w:br/>
              <w:t>165.3254</w:t>
            </w:r>
          </w:p>
        </w:tc>
        <w:tc>
          <w:tcPr>
            <w:tcW w:w="1276" w:type="dxa"/>
          </w:tcPr>
          <w:p>
            <w:pPr>
              <w:pStyle w:val="yTableNAm"/>
              <w:rPr>
                <w:sz w:val="18"/>
              </w:rPr>
            </w:pPr>
            <w:r>
              <w:rPr>
                <w:sz w:val="18"/>
              </w:rPr>
              <w:br/>
              <w:t>199.5741</w:t>
            </w:r>
          </w:p>
        </w:tc>
      </w:tr>
      <w:tr>
        <w:trPr>
          <w:cantSplit/>
        </w:trPr>
        <w:tc>
          <w:tcPr>
            <w:tcW w:w="6946" w:type="dxa"/>
            <w:gridSpan w:val="6"/>
          </w:tcPr>
          <w:p>
            <w:pPr>
              <w:pStyle w:val="yTableNAm"/>
              <w:rPr>
                <w:i/>
                <w:iCs/>
                <w:sz w:val="18"/>
              </w:rPr>
            </w:pPr>
            <w:r>
              <w:rPr>
                <w:i/>
                <w:iCs/>
                <w:sz w:val="18"/>
              </w:rPr>
              <w:t>Street lighting for existing services only</w:t>
            </w:r>
          </w:p>
        </w:tc>
      </w:tr>
      <w:tr>
        <w:tc>
          <w:tcPr>
            <w:tcW w:w="567" w:type="dxa"/>
          </w:tcPr>
          <w:p>
            <w:pPr>
              <w:pStyle w:val="yTableNAm"/>
              <w:rPr>
                <w:sz w:val="18"/>
              </w:rPr>
            </w:pPr>
            <w:r>
              <w:rPr>
                <w:sz w:val="18"/>
              </w:rPr>
              <w:t>Z.05</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62.6052</w:t>
            </w:r>
          </w:p>
        </w:tc>
        <w:tc>
          <w:tcPr>
            <w:tcW w:w="1276" w:type="dxa"/>
          </w:tcPr>
          <w:p>
            <w:pPr>
              <w:pStyle w:val="yTableNAm"/>
              <w:rPr>
                <w:sz w:val="18"/>
              </w:rPr>
            </w:pPr>
            <w:r>
              <w:rPr>
                <w:sz w:val="18"/>
              </w:rPr>
              <w:t>65.0506</w:t>
            </w:r>
          </w:p>
        </w:tc>
        <w:tc>
          <w:tcPr>
            <w:tcW w:w="1276" w:type="dxa"/>
          </w:tcPr>
          <w:p>
            <w:pPr>
              <w:pStyle w:val="yTableNAm"/>
              <w:rPr>
                <w:sz w:val="18"/>
              </w:rPr>
            </w:pPr>
            <w:r>
              <w:rPr>
                <w:sz w:val="18"/>
              </w:rPr>
              <w:t>74.2338</w:t>
            </w:r>
          </w:p>
        </w:tc>
      </w:tr>
      <w:tr>
        <w:tc>
          <w:tcPr>
            <w:tcW w:w="567" w:type="dxa"/>
          </w:tcPr>
          <w:p>
            <w:pPr>
              <w:pStyle w:val="yTableNAm"/>
              <w:rPr>
                <w:sz w:val="18"/>
              </w:rPr>
            </w:pPr>
            <w:r>
              <w:rPr>
                <w:sz w:val="18"/>
              </w:rPr>
              <w:t>Z.06</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r>
              <w:rPr>
                <w:sz w:val="18"/>
              </w:rPr>
              <w:t>85.8756</w:t>
            </w:r>
          </w:p>
        </w:tc>
        <w:tc>
          <w:tcPr>
            <w:tcW w:w="1276" w:type="dxa"/>
          </w:tcPr>
          <w:p>
            <w:pPr>
              <w:pStyle w:val="yTableNAm"/>
              <w:rPr>
                <w:sz w:val="18"/>
              </w:rPr>
            </w:pPr>
            <w:r>
              <w:rPr>
                <w:sz w:val="18"/>
              </w:rPr>
              <w:t>89.6217</w:t>
            </w:r>
          </w:p>
        </w:tc>
        <w:tc>
          <w:tcPr>
            <w:tcW w:w="1276" w:type="dxa"/>
          </w:tcPr>
          <w:p>
            <w:pPr>
              <w:pStyle w:val="yTableNAm"/>
              <w:rPr>
                <w:sz w:val="18"/>
              </w:rPr>
            </w:pPr>
            <w:r>
              <w:rPr>
                <w:sz w:val="18"/>
              </w:rPr>
              <w:t>103.865</w:t>
            </w:r>
          </w:p>
        </w:tc>
      </w:tr>
      <w:tr>
        <w:tc>
          <w:tcPr>
            <w:tcW w:w="567" w:type="dxa"/>
          </w:tcPr>
          <w:p>
            <w:pPr>
              <w:pStyle w:val="yTableNAm"/>
              <w:rPr>
                <w:sz w:val="18"/>
              </w:rPr>
            </w:pPr>
            <w:r>
              <w:rPr>
                <w:sz w:val="18"/>
              </w:rPr>
              <w:t>Z.08</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50% E.C. cost</w:t>
            </w:r>
          </w:p>
        </w:tc>
        <w:tc>
          <w:tcPr>
            <w:tcW w:w="1275" w:type="dxa"/>
          </w:tcPr>
          <w:p>
            <w:pPr>
              <w:pStyle w:val="yTableNAm"/>
              <w:rPr>
                <w:sz w:val="18"/>
              </w:rPr>
            </w:pPr>
            <w:r>
              <w:rPr>
                <w:sz w:val="18"/>
              </w:rPr>
              <w:br/>
              <w:t>55.451</w:t>
            </w:r>
          </w:p>
        </w:tc>
        <w:tc>
          <w:tcPr>
            <w:tcW w:w="1276" w:type="dxa"/>
          </w:tcPr>
          <w:p>
            <w:pPr>
              <w:pStyle w:val="yTableNAm"/>
              <w:rPr>
                <w:sz w:val="18"/>
              </w:rPr>
            </w:pPr>
            <w:r>
              <w:rPr>
                <w:sz w:val="18"/>
              </w:rPr>
              <w:br/>
              <w:t>57.8705</w:t>
            </w:r>
          </w:p>
        </w:tc>
        <w:tc>
          <w:tcPr>
            <w:tcW w:w="1276" w:type="dxa"/>
          </w:tcPr>
          <w:p>
            <w:pPr>
              <w:pStyle w:val="yTableNAm"/>
              <w:rPr>
                <w:sz w:val="18"/>
              </w:rPr>
            </w:pPr>
            <w:r>
              <w:rPr>
                <w:sz w:val="18"/>
              </w:rPr>
              <w:br/>
              <w:t>67.0798</w:t>
            </w:r>
          </w:p>
        </w:tc>
      </w:tr>
      <w:tr>
        <w:tc>
          <w:tcPr>
            <w:tcW w:w="567" w:type="dxa"/>
          </w:tcPr>
          <w:p>
            <w:pPr>
              <w:pStyle w:val="yTableNAm"/>
              <w:rPr>
                <w:sz w:val="18"/>
              </w:rPr>
            </w:pPr>
            <w:r>
              <w:rPr>
                <w:sz w:val="18"/>
              </w:rPr>
              <w:t>Z.09</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t>62.6052</w:t>
            </w:r>
          </w:p>
        </w:tc>
        <w:tc>
          <w:tcPr>
            <w:tcW w:w="1276" w:type="dxa"/>
          </w:tcPr>
          <w:p>
            <w:pPr>
              <w:pStyle w:val="yTableNAm"/>
              <w:rPr>
                <w:sz w:val="18"/>
              </w:rPr>
            </w:pPr>
            <w:r>
              <w:rPr>
                <w:sz w:val="18"/>
              </w:rPr>
              <w:br/>
              <w:t>65.0506</w:t>
            </w:r>
          </w:p>
        </w:tc>
        <w:tc>
          <w:tcPr>
            <w:tcW w:w="1276" w:type="dxa"/>
          </w:tcPr>
          <w:p>
            <w:pPr>
              <w:pStyle w:val="yTableNAm"/>
              <w:rPr>
                <w:sz w:val="18"/>
              </w:rPr>
            </w:pPr>
            <w:r>
              <w:rPr>
                <w:sz w:val="18"/>
              </w:rPr>
              <w:br/>
              <w:t>74.2338</w:t>
            </w:r>
          </w:p>
        </w:tc>
      </w:tr>
      <w:tr>
        <w:tc>
          <w:tcPr>
            <w:tcW w:w="567" w:type="dxa"/>
          </w:tcPr>
          <w:p>
            <w:pPr>
              <w:pStyle w:val="yTableNAm"/>
              <w:rPr>
                <w:sz w:val="18"/>
              </w:rPr>
            </w:pPr>
            <w:r>
              <w:rPr>
                <w:sz w:val="18"/>
              </w:rPr>
              <w:t>Z.11</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50% E.C. cost</w:t>
            </w:r>
          </w:p>
        </w:tc>
        <w:tc>
          <w:tcPr>
            <w:tcW w:w="1275" w:type="dxa"/>
          </w:tcPr>
          <w:p>
            <w:pPr>
              <w:pStyle w:val="yTableNAm"/>
              <w:rPr>
                <w:sz w:val="18"/>
              </w:rPr>
            </w:pPr>
            <w:r>
              <w:rPr>
                <w:sz w:val="18"/>
              </w:rPr>
              <w:br/>
              <w:t>78.7214</w:t>
            </w:r>
          </w:p>
        </w:tc>
        <w:tc>
          <w:tcPr>
            <w:tcW w:w="1276" w:type="dxa"/>
          </w:tcPr>
          <w:p>
            <w:pPr>
              <w:pStyle w:val="yTableNAm"/>
              <w:rPr>
                <w:sz w:val="18"/>
              </w:rPr>
            </w:pPr>
            <w:r>
              <w:rPr>
                <w:sz w:val="18"/>
              </w:rPr>
              <w:br/>
              <w:t>82.4806</w:t>
            </w:r>
          </w:p>
        </w:tc>
        <w:tc>
          <w:tcPr>
            <w:tcW w:w="1276" w:type="dxa"/>
          </w:tcPr>
          <w:p>
            <w:pPr>
              <w:pStyle w:val="yTableNAm"/>
              <w:rPr>
                <w:sz w:val="18"/>
              </w:rPr>
            </w:pPr>
            <w:r>
              <w:rPr>
                <w:sz w:val="18"/>
              </w:rPr>
              <w:br/>
              <w:t>96.7369</w:t>
            </w:r>
          </w:p>
        </w:tc>
      </w:tr>
      <w:tr>
        <w:tc>
          <w:tcPr>
            <w:tcW w:w="567" w:type="dxa"/>
          </w:tcPr>
          <w:p>
            <w:pPr>
              <w:pStyle w:val="yTableNAm"/>
              <w:rPr>
                <w:sz w:val="18"/>
              </w:rPr>
            </w:pPr>
            <w:r>
              <w:rPr>
                <w:sz w:val="18"/>
              </w:rPr>
              <w:t>Z.12</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t>85.8756</w:t>
            </w:r>
          </w:p>
        </w:tc>
        <w:tc>
          <w:tcPr>
            <w:tcW w:w="1276" w:type="dxa"/>
          </w:tcPr>
          <w:p>
            <w:pPr>
              <w:pStyle w:val="yTableNAm"/>
              <w:rPr>
                <w:sz w:val="18"/>
              </w:rPr>
            </w:pPr>
            <w:r>
              <w:rPr>
                <w:sz w:val="18"/>
              </w:rPr>
              <w:br/>
              <w:t>89.6217</w:t>
            </w:r>
          </w:p>
        </w:tc>
        <w:tc>
          <w:tcPr>
            <w:tcW w:w="1276" w:type="dxa"/>
          </w:tcPr>
          <w:p>
            <w:pPr>
              <w:pStyle w:val="yTableNAm"/>
              <w:rPr>
                <w:sz w:val="18"/>
              </w:rPr>
            </w:pPr>
            <w:r>
              <w:rPr>
                <w:sz w:val="18"/>
              </w:rPr>
              <w:br/>
              <w:t>103.865</w:t>
            </w:r>
          </w:p>
        </w:tc>
      </w:tr>
      <w:tr>
        <w:tc>
          <w:tcPr>
            <w:tcW w:w="567" w:type="dxa"/>
          </w:tcPr>
          <w:p>
            <w:pPr>
              <w:pStyle w:val="yTableNAm"/>
              <w:rPr>
                <w:sz w:val="18"/>
              </w:rPr>
            </w:pPr>
            <w:r>
              <w:rPr>
                <w:sz w:val="18"/>
              </w:rPr>
              <w:t>Z.14</w:t>
            </w:r>
          </w:p>
        </w:tc>
        <w:tc>
          <w:tcPr>
            <w:tcW w:w="851" w:type="dxa"/>
          </w:tcPr>
          <w:p>
            <w:pPr>
              <w:pStyle w:val="yTableNAm"/>
              <w:rPr>
                <w:sz w:val="18"/>
              </w:rPr>
            </w:pPr>
            <w:r>
              <w:rPr>
                <w:sz w:val="18"/>
              </w:rPr>
              <w:t>150</w:t>
            </w:r>
          </w:p>
        </w:tc>
        <w:tc>
          <w:tcPr>
            <w:tcW w:w="1701" w:type="dxa"/>
          </w:tcPr>
          <w:p>
            <w:pPr>
              <w:pStyle w:val="yTableNAm"/>
              <w:rPr>
                <w:sz w:val="18"/>
              </w:rPr>
            </w:pPr>
            <w:r>
              <w:rPr>
                <w:sz w:val="18"/>
              </w:rPr>
              <w:t>H.P. Sodium</w:t>
            </w:r>
          </w:p>
        </w:tc>
        <w:tc>
          <w:tcPr>
            <w:tcW w:w="1275" w:type="dxa"/>
          </w:tcPr>
          <w:p>
            <w:pPr>
              <w:pStyle w:val="yTableNAm"/>
              <w:rPr>
                <w:sz w:val="18"/>
              </w:rPr>
            </w:pPr>
            <w:r>
              <w:rPr>
                <w:sz w:val="18"/>
              </w:rPr>
              <w:t>56.8949</w:t>
            </w:r>
          </w:p>
        </w:tc>
        <w:tc>
          <w:tcPr>
            <w:tcW w:w="1276" w:type="dxa"/>
          </w:tcPr>
          <w:p>
            <w:pPr>
              <w:pStyle w:val="yTableNAm"/>
              <w:rPr>
                <w:sz w:val="18"/>
              </w:rPr>
            </w:pPr>
            <w:r>
              <w:rPr>
                <w:sz w:val="18"/>
              </w:rPr>
              <w:t>58.2216</w:t>
            </w:r>
          </w:p>
        </w:tc>
        <w:tc>
          <w:tcPr>
            <w:tcW w:w="1276" w:type="dxa"/>
          </w:tcPr>
          <w:p>
            <w:pPr>
              <w:pStyle w:val="yTableNAm"/>
              <w:rPr>
                <w:sz w:val="18"/>
              </w:rPr>
            </w:pPr>
            <w:r>
              <w:rPr>
                <w:sz w:val="18"/>
              </w:rPr>
              <w:t>65.7659</w:t>
            </w:r>
          </w:p>
        </w:tc>
      </w:tr>
      <w:tr>
        <w:tc>
          <w:tcPr>
            <w:tcW w:w="567" w:type="dxa"/>
          </w:tcPr>
          <w:p>
            <w:pPr>
              <w:pStyle w:val="yTableNAm"/>
              <w:rPr>
                <w:sz w:val="18"/>
              </w:rPr>
            </w:pPr>
            <w:r>
              <w:rPr>
                <w:sz w:val="18"/>
              </w:rPr>
              <w:t>Z.16</w:t>
            </w:r>
          </w:p>
        </w:tc>
        <w:tc>
          <w:tcPr>
            <w:tcW w:w="851" w:type="dxa"/>
          </w:tcPr>
          <w:p>
            <w:pPr>
              <w:pStyle w:val="yTableNAm"/>
              <w:rPr>
                <w:sz w:val="18"/>
              </w:rPr>
            </w:pPr>
            <w:r>
              <w:rPr>
                <w:sz w:val="18"/>
              </w:rPr>
              <w:t>250</w:t>
            </w:r>
          </w:p>
        </w:tc>
        <w:tc>
          <w:tcPr>
            <w:tcW w:w="1701" w:type="dxa"/>
          </w:tcPr>
          <w:p>
            <w:pPr>
              <w:pStyle w:val="yTableNAm"/>
              <w:rPr>
                <w:sz w:val="18"/>
              </w:rPr>
            </w:pPr>
            <w:r>
              <w:rPr>
                <w:sz w:val="18"/>
              </w:rPr>
              <w:t>H.P. Sodium 50% E.C. cost</w:t>
            </w:r>
          </w:p>
        </w:tc>
        <w:tc>
          <w:tcPr>
            <w:tcW w:w="1275" w:type="dxa"/>
          </w:tcPr>
          <w:p>
            <w:pPr>
              <w:pStyle w:val="yTableNAm"/>
              <w:rPr>
                <w:sz w:val="18"/>
              </w:rPr>
            </w:pPr>
            <w:r>
              <w:rPr>
                <w:sz w:val="18"/>
              </w:rPr>
              <w:br/>
              <w:t>65.3758</w:t>
            </w:r>
          </w:p>
        </w:tc>
        <w:tc>
          <w:tcPr>
            <w:tcW w:w="1276" w:type="dxa"/>
          </w:tcPr>
          <w:p>
            <w:pPr>
              <w:pStyle w:val="yTableNAm"/>
              <w:rPr>
                <w:sz w:val="18"/>
              </w:rPr>
            </w:pPr>
            <w:r>
              <w:rPr>
                <w:sz w:val="18"/>
              </w:rPr>
              <w:br/>
              <w:t>68.3154</w:t>
            </w:r>
          </w:p>
        </w:tc>
        <w:tc>
          <w:tcPr>
            <w:tcW w:w="1276" w:type="dxa"/>
          </w:tcPr>
          <w:p>
            <w:pPr>
              <w:pStyle w:val="yTableNAm"/>
              <w:rPr>
                <w:sz w:val="18"/>
              </w:rPr>
            </w:pPr>
            <w:r>
              <w:rPr>
                <w:sz w:val="18"/>
              </w:rPr>
              <w:br/>
              <w:t>79.5279</w:t>
            </w:r>
          </w:p>
        </w:tc>
      </w:tr>
      <w:tr>
        <w:tc>
          <w:tcPr>
            <w:tcW w:w="567" w:type="dxa"/>
          </w:tcPr>
          <w:p>
            <w:pPr>
              <w:pStyle w:val="yTableNAm"/>
              <w:rPr>
                <w:sz w:val="18"/>
              </w:rPr>
            </w:pPr>
            <w:r>
              <w:rPr>
                <w:sz w:val="18"/>
              </w:rPr>
              <w:t>Z.17</w:t>
            </w:r>
          </w:p>
        </w:tc>
        <w:tc>
          <w:tcPr>
            <w:tcW w:w="851" w:type="dxa"/>
          </w:tcPr>
          <w:p>
            <w:pPr>
              <w:pStyle w:val="yTableNAm"/>
              <w:rPr>
                <w:sz w:val="18"/>
              </w:rPr>
            </w:pPr>
            <w:r>
              <w:rPr>
                <w:sz w:val="18"/>
              </w:rPr>
              <w:t>250</w:t>
            </w:r>
          </w:p>
        </w:tc>
        <w:tc>
          <w:tcPr>
            <w:tcW w:w="1701" w:type="dxa"/>
          </w:tcPr>
          <w:p>
            <w:pPr>
              <w:pStyle w:val="yTableNAm"/>
              <w:rPr>
                <w:sz w:val="18"/>
              </w:rPr>
            </w:pPr>
            <w:r>
              <w:rPr>
                <w:sz w:val="18"/>
              </w:rPr>
              <w:t>H.P. Sodium 100% E.C. cost</w:t>
            </w:r>
          </w:p>
        </w:tc>
        <w:tc>
          <w:tcPr>
            <w:tcW w:w="1275" w:type="dxa"/>
          </w:tcPr>
          <w:p>
            <w:pPr>
              <w:pStyle w:val="yTableNAm"/>
              <w:rPr>
                <w:sz w:val="18"/>
              </w:rPr>
            </w:pPr>
            <w:r>
              <w:rPr>
                <w:sz w:val="18"/>
              </w:rPr>
              <w:br/>
              <w:t>76.0549</w:t>
            </w:r>
          </w:p>
        </w:tc>
        <w:tc>
          <w:tcPr>
            <w:tcW w:w="1276" w:type="dxa"/>
          </w:tcPr>
          <w:p>
            <w:pPr>
              <w:pStyle w:val="yTableNAm"/>
              <w:rPr>
                <w:sz w:val="18"/>
              </w:rPr>
            </w:pPr>
            <w:r>
              <w:rPr>
                <w:sz w:val="18"/>
              </w:rPr>
              <w:br/>
              <w:t>79.0336</w:t>
            </w:r>
          </w:p>
        </w:tc>
        <w:tc>
          <w:tcPr>
            <w:tcW w:w="1276" w:type="dxa"/>
          </w:tcPr>
          <w:p>
            <w:pPr>
              <w:pStyle w:val="yTableNAm"/>
              <w:rPr>
                <w:sz w:val="18"/>
              </w:rPr>
            </w:pPr>
            <w:r>
              <w:rPr>
                <w:sz w:val="18"/>
              </w:rPr>
              <w:br/>
              <w:t>90.2591</w:t>
            </w:r>
          </w:p>
        </w:tc>
      </w:tr>
      <w:tr>
        <w:tc>
          <w:tcPr>
            <w:tcW w:w="567" w:type="dxa"/>
          </w:tcPr>
          <w:p>
            <w:pPr>
              <w:pStyle w:val="yTableNAm"/>
              <w:rPr>
                <w:sz w:val="18"/>
              </w:rPr>
            </w:pPr>
            <w:r>
              <w:rPr>
                <w:sz w:val="18"/>
              </w:rPr>
              <w:t>Z.51</w:t>
            </w:r>
          </w:p>
        </w:tc>
        <w:tc>
          <w:tcPr>
            <w:tcW w:w="851" w:type="dxa"/>
          </w:tcPr>
          <w:p>
            <w:pPr>
              <w:pStyle w:val="yTableNAm"/>
              <w:rPr>
                <w:sz w:val="18"/>
              </w:rPr>
            </w:pPr>
            <w:r>
              <w:rPr>
                <w:sz w:val="18"/>
              </w:rPr>
              <w:t>60</w:t>
            </w:r>
          </w:p>
        </w:tc>
        <w:tc>
          <w:tcPr>
            <w:tcW w:w="1701" w:type="dxa"/>
          </w:tcPr>
          <w:p>
            <w:pPr>
              <w:pStyle w:val="yTableNAm"/>
              <w:rPr>
                <w:sz w:val="18"/>
              </w:rPr>
            </w:pPr>
            <w:r>
              <w:rPr>
                <w:sz w:val="18"/>
              </w:rPr>
              <w:t>Incandescent</w:t>
            </w:r>
          </w:p>
        </w:tc>
        <w:tc>
          <w:tcPr>
            <w:tcW w:w="1275" w:type="dxa"/>
          </w:tcPr>
          <w:p>
            <w:pPr>
              <w:pStyle w:val="yTableNAm"/>
              <w:rPr>
                <w:sz w:val="18"/>
              </w:rPr>
            </w:pPr>
            <w:r>
              <w:rPr>
                <w:sz w:val="18"/>
              </w:rPr>
              <w:t>26.7304</w:t>
            </w:r>
          </w:p>
        </w:tc>
        <w:tc>
          <w:tcPr>
            <w:tcW w:w="1276" w:type="dxa"/>
          </w:tcPr>
          <w:p>
            <w:pPr>
              <w:pStyle w:val="yTableNAm"/>
              <w:rPr>
                <w:sz w:val="18"/>
              </w:rPr>
            </w:pPr>
            <w:r>
              <w:rPr>
                <w:sz w:val="18"/>
              </w:rPr>
              <w:t>27.3028</w:t>
            </w:r>
          </w:p>
        </w:tc>
        <w:tc>
          <w:tcPr>
            <w:tcW w:w="1276" w:type="dxa"/>
          </w:tcPr>
          <w:p>
            <w:pPr>
              <w:pStyle w:val="yTableNAm"/>
              <w:rPr>
                <w:sz w:val="18"/>
              </w:rPr>
            </w:pPr>
            <w:r>
              <w:rPr>
                <w:sz w:val="18"/>
              </w:rPr>
              <w:t>29.371</w:t>
            </w:r>
          </w:p>
        </w:tc>
      </w:tr>
      <w:tr>
        <w:tc>
          <w:tcPr>
            <w:tcW w:w="567" w:type="dxa"/>
          </w:tcPr>
          <w:p>
            <w:pPr>
              <w:pStyle w:val="yTableNAm"/>
              <w:rPr>
                <w:sz w:val="18"/>
              </w:rPr>
            </w:pPr>
            <w:r>
              <w:rPr>
                <w:sz w:val="18"/>
              </w:rPr>
              <w:t>Z.52</w:t>
            </w:r>
          </w:p>
        </w:tc>
        <w:tc>
          <w:tcPr>
            <w:tcW w:w="851" w:type="dxa"/>
          </w:tcPr>
          <w:p>
            <w:pPr>
              <w:pStyle w:val="yTableNAm"/>
              <w:rPr>
                <w:sz w:val="18"/>
              </w:rPr>
            </w:pPr>
            <w:r>
              <w:rPr>
                <w:sz w:val="18"/>
              </w:rPr>
              <w:t>100</w:t>
            </w:r>
          </w:p>
        </w:tc>
        <w:tc>
          <w:tcPr>
            <w:tcW w:w="1701" w:type="dxa"/>
          </w:tcPr>
          <w:p>
            <w:pPr>
              <w:pStyle w:val="yTableNAm"/>
              <w:rPr>
                <w:sz w:val="18"/>
              </w:rPr>
            </w:pPr>
            <w:r>
              <w:rPr>
                <w:sz w:val="18"/>
              </w:rPr>
              <w:t>Incandescent</w:t>
            </w:r>
          </w:p>
        </w:tc>
        <w:tc>
          <w:tcPr>
            <w:tcW w:w="1275" w:type="dxa"/>
          </w:tcPr>
          <w:p>
            <w:pPr>
              <w:pStyle w:val="yTableNAm"/>
              <w:rPr>
                <w:sz w:val="18"/>
              </w:rPr>
            </w:pPr>
            <w:r>
              <w:rPr>
                <w:sz w:val="18"/>
              </w:rPr>
              <w:t>26.7304</w:t>
            </w:r>
          </w:p>
        </w:tc>
        <w:tc>
          <w:tcPr>
            <w:tcW w:w="1276" w:type="dxa"/>
          </w:tcPr>
          <w:p>
            <w:pPr>
              <w:pStyle w:val="yTableNAm"/>
              <w:rPr>
                <w:sz w:val="18"/>
              </w:rPr>
            </w:pPr>
            <w:r>
              <w:rPr>
                <w:sz w:val="18"/>
              </w:rPr>
              <w:t>27.3028</w:t>
            </w:r>
          </w:p>
        </w:tc>
        <w:tc>
          <w:tcPr>
            <w:tcW w:w="1276" w:type="dxa"/>
          </w:tcPr>
          <w:p>
            <w:pPr>
              <w:pStyle w:val="yTableNAm"/>
              <w:rPr>
                <w:sz w:val="18"/>
              </w:rPr>
            </w:pPr>
            <w:r>
              <w:rPr>
                <w:sz w:val="18"/>
              </w:rPr>
              <w:t>29.371</w:t>
            </w:r>
          </w:p>
        </w:tc>
      </w:tr>
      <w:tr>
        <w:tc>
          <w:tcPr>
            <w:tcW w:w="567" w:type="dxa"/>
          </w:tcPr>
          <w:p>
            <w:pPr>
              <w:pStyle w:val="yTableNAm"/>
              <w:rPr>
                <w:sz w:val="18"/>
              </w:rPr>
            </w:pPr>
            <w:r>
              <w:rPr>
                <w:sz w:val="18"/>
              </w:rPr>
              <w:t>Z.53</w:t>
            </w:r>
          </w:p>
        </w:tc>
        <w:tc>
          <w:tcPr>
            <w:tcW w:w="851" w:type="dxa"/>
          </w:tcPr>
          <w:p>
            <w:pPr>
              <w:pStyle w:val="yTableNAm"/>
              <w:rPr>
                <w:sz w:val="18"/>
              </w:rPr>
            </w:pPr>
            <w:r>
              <w:rPr>
                <w:sz w:val="18"/>
              </w:rPr>
              <w:t>200</w:t>
            </w:r>
          </w:p>
        </w:tc>
        <w:tc>
          <w:tcPr>
            <w:tcW w:w="1701" w:type="dxa"/>
          </w:tcPr>
          <w:p>
            <w:pPr>
              <w:pStyle w:val="yTableNAm"/>
              <w:rPr>
                <w:sz w:val="18"/>
              </w:rPr>
            </w:pPr>
            <w:r>
              <w:rPr>
                <w:sz w:val="18"/>
              </w:rPr>
              <w:t>Incandescent</w:t>
            </w:r>
          </w:p>
        </w:tc>
        <w:tc>
          <w:tcPr>
            <w:tcW w:w="1275" w:type="dxa"/>
          </w:tcPr>
          <w:p>
            <w:pPr>
              <w:pStyle w:val="yTableNAm"/>
              <w:rPr>
                <w:sz w:val="18"/>
              </w:rPr>
            </w:pPr>
            <w:r>
              <w:rPr>
                <w:sz w:val="18"/>
              </w:rPr>
              <w:t>31.4782</w:t>
            </w:r>
          </w:p>
        </w:tc>
        <w:tc>
          <w:tcPr>
            <w:tcW w:w="1276" w:type="dxa"/>
          </w:tcPr>
          <w:p>
            <w:pPr>
              <w:pStyle w:val="yTableNAm"/>
              <w:rPr>
                <w:sz w:val="18"/>
              </w:rPr>
            </w:pPr>
            <w:r>
              <w:rPr>
                <w:sz w:val="18"/>
              </w:rPr>
              <w:t>32.1806</w:t>
            </w:r>
          </w:p>
        </w:tc>
        <w:tc>
          <w:tcPr>
            <w:tcW w:w="1276" w:type="dxa"/>
          </w:tcPr>
          <w:p>
            <w:pPr>
              <w:pStyle w:val="yTableNAm"/>
              <w:rPr>
                <w:sz w:val="18"/>
              </w:rPr>
            </w:pPr>
            <w:r>
              <w:rPr>
                <w:sz w:val="18"/>
              </w:rPr>
              <w:t>35.4065</w:t>
            </w:r>
          </w:p>
        </w:tc>
      </w:tr>
      <w:tr>
        <w:tc>
          <w:tcPr>
            <w:tcW w:w="567" w:type="dxa"/>
          </w:tcPr>
          <w:p>
            <w:pPr>
              <w:pStyle w:val="yTableNAm"/>
              <w:rPr>
                <w:sz w:val="18"/>
              </w:rPr>
            </w:pPr>
            <w:r>
              <w:rPr>
                <w:sz w:val="18"/>
              </w:rPr>
              <w:t>Z.54</w:t>
            </w:r>
          </w:p>
        </w:tc>
        <w:tc>
          <w:tcPr>
            <w:tcW w:w="851" w:type="dxa"/>
          </w:tcPr>
          <w:p>
            <w:pPr>
              <w:pStyle w:val="yTableNAm"/>
              <w:rPr>
                <w:sz w:val="18"/>
              </w:rPr>
            </w:pPr>
            <w:r>
              <w:rPr>
                <w:sz w:val="18"/>
              </w:rPr>
              <w:t>300</w:t>
            </w:r>
          </w:p>
        </w:tc>
        <w:tc>
          <w:tcPr>
            <w:tcW w:w="1701" w:type="dxa"/>
          </w:tcPr>
          <w:p>
            <w:pPr>
              <w:pStyle w:val="yTableNAm"/>
              <w:rPr>
                <w:sz w:val="18"/>
              </w:rPr>
            </w:pPr>
            <w:r>
              <w:rPr>
                <w:sz w:val="18"/>
              </w:rPr>
              <w:t>Incandescent</w:t>
            </w:r>
          </w:p>
        </w:tc>
        <w:tc>
          <w:tcPr>
            <w:tcW w:w="1275" w:type="dxa"/>
          </w:tcPr>
          <w:p>
            <w:pPr>
              <w:pStyle w:val="yTableNAm"/>
              <w:rPr>
                <w:sz w:val="18"/>
              </w:rPr>
            </w:pPr>
            <w:r>
              <w:rPr>
                <w:sz w:val="18"/>
              </w:rPr>
              <w:t>38.9315</w:t>
            </w:r>
          </w:p>
        </w:tc>
        <w:tc>
          <w:tcPr>
            <w:tcW w:w="1276" w:type="dxa"/>
          </w:tcPr>
          <w:p>
            <w:pPr>
              <w:pStyle w:val="yTableNAm"/>
              <w:rPr>
                <w:sz w:val="18"/>
              </w:rPr>
            </w:pPr>
            <w:r>
              <w:rPr>
                <w:sz w:val="18"/>
              </w:rPr>
              <w:t>40.1932</w:t>
            </w:r>
          </w:p>
        </w:tc>
        <w:tc>
          <w:tcPr>
            <w:tcW w:w="1276" w:type="dxa"/>
          </w:tcPr>
          <w:p>
            <w:pPr>
              <w:pStyle w:val="yTableNAm"/>
              <w:rPr>
                <w:sz w:val="18"/>
              </w:rPr>
            </w:pPr>
            <w:r>
              <w:rPr>
                <w:sz w:val="18"/>
              </w:rPr>
              <w:t>44.7458</w:t>
            </w:r>
          </w:p>
        </w:tc>
      </w:tr>
      <w:tr>
        <w:tc>
          <w:tcPr>
            <w:tcW w:w="567" w:type="dxa"/>
          </w:tcPr>
          <w:p>
            <w:pPr>
              <w:pStyle w:val="yTableNAm"/>
              <w:rPr>
                <w:sz w:val="18"/>
              </w:rPr>
            </w:pPr>
            <w:r>
              <w:rPr>
                <w:sz w:val="18"/>
              </w:rPr>
              <w:t>Z.55</w:t>
            </w:r>
          </w:p>
        </w:tc>
        <w:tc>
          <w:tcPr>
            <w:tcW w:w="851" w:type="dxa"/>
          </w:tcPr>
          <w:p>
            <w:pPr>
              <w:pStyle w:val="yTableNAm"/>
              <w:rPr>
                <w:sz w:val="18"/>
              </w:rPr>
            </w:pPr>
            <w:r>
              <w:rPr>
                <w:sz w:val="18"/>
              </w:rPr>
              <w:t>500</w:t>
            </w:r>
          </w:p>
        </w:tc>
        <w:tc>
          <w:tcPr>
            <w:tcW w:w="1701" w:type="dxa"/>
          </w:tcPr>
          <w:p>
            <w:pPr>
              <w:pStyle w:val="yTableNAm"/>
              <w:rPr>
                <w:sz w:val="18"/>
              </w:rPr>
            </w:pPr>
            <w:r>
              <w:rPr>
                <w:sz w:val="18"/>
              </w:rPr>
              <w:t>Incandescent</w:t>
            </w:r>
          </w:p>
        </w:tc>
        <w:tc>
          <w:tcPr>
            <w:tcW w:w="1275" w:type="dxa"/>
          </w:tcPr>
          <w:p>
            <w:pPr>
              <w:pStyle w:val="yTableNAm"/>
              <w:rPr>
                <w:sz w:val="18"/>
              </w:rPr>
            </w:pPr>
            <w:r>
              <w:rPr>
                <w:sz w:val="18"/>
              </w:rPr>
              <w:t>62.6052</w:t>
            </w:r>
          </w:p>
        </w:tc>
        <w:tc>
          <w:tcPr>
            <w:tcW w:w="1276" w:type="dxa"/>
          </w:tcPr>
          <w:p>
            <w:pPr>
              <w:pStyle w:val="yTableNAm"/>
              <w:rPr>
                <w:sz w:val="18"/>
              </w:rPr>
            </w:pPr>
            <w:r>
              <w:rPr>
                <w:sz w:val="18"/>
              </w:rPr>
              <w:t>65.0506</w:t>
            </w:r>
          </w:p>
        </w:tc>
        <w:tc>
          <w:tcPr>
            <w:tcW w:w="1276" w:type="dxa"/>
          </w:tcPr>
          <w:p>
            <w:pPr>
              <w:pStyle w:val="yTableNAm"/>
              <w:rPr>
                <w:sz w:val="18"/>
              </w:rPr>
            </w:pPr>
            <w:r>
              <w:rPr>
                <w:sz w:val="18"/>
              </w:rPr>
              <w:t>74.2338</w:t>
            </w:r>
          </w:p>
        </w:tc>
      </w:tr>
      <w:tr>
        <w:tc>
          <w:tcPr>
            <w:tcW w:w="567" w:type="dxa"/>
          </w:tcPr>
          <w:p>
            <w:pPr>
              <w:pStyle w:val="yTableNAm"/>
              <w:rPr>
                <w:sz w:val="18"/>
              </w:rPr>
            </w:pPr>
            <w:r>
              <w:rPr>
                <w:sz w:val="18"/>
              </w:rPr>
              <w:t>Z.56</w:t>
            </w:r>
          </w:p>
        </w:tc>
        <w:tc>
          <w:tcPr>
            <w:tcW w:w="851" w:type="dxa"/>
          </w:tcPr>
          <w:p>
            <w:pPr>
              <w:pStyle w:val="yTableNAm"/>
              <w:rPr>
                <w:sz w:val="18"/>
              </w:rPr>
            </w:pPr>
            <w:r>
              <w:rPr>
                <w:sz w:val="18"/>
              </w:rPr>
              <w:t>40</w:t>
            </w:r>
          </w:p>
        </w:tc>
        <w:tc>
          <w:tcPr>
            <w:tcW w:w="1701" w:type="dxa"/>
          </w:tcPr>
          <w:p>
            <w:pPr>
              <w:pStyle w:val="yTableNAm"/>
              <w:rPr>
                <w:sz w:val="18"/>
              </w:rPr>
            </w:pPr>
            <w:r>
              <w:rPr>
                <w:sz w:val="18"/>
              </w:rPr>
              <w:t>Fluorescent</w:t>
            </w:r>
          </w:p>
        </w:tc>
        <w:tc>
          <w:tcPr>
            <w:tcW w:w="1275" w:type="dxa"/>
          </w:tcPr>
          <w:p>
            <w:pPr>
              <w:pStyle w:val="yTableNAm"/>
              <w:rPr>
                <w:sz w:val="18"/>
              </w:rPr>
            </w:pPr>
            <w:r>
              <w:rPr>
                <w:sz w:val="18"/>
              </w:rPr>
              <w:t>26.7304</w:t>
            </w:r>
          </w:p>
        </w:tc>
        <w:tc>
          <w:tcPr>
            <w:tcW w:w="1276" w:type="dxa"/>
          </w:tcPr>
          <w:p>
            <w:pPr>
              <w:pStyle w:val="yTableNAm"/>
              <w:rPr>
                <w:sz w:val="18"/>
              </w:rPr>
            </w:pPr>
            <w:r>
              <w:rPr>
                <w:sz w:val="18"/>
              </w:rPr>
              <w:t>27.3028</w:t>
            </w:r>
          </w:p>
        </w:tc>
        <w:tc>
          <w:tcPr>
            <w:tcW w:w="1276" w:type="dxa"/>
          </w:tcPr>
          <w:p>
            <w:pPr>
              <w:pStyle w:val="yTableNAm"/>
              <w:rPr>
                <w:sz w:val="18"/>
              </w:rPr>
            </w:pPr>
            <w:r>
              <w:rPr>
                <w:sz w:val="18"/>
              </w:rPr>
              <w:t>29.371</w:t>
            </w:r>
          </w:p>
        </w:tc>
      </w:tr>
      <w:tr>
        <w:tc>
          <w:tcPr>
            <w:tcW w:w="567" w:type="dxa"/>
          </w:tcPr>
          <w:p>
            <w:pPr>
              <w:pStyle w:val="yTableNAm"/>
              <w:rPr>
                <w:sz w:val="18"/>
              </w:rPr>
            </w:pPr>
            <w:r>
              <w:rPr>
                <w:sz w:val="18"/>
              </w:rPr>
              <w:t>Z.57</w:t>
            </w:r>
          </w:p>
        </w:tc>
        <w:tc>
          <w:tcPr>
            <w:tcW w:w="851" w:type="dxa"/>
          </w:tcPr>
          <w:p>
            <w:pPr>
              <w:pStyle w:val="yTableNAm"/>
              <w:rPr>
                <w:sz w:val="18"/>
              </w:rPr>
            </w:pPr>
            <w:r>
              <w:rPr>
                <w:sz w:val="18"/>
              </w:rPr>
              <w:t>80</w:t>
            </w:r>
          </w:p>
        </w:tc>
        <w:tc>
          <w:tcPr>
            <w:tcW w:w="1701" w:type="dxa"/>
          </w:tcPr>
          <w:p>
            <w:pPr>
              <w:pStyle w:val="yTableNAm"/>
              <w:rPr>
                <w:sz w:val="18"/>
              </w:rPr>
            </w:pPr>
            <w:r>
              <w:rPr>
                <w:sz w:val="18"/>
              </w:rPr>
              <w:t>Fluorescent</w:t>
            </w:r>
          </w:p>
        </w:tc>
        <w:tc>
          <w:tcPr>
            <w:tcW w:w="1275" w:type="dxa"/>
          </w:tcPr>
          <w:p>
            <w:pPr>
              <w:pStyle w:val="yTableNAm"/>
              <w:rPr>
                <w:sz w:val="18"/>
              </w:rPr>
            </w:pPr>
            <w:r>
              <w:rPr>
                <w:sz w:val="18"/>
              </w:rPr>
              <w:t>31.4782</w:t>
            </w:r>
          </w:p>
        </w:tc>
        <w:tc>
          <w:tcPr>
            <w:tcW w:w="1276" w:type="dxa"/>
          </w:tcPr>
          <w:p>
            <w:pPr>
              <w:pStyle w:val="yTableNAm"/>
              <w:rPr>
                <w:sz w:val="18"/>
              </w:rPr>
            </w:pPr>
            <w:r>
              <w:rPr>
                <w:sz w:val="18"/>
              </w:rPr>
              <w:t>32.1806</w:t>
            </w:r>
          </w:p>
        </w:tc>
        <w:tc>
          <w:tcPr>
            <w:tcW w:w="1276" w:type="dxa"/>
          </w:tcPr>
          <w:p>
            <w:pPr>
              <w:pStyle w:val="yTableNAm"/>
              <w:rPr>
                <w:sz w:val="18"/>
              </w:rPr>
            </w:pPr>
            <w:r>
              <w:rPr>
                <w:sz w:val="18"/>
              </w:rPr>
              <w:t>35.4065</w:t>
            </w:r>
          </w:p>
        </w:tc>
      </w:tr>
      <w:tr>
        <w:tc>
          <w:tcPr>
            <w:tcW w:w="567" w:type="dxa"/>
            <w:tcBorders>
              <w:bottom w:val="single" w:sz="4" w:space="0" w:color="auto"/>
            </w:tcBorders>
          </w:tcPr>
          <w:p>
            <w:pPr>
              <w:pStyle w:val="yTableNAm"/>
              <w:rPr>
                <w:sz w:val="18"/>
              </w:rPr>
            </w:pPr>
            <w:r>
              <w:rPr>
                <w:sz w:val="18"/>
              </w:rPr>
              <w:t>Z.58</w:t>
            </w:r>
          </w:p>
        </w:tc>
        <w:tc>
          <w:tcPr>
            <w:tcW w:w="851" w:type="dxa"/>
            <w:tcBorders>
              <w:bottom w:val="single" w:sz="4" w:space="0" w:color="auto"/>
            </w:tcBorders>
          </w:tcPr>
          <w:p>
            <w:pPr>
              <w:pStyle w:val="yTableNAm"/>
              <w:rPr>
                <w:sz w:val="18"/>
              </w:rPr>
            </w:pPr>
            <w:r>
              <w:rPr>
                <w:sz w:val="18"/>
              </w:rPr>
              <w:t>160</w:t>
            </w:r>
          </w:p>
        </w:tc>
        <w:tc>
          <w:tcPr>
            <w:tcW w:w="1701" w:type="dxa"/>
            <w:tcBorders>
              <w:bottom w:val="single" w:sz="4" w:space="0" w:color="auto"/>
            </w:tcBorders>
          </w:tcPr>
          <w:p>
            <w:pPr>
              <w:pStyle w:val="yTableNAm"/>
              <w:rPr>
                <w:sz w:val="18"/>
              </w:rPr>
            </w:pPr>
            <w:r>
              <w:rPr>
                <w:sz w:val="18"/>
              </w:rPr>
              <w:t>Fluorescent</w:t>
            </w:r>
          </w:p>
        </w:tc>
        <w:tc>
          <w:tcPr>
            <w:tcW w:w="1275" w:type="dxa"/>
            <w:tcBorders>
              <w:bottom w:val="single" w:sz="4" w:space="0" w:color="auto"/>
            </w:tcBorders>
          </w:tcPr>
          <w:p>
            <w:pPr>
              <w:pStyle w:val="yTableNAm"/>
              <w:rPr>
                <w:sz w:val="18"/>
              </w:rPr>
            </w:pPr>
            <w:r>
              <w:rPr>
                <w:sz w:val="18"/>
              </w:rPr>
              <w:t>44.0305</w:t>
            </w:r>
          </w:p>
        </w:tc>
        <w:tc>
          <w:tcPr>
            <w:tcW w:w="1276" w:type="dxa"/>
            <w:tcBorders>
              <w:bottom w:val="single" w:sz="4" w:space="0" w:color="auto"/>
            </w:tcBorders>
          </w:tcPr>
          <w:p>
            <w:pPr>
              <w:pStyle w:val="yTableNAm"/>
              <w:rPr>
                <w:sz w:val="18"/>
              </w:rPr>
            </w:pPr>
            <w:r>
              <w:rPr>
                <w:sz w:val="18"/>
              </w:rPr>
              <w:t>44.6417</w:t>
            </w:r>
          </w:p>
        </w:tc>
        <w:tc>
          <w:tcPr>
            <w:tcW w:w="1276" w:type="dxa"/>
            <w:tcBorders>
              <w:bottom w:val="single" w:sz="4" w:space="0" w:color="auto"/>
            </w:tcBorders>
          </w:tcPr>
          <w:p>
            <w:pPr>
              <w:pStyle w:val="yTableNAm"/>
              <w:rPr>
                <w:sz w:val="18"/>
              </w:rPr>
            </w:pPr>
            <w:r>
              <w:rPr>
                <w:sz w:val="18"/>
              </w:rPr>
              <w:t>51.7959</w:t>
            </w:r>
          </w:p>
        </w:tc>
      </w:tr>
    </w:tbl>
    <w:p>
      <w:pPr>
        <w:pStyle w:val="yFootnotesection"/>
      </w:pPr>
      <w:r>
        <w:tab/>
        <w:t>[Schedule 2 inserted in Gazette 26 Mar 2010 p. 1140-1.]</w:t>
      </w:r>
    </w:p>
    <w:p>
      <w:pPr>
        <w:pStyle w:val="yScheduleHeading"/>
      </w:pPr>
      <w:bookmarkStart w:id="145" w:name="_Toc265662075"/>
      <w:r>
        <w:rPr>
          <w:rStyle w:val="CharSchNo"/>
        </w:rPr>
        <w:t>Schedule 3</w:t>
      </w:r>
      <w:r>
        <w:rPr>
          <w:rStyle w:val="CharSDivNo"/>
        </w:rPr>
        <w:t> </w:t>
      </w:r>
      <w:r>
        <w:t>—</w:t>
      </w:r>
      <w:r>
        <w:rPr>
          <w:rStyle w:val="CharSDivText"/>
        </w:rPr>
        <w:t> </w:t>
      </w:r>
      <w:r>
        <w:rPr>
          <w:rStyle w:val="CharSchText"/>
        </w:rPr>
        <w:t>Meter rental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45"/>
    </w:p>
    <w:bookmarkEnd w:id="135"/>
    <w:bookmarkEnd w:id="136"/>
    <w:bookmarkEnd w:id="137"/>
    <w:bookmarkEnd w:id="138"/>
    <w:bookmarkEnd w:id="139"/>
    <w:bookmarkEnd w:id="140"/>
    <w:bookmarkEnd w:id="141"/>
    <w:bookmarkEnd w:id="142"/>
    <w:bookmarkEnd w:id="143"/>
    <w:bookmarkEnd w:id="144"/>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46" w:name="_Toc123621761"/>
      <w:bookmarkStart w:id="147" w:name="_Toc123621908"/>
      <w:bookmarkStart w:id="148" w:name="_Toc123624868"/>
      <w:bookmarkStart w:id="149" w:name="_Toc123624935"/>
      <w:bookmarkStart w:id="150" w:name="_Toc123626281"/>
      <w:bookmarkStart w:id="151" w:name="_Toc123629885"/>
      <w:bookmarkStart w:id="152" w:name="_Toc124135802"/>
      <w:bookmarkStart w:id="153" w:name="_Toc124137269"/>
      <w:bookmarkStart w:id="154" w:name="_Toc124147437"/>
      <w:bookmarkStart w:id="155" w:name="_Toc124147474"/>
      <w:bookmarkStart w:id="156" w:name="_Toc124158785"/>
      <w:bookmarkStart w:id="157" w:name="_Toc124158892"/>
      <w:bookmarkStart w:id="158" w:name="_Toc124158926"/>
      <w:bookmarkStart w:id="159" w:name="_Toc124216307"/>
      <w:bookmarkStart w:id="160" w:name="_Toc124227066"/>
      <w:bookmarkStart w:id="161" w:name="_Toc124227159"/>
      <w:bookmarkStart w:id="162" w:name="_Toc124234425"/>
      <w:bookmarkStart w:id="163" w:name="_Toc124234777"/>
      <w:bookmarkStart w:id="164" w:name="_Toc124234817"/>
      <w:bookmarkStart w:id="165" w:name="_Toc124934233"/>
      <w:bookmarkStart w:id="166" w:name="_Toc125279683"/>
      <w:bookmarkStart w:id="167" w:name="_Toc127067110"/>
      <w:bookmarkStart w:id="168" w:name="_Toc127076313"/>
      <w:bookmarkStart w:id="169" w:name="_Toc127085646"/>
      <w:bookmarkStart w:id="170" w:name="_Toc127086738"/>
      <w:bookmarkStart w:id="171" w:name="_Toc127671681"/>
      <w:bookmarkStart w:id="172" w:name="_Toc127690058"/>
      <w:bookmarkStart w:id="173" w:name="_Toc127699339"/>
      <w:bookmarkStart w:id="174" w:name="_Toc127760431"/>
      <w:bookmarkStart w:id="175" w:name="_Toc127760459"/>
      <w:bookmarkStart w:id="176" w:name="_Toc127946781"/>
      <w:bookmarkStart w:id="177" w:name="_Toc127960814"/>
      <w:bookmarkStart w:id="178" w:name="_Toc127960842"/>
      <w:bookmarkStart w:id="179" w:name="_Toc128190516"/>
      <w:bookmarkStart w:id="180" w:name="_Toc128196188"/>
      <w:bookmarkStart w:id="181" w:name="_Toc128197607"/>
      <w:bookmarkStart w:id="182" w:name="_Toc128282880"/>
      <w:bookmarkStart w:id="183" w:name="_Toc131490128"/>
      <w:bookmarkStart w:id="184" w:name="_Toc131491088"/>
      <w:bookmarkStart w:id="185" w:name="_Toc152664697"/>
      <w:bookmarkStart w:id="186" w:name="_Toc152669128"/>
      <w:bookmarkStart w:id="187" w:name="_Toc171051503"/>
      <w:bookmarkStart w:id="188" w:name="_Toc226275325"/>
      <w:bookmarkStart w:id="189" w:name="_Toc226275365"/>
      <w:bookmarkStart w:id="190" w:name="_Toc233185426"/>
      <w:bookmarkStart w:id="191" w:name="_Toc238445954"/>
      <w:bookmarkStart w:id="192" w:name="_Toc238889058"/>
      <w:bookmarkStart w:id="193" w:name="_Toc238890144"/>
      <w:bookmarkStart w:id="194" w:name="_Toc240950073"/>
      <w:bookmarkStart w:id="195" w:name="_Toc257300174"/>
      <w:bookmarkStart w:id="196" w:name="_Toc257300257"/>
      <w:bookmarkStart w:id="197" w:name="_Toc265662076"/>
      <w:r>
        <w:rPr>
          <w:rStyle w:val="CharSchNo"/>
        </w:rPr>
        <w:t>Schedule 4</w:t>
      </w:r>
      <w:r>
        <w:rPr>
          <w:rStyle w:val="CharSDivNo"/>
        </w:rPr>
        <w:t> </w:t>
      </w:r>
      <w:r>
        <w:t>—</w:t>
      </w:r>
      <w:r>
        <w:rPr>
          <w:rStyle w:val="CharSDivText"/>
        </w:rPr>
        <w:t> </w:t>
      </w:r>
      <w:r>
        <w:rPr>
          <w:rStyle w:val="CharSchText"/>
        </w:rPr>
        <w:t>Fees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5387"/>
        <w:gridCol w:w="1418"/>
      </w:tblGrid>
      <w:tr>
        <w:trPr>
          <w:cantSplit/>
          <w:tblHeader/>
        </w:trPr>
        <w:tc>
          <w:tcPr>
            <w:tcW w:w="5387" w:type="dxa"/>
            <w:tcBorders>
              <w:top w:val="single" w:sz="4" w:space="0" w:color="auto"/>
              <w:bottom w:val="single" w:sz="4" w:space="0" w:color="auto"/>
            </w:tcBorders>
          </w:tcPr>
          <w:p>
            <w:pPr>
              <w:pStyle w:val="yTableNAm"/>
              <w:rPr>
                <w:b/>
                <w:iCs/>
              </w:rPr>
            </w:pPr>
            <w:r>
              <w:rPr>
                <w:b/>
                <w:iCs/>
              </w:rPr>
              <w:tab/>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5387"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NAm"/>
            </w:pPr>
            <w:r>
              <w:br/>
              <w:t>$32.80</w:t>
            </w:r>
          </w:p>
        </w:tc>
      </w:tr>
      <w:tr>
        <w:tc>
          <w:tcPr>
            <w:tcW w:w="5387"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18" w:type="dxa"/>
          </w:tcPr>
          <w:p>
            <w:pPr>
              <w:pStyle w:val="yTableNAm"/>
            </w:pPr>
          </w:p>
          <w:p>
            <w:pPr>
              <w:pStyle w:val="yTableNAm"/>
            </w:pPr>
            <w:r>
              <w:br/>
              <w:t>$268.00</w:t>
            </w:r>
          </w:p>
          <w:p>
            <w:pPr>
              <w:pStyle w:val="yTableNAm"/>
            </w:pPr>
            <w:r>
              <w:br/>
              <w:t>$148.50</w:t>
            </w:r>
          </w:p>
        </w:tc>
      </w:tr>
      <w:tr>
        <w:tc>
          <w:tcPr>
            <w:tcW w:w="5387"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18" w:type="dxa"/>
          </w:tcPr>
          <w:p>
            <w:pPr>
              <w:pStyle w:val="yTableNAm"/>
            </w:pPr>
            <w:r>
              <w:br/>
            </w:r>
            <w:r>
              <w:br/>
              <w:t>$30.20</w:t>
            </w:r>
          </w:p>
        </w:tc>
      </w:tr>
      <w:tr>
        <w:tc>
          <w:tcPr>
            <w:tcW w:w="5387" w:type="dxa"/>
          </w:tcPr>
          <w:p>
            <w:pPr>
              <w:pStyle w:val="yTableNAm"/>
              <w:ind w:left="556" w:hanging="556"/>
            </w:pPr>
            <w:r>
              <w:t>4.</w:t>
            </w:r>
            <w:r>
              <w:tab/>
              <w:t xml:space="preserve">Connection to standard public telephone facility where supply not independently metered (per day) </w:t>
            </w:r>
          </w:p>
        </w:tc>
        <w:tc>
          <w:tcPr>
            <w:tcW w:w="1418" w:type="dxa"/>
          </w:tcPr>
          <w:p>
            <w:pPr>
              <w:pStyle w:val="yTableNAm"/>
              <w:ind w:right="-155"/>
            </w:pPr>
            <w:r>
              <w:br/>
              <w:t>47.9717 cents</w:t>
            </w:r>
          </w:p>
        </w:tc>
      </w:tr>
      <w:tr>
        <w:tc>
          <w:tcPr>
            <w:tcW w:w="5387" w:type="dxa"/>
          </w:tcPr>
          <w:p>
            <w:pPr>
              <w:pStyle w:val="yTableNAm"/>
              <w:ind w:left="556" w:hanging="556"/>
            </w:pPr>
            <w:r>
              <w:t>5.</w:t>
            </w:r>
            <w:r>
              <w:tab/>
              <w:t>Temporary supply connection — </w:t>
            </w:r>
          </w:p>
        </w:tc>
        <w:tc>
          <w:tcPr>
            <w:tcW w:w="1418" w:type="dxa"/>
          </w:tcPr>
          <w:p>
            <w:pPr>
              <w:pStyle w:val="yTableNAm"/>
            </w:pPr>
          </w:p>
        </w:tc>
      </w:tr>
      <w:tr>
        <w:tc>
          <w:tcPr>
            <w:tcW w:w="5387" w:type="dxa"/>
          </w:tcPr>
          <w:p>
            <w:pPr>
              <w:pStyle w:val="yTableNAm"/>
              <w:tabs>
                <w:tab w:val="left" w:pos="1156"/>
              </w:tabs>
              <w:ind w:left="1156" w:hanging="1156"/>
            </w:pPr>
            <w:r>
              <w:tab/>
              <w:t>(a)</w:t>
            </w:r>
            <w:r>
              <w:tab/>
              <w:t>single phase (overhead) ................................</w:t>
            </w:r>
          </w:p>
        </w:tc>
        <w:tc>
          <w:tcPr>
            <w:tcW w:w="1418" w:type="dxa"/>
          </w:tcPr>
          <w:p>
            <w:pPr>
              <w:pStyle w:val="yTableNAm"/>
            </w:pPr>
            <w:r>
              <w:t>$300.00</w:t>
            </w:r>
          </w:p>
        </w:tc>
      </w:tr>
      <w:tr>
        <w:tc>
          <w:tcPr>
            <w:tcW w:w="5387" w:type="dxa"/>
          </w:tcPr>
          <w:p>
            <w:pPr>
              <w:pStyle w:val="yTableNAm"/>
              <w:tabs>
                <w:tab w:val="left" w:pos="1156"/>
              </w:tabs>
              <w:ind w:left="1156" w:hanging="1156"/>
            </w:pPr>
            <w:r>
              <w:tab/>
              <w:t>(b)</w:t>
            </w:r>
            <w:r>
              <w:tab/>
              <w:t>three phase (overhead) ..................................</w:t>
            </w:r>
          </w:p>
        </w:tc>
        <w:tc>
          <w:tcPr>
            <w:tcW w:w="1418" w:type="dxa"/>
          </w:tcPr>
          <w:p>
            <w:pPr>
              <w:pStyle w:val="yTableNAm"/>
            </w:pPr>
            <w:r>
              <w:t>$600.00</w:t>
            </w:r>
          </w:p>
        </w:tc>
      </w:tr>
      <w:tr>
        <w:tc>
          <w:tcPr>
            <w:tcW w:w="5387" w:type="dxa"/>
          </w:tcPr>
          <w:p>
            <w:pPr>
              <w:pStyle w:val="yTableNAm"/>
              <w:ind w:left="556" w:hanging="556"/>
            </w:pPr>
            <w:r>
              <w:t>6.</w:t>
            </w:r>
            <w:r>
              <w:tab/>
              <w:t>Meter testing — </w:t>
            </w:r>
          </w:p>
        </w:tc>
        <w:tc>
          <w:tcPr>
            <w:tcW w:w="1418" w:type="dxa"/>
          </w:tcPr>
          <w:p>
            <w:pPr>
              <w:pStyle w:val="yTableNAm"/>
            </w:pPr>
          </w:p>
        </w:tc>
      </w:tr>
      <w:tr>
        <w:tc>
          <w:tcPr>
            <w:tcW w:w="5387" w:type="dxa"/>
          </w:tcPr>
          <w:p>
            <w:pPr>
              <w:pStyle w:val="yTableNAm"/>
              <w:tabs>
                <w:tab w:val="left" w:pos="1156"/>
              </w:tabs>
              <w:ind w:left="1156" w:hanging="1156"/>
            </w:pPr>
            <w:r>
              <w:tab/>
              <w:t>(a)</w:t>
            </w:r>
            <w:r>
              <w:tab/>
              <w:t>standard meter testing fee .............................</w:t>
            </w:r>
          </w:p>
        </w:tc>
        <w:tc>
          <w:tcPr>
            <w:tcW w:w="1418" w:type="dxa"/>
          </w:tcPr>
          <w:p>
            <w:pPr>
              <w:pStyle w:val="yTableNAm"/>
            </w:pPr>
            <w:r>
              <w:t>$152.00</w:t>
            </w:r>
          </w:p>
        </w:tc>
      </w:tr>
      <w:tr>
        <w:tc>
          <w:tcPr>
            <w:tcW w:w="5387" w:type="dxa"/>
          </w:tcPr>
          <w:p>
            <w:pPr>
              <w:pStyle w:val="yTableNAm"/>
              <w:tabs>
                <w:tab w:val="left" w:pos="1156"/>
              </w:tabs>
              <w:ind w:left="1156" w:hanging="1156"/>
            </w:pPr>
            <w:r>
              <w:tab/>
              <w:t>(b)</w:t>
            </w:r>
            <w:r>
              <w:tab/>
              <w:t>reduced meter testing fee ..............................</w:t>
            </w:r>
          </w:p>
        </w:tc>
        <w:tc>
          <w:tcPr>
            <w:tcW w:w="1418" w:type="dxa"/>
          </w:tcPr>
          <w:p>
            <w:pPr>
              <w:pStyle w:val="yTableNAm"/>
            </w:pPr>
            <w:r>
              <w:t>$139.80</w:t>
            </w:r>
          </w:p>
        </w:tc>
      </w:tr>
      <w:tr>
        <w:tc>
          <w:tcPr>
            <w:tcW w:w="5387" w:type="dxa"/>
          </w:tcPr>
          <w:p>
            <w:pPr>
              <w:pStyle w:val="yTableNAm"/>
              <w:ind w:left="556" w:hanging="556"/>
            </w:pPr>
            <w:r>
              <w:t>7.</w:t>
            </w:r>
            <w:r>
              <w:tab/>
              <w:t>Disconnection of overhead service leads following unauthorised reconnection .......................................</w:t>
            </w:r>
          </w:p>
        </w:tc>
        <w:tc>
          <w:tcPr>
            <w:tcW w:w="1418" w:type="dxa"/>
          </w:tcPr>
          <w:p>
            <w:pPr>
              <w:pStyle w:val="yTableNAm"/>
            </w:pPr>
            <w:r>
              <w:br/>
              <w:t>$194.00</w:t>
            </w:r>
          </w:p>
        </w:tc>
      </w:tr>
      <w:tr>
        <w:tc>
          <w:tcPr>
            <w:tcW w:w="5387" w:type="dxa"/>
          </w:tcPr>
          <w:p>
            <w:pPr>
              <w:pStyle w:val="yTableNAm"/>
              <w:ind w:left="556" w:hanging="556"/>
            </w:pPr>
            <w:r>
              <w:t>8.</w:t>
            </w:r>
            <w:r>
              <w:tab/>
              <w:t>Meter reading where reading requested by consumer ..................................................................</w:t>
            </w:r>
          </w:p>
        </w:tc>
        <w:tc>
          <w:tcPr>
            <w:tcW w:w="1418" w:type="dxa"/>
          </w:tcPr>
          <w:p>
            <w:pPr>
              <w:pStyle w:val="yTableNAm"/>
            </w:pPr>
            <w:r>
              <w:br/>
              <w:t>$19.60</w:t>
            </w:r>
          </w:p>
        </w:tc>
      </w:tr>
      <w:tr>
        <w:tc>
          <w:tcPr>
            <w:tcW w:w="5387" w:type="dxa"/>
          </w:tcPr>
          <w:p>
            <w:pPr>
              <w:pStyle w:val="yTableNAm"/>
              <w:ind w:left="556" w:hanging="556"/>
            </w:pPr>
            <w:r>
              <w:t>9.</w:t>
            </w:r>
            <w:r>
              <w:tab/>
              <w:t>Supply of electricity to standard railway crossing lights (per day) .........................................................</w:t>
            </w:r>
          </w:p>
        </w:tc>
        <w:tc>
          <w:tcPr>
            <w:tcW w:w="1418" w:type="dxa"/>
          </w:tcPr>
          <w:p>
            <w:pPr>
              <w:pStyle w:val="yTableNAm"/>
              <w:ind w:right="-155"/>
            </w:pPr>
            <w:r>
              <w:br/>
              <w:t>61.3044 cents</w:t>
            </w:r>
          </w:p>
        </w:tc>
      </w:tr>
      <w:tr>
        <w:tc>
          <w:tcPr>
            <w:tcW w:w="5387" w:type="dxa"/>
          </w:tcPr>
          <w:p>
            <w:pPr>
              <w:pStyle w:val="yTableNAm"/>
              <w:ind w:left="556" w:hanging="556"/>
            </w:pPr>
            <w:r>
              <w:t>10.</w:t>
            </w:r>
            <w:r>
              <w:tab/>
              <w:t>Overdue account notices ..........................................</w:t>
            </w:r>
          </w:p>
        </w:tc>
        <w:tc>
          <w:tcPr>
            <w:tcW w:w="1418" w:type="dxa"/>
          </w:tcPr>
          <w:p>
            <w:pPr>
              <w:pStyle w:val="yTableNAm"/>
            </w:pPr>
            <w:r>
              <w:t>$4.50</w:t>
            </w:r>
          </w:p>
        </w:tc>
      </w:tr>
      <w:tr>
        <w:tc>
          <w:tcPr>
            <w:tcW w:w="5387"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18" w:type="dxa"/>
            <w:tcBorders>
              <w:bottom w:val="single" w:sz="4" w:space="0" w:color="auto"/>
            </w:tcBorders>
          </w:tcPr>
          <w:p>
            <w:pPr>
              <w:pStyle w:val="yTableNAm"/>
              <w:keepNext/>
            </w:pPr>
            <w:r>
              <w:br/>
              <w:t>$786.00</w:t>
            </w:r>
          </w:p>
        </w:tc>
      </w:tr>
    </w:tbl>
    <w:p>
      <w:pPr>
        <w:pStyle w:val="yFootnotesection"/>
      </w:pPr>
      <w:r>
        <w:tab/>
        <w:t>[Schedule 4 amended in Gazette 26 Jun 2007 p. 3017; 30 Mar 2009 p. 982 and 994; 26 Mar 2010 p. 1138 and 1141-2.]</w:t>
      </w:r>
    </w:p>
    <w:p>
      <w:pPr>
        <w:ind w:right="107"/>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98" w:name="_Toc113695922"/>
      <w:bookmarkStart w:id="199" w:name="_Toc131491089"/>
      <w:bookmarkStart w:id="200" w:name="_Toc152664698"/>
      <w:bookmarkStart w:id="201" w:name="_Toc152669129"/>
      <w:bookmarkStart w:id="202" w:name="_Toc171051504"/>
      <w:bookmarkStart w:id="203" w:name="_Toc226275326"/>
      <w:bookmarkStart w:id="204" w:name="_Toc226275366"/>
      <w:bookmarkStart w:id="205" w:name="_Toc233185427"/>
      <w:bookmarkStart w:id="206" w:name="_Toc238445955"/>
      <w:bookmarkStart w:id="207" w:name="_Toc238889059"/>
      <w:bookmarkStart w:id="208" w:name="_Toc238890145"/>
      <w:bookmarkStart w:id="209" w:name="_Toc240950074"/>
      <w:bookmarkStart w:id="210" w:name="_Toc257300175"/>
      <w:bookmarkStart w:id="211" w:name="_Toc257300258"/>
      <w:bookmarkStart w:id="212" w:name="_Toc265662077"/>
      <w:r>
        <w:t>Notes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13" w:name="_Toc70311430"/>
      <w:bookmarkStart w:id="214" w:name="_Toc113695923"/>
      <w:bookmarkStart w:id="215" w:name="_Toc265662078"/>
      <w:r>
        <w:t>Compilation table</w:t>
      </w:r>
      <w:bookmarkEnd w:id="213"/>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rPr>
                <w:sz w:val="19"/>
              </w:rPr>
            </w:pPr>
            <w:r>
              <w:rPr>
                <w:sz w:val="19"/>
              </w:rPr>
              <w:t>31 Mar 2006 p. 1225</w:t>
            </w:r>
            <w:r>
              <w:rPr>
                <w:sz w:val="19"/>
              </w:rPr>
              <w:noBreakHyphen/>
              <w:t>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w:t>
            </w:r>
            <w:r>
              <w:rPr>
                <w:i/>
                <w:sz w:val="19"/>
              </w:rPr>
              <w:noBreakHyphen/>
              <w:t>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c>
          <w:tcPr>
            <w:tcW w:w="3118" w:type="dxa"/>
          </w:tcPr>
          <w:p>
            <w:pPr>
              <w:pStyle w:val="nTable"/>
              <w:rPr>
                <w:i/>
                <w:sz w:val="19"/>
              </w:rPr>
            </w:pPr>
            <w:r>
              <w:rPr>
                <w:i/>
                <w:sz w:val="19"/>
              </w:rPr>
              <w:t>Energy Operators (Electricity Retail Corporation) (Charges) Amendment By</w:t>
            </w:r>
            <w:r>
              <w:rPr>
                <w:i/>
                <w:sz w:val="19"/>
              </w:rPr>
              <w:noBreakHyphen/>
              <w:t>laws 2007</w:t>
            </w:r>
          </w:p>
        </w:tc>
        <w:tc>
          <w:tcPr>
            <w:tcW w:w="1276" w:type="dxa"/>
          </w:tcPr>
          <w:p>
            <w:pPr>
              <w:pStyle w:val="nTable"/>
              <w:rPr>
                <w:sz w:val="19"/>
              </w:rPr>
            </w:pPr>
            <w:r>
              <w:rPr>
                <w:sz w:val="19"/>
              </w:rPr>
              <w:t>26 Jun 2007 p. 3013</w:t>
            </w:r>
            <w:r>
              <w:rPr>
                <w:sz w:val="19"/>
              </w:rPr>
              <w:noBreakHyphen/>
              <w:t>17</w:t>
            </w:r>
          </w:p>
        </w:tc>
        <w:tc>
          <w:tcPr>
            <w:tcW w:w="2693" w:type="dxa"/>
          </w:tcPr>
          <w:p>
            <w:pPr>
              <w:pStyle w:val="nTable"/>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rPr>
                <w:i/>
                <w:sz w:val="19"/>
              </w:rPr>
            </w:pPr>
            <w:r>
              <w:rPr>
                <w:i/>
                <w:sz w:val="19"/>
              </w:rPr>
              <w:t>Energy Operators (Electricity Retail Corporation) (Charges) Amendment By</w:t>
            </w:r>
            <w:r>
              <w:rPr>
                <w:i/>
                <w:sz w:val="19"/>
              </w:rPr>
              <w:noBreakHyphen/>
              <w:t>laws 2009</w:t>
            </w:r>
          </w:p>
        </w:tc>
        <w:tc>
          <w:tcPr>
            <w:tcW w:w="1276" w:type="dxa"/>
          </w:tcPr>
          <w:p>
            <w:pPr>
              <w:pStyle w:val="nTable"/>
              <w:rPr>
                <w:sz w:val="19"/>
              </w:rPr>
            </w:pPr>
            <w:r>
              <w:rPr>
                <w:sz w:val="19"/>
              </w:rPr>
              <w:t>30 Mar 2009 p. 967</w:t>
            </w:r>
            <w:r>
              <w:rPr>
                <w:sz w:val="19"/>
              </w:rPr>
              <w:noBreakHyphen/>
              <w:t>95</w:t>
            </w:r>
          </w:p>
        </w:tc>
        <w:tc>
          <w:tcPr>
            <w:tcW w:w="2693" w:type="dxa"/>
          </w:tcPr>
          <w:p>
            <w:pPr>
              <w:pStyle w:val="nTable"/>
              <w:rPr>
                <w:sz w:val="19"/>
              </w:rPr>
            </w:pPr>
            <w:r>
              <w:t>bl. 1 and 2: 30 Mar 2009 (see bl. 2(a));</w:t>
            </w:r>
            <w:r>
              <w:br/>
              <w:t>bl. 3 and Pt. 2: 1 Apr 2009 (see bl. 2(b));</w:t>
            </w:r>
            <w:r>
              <w:br/>
              <w:t>Pt. 3: 1 Jul 2009 (see bl. 2(c))</w:t>
            </w:r>
          </w:p>
        </w:tc>
      </w:tr>
      <w:tr>
        <w:trPr>
          <w:cantSplit/>
        </w:trPr>
        <w:tc>
          <w:tcPr>
            <w:tcW w:w="7087" w:type="dxa"/>
            <w:gridSpan w:val="3"/>
          </w:tcPr>
          <w:p>
            <w:pPr>
              <w:pStyle w:val="nTable"/>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Borders>
              <w:bottom w:val="single" w:sz="4" w:space="0" w:color="auto"/>
            </w:tcBorders>
          </w:tcPr>
          <w:p>
            <w:pPr>
              <w:pStyle w:val="nTable"/>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Borders>
              <w:bottom w:val="single" w:sz="4" w:space="0" w:color="auto"/>
            </w:tcBorders>
          </w:tcPr>
          <w:p>
            <w:pPr>
              <w:pStyle w:val="nTable"/>
              <w:rPr>
                <w:sz w:val="19"/>
              </w:rPr>
            </w:pPr>
            <w:r>
              <w:rPr>
                <w:sz w:val="19"/>
              </w:rPr>
              <w:t>26 Mar 2010 p. 1135-42</w:t>
            </w:r>
          </w:p>
        </w:tc>
        <w:tc>
          <w:tcPr>
            <w:tcW w:w="2693" w:type="dxa"/>
            <w:tcBorders>
              <w:bottom w:val="single" w:sz="4" w:space="0" w:color="auto"/>
            </w:tcBorders>
          </w:tcPr>
          <w:p>
            <w:pPr>
              <w:pStyle w:val="nTable"/>
              <w:rPr>
                <w:sz w:val="19"/>
              </w:rPr>
            </w:pPr>
            <w:r>
              <w:rPr>
                <w:sz w:val="19"/>
              </w:rPr>
              <w:t>Pt. 1: 26 Mar 2010 (see bl. 2(a));</w:t>
            </w:r>
            <w:r>
              <w:rPr>
                <w:sz w:val="19"/>
              </w:rPr>
              <w:br/>
              <w:t>Pt. 2: 1 Apr 2010 (see bl. 2(b));</w:t>
            </w:r>
            <w:r>
              <w:rPr>
                <w:sz w:val="19"/>
              </w:rPr>
              <w:br/>
              <w:t>Pt. 3: 1 Jul 2010 (see bl. 2(c))</w:t>
            </w:r>
          </w:p>
        </w:tc>
      </w:tr>
    </w:tbl>
    <w:p>
      <w:bookmarkStart w:id="216" w:name="UpToHere"/>
      <w:bookmarkEnd w:id="216"/>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17" w:name="_Toc238890147"/>
      <w:bookmarkStart w:id="218" w:name="_Toc240950076"/>
      <w:bookmarkStart w:id="219" w:name="_Toc257300178"/>
      <w:bookmarkStart w:id="220" w:name="_Toc257300261"/>
      <w:bookmarkStart w:id="221" w:name="_Toc265662079"/>
      <w:r>
        <w:rPr>
          <w:sz w:val="28"/>
        </w:rPr>
        <w:t>Defined Terms</w:t>
      </w:r>
      <w:bookmarkEnd w:id="217"/>
      <w:bookmarkEnd w:id="218"/>
      <w:bookmarkEnd w:id="219"/>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2" w:name="DefinedTerms"/>
      <w:bookmarkEnd w:id="222"/>
      <w:r>
        <w:t>corporation</w:t>
      </w:r>
      <w:r>
        <w:tab/>
        <w:t>3</w:t>
      </w:r>
    </w:p>
    <w:p>
      <w:pPr>
        <w:pStyle w:val="DefinedTerms"/>
      </w:pPr>
      <w:r>
        <w:t>dwelling</w:t>
      </w:r>
      <w:r>
        <w:tab/>
        <w:t>3</w:t>
      </w:r>
    </w:p>
    <w:p>
      <w:pPr>
        <w:pStyle w:val="DefinedTerms"/>
      </w:pPr>
      <w:r>
        <w:t>eligible person</w:t>
      </w:r>
      <w:r>
        <w:tab/>
        <w:t>9(1)</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standard time</w:t>
      </w:r>
      <w:r>
        <w:tab/>
        <w:t>3A(1)</w:t>
      </w:r>
    </w:p>
    <w:p>
      <w:pPr>
        <w:pStyle w:val="DefinedTerms"/>
      </w:pPr>
      <w:r>
        <w:t>summer time</w:t>
      </w:r>
      <w:r>
        <w:tab/>
        <w:t>3A(1)</w:t>
      </w:r>
    </w:p>
    <w:p>
      <w:pPr>
        <w:pStyle w:val="DefinedTerms"/>
      </w:pPr>
      <w:r>
        <w:t>Tariff</w:t>
      </w:r>
      <w:r>
        <w:tab/>
        <w:t>3</w:t>
      </w:r>
    </w:p>
    <w:p>
      <w:pPr>
        <w:pStyle w:val="DefinedTerms"/>
      </w:pPr>
      <w:r>
        <w:t>unit</w:t>
      </w:r>
      <w:r>
        <w:tab/>
        <w:t>3</w:t>
      </w:r>
    </w:p>
    <w:p>
      <w:pPr>
        <w:pStyle w:val="DefinedTerms"/>
        <w:sectPr>
          <w:headerReference w:type="even" r:id="rId35"/>
          <w:headerReference w:type="default" r:id="rId36"/>
          <w:footerReference w:type="even"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4863</Words>
  <Characters>23929</Characters>
  <Application>Microsoft Office Word</Application>
  <DocSecurity>0</DocSecurity>
  <Lines>886</Lines>
  <Paragraphs>654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(Electricity Retail Corporation) (Charges) By-laws 2006</vt:lpstr>
      <vt:lpstr>    Schedule 1 — Supply charges</vt:lpstr>
      <vt:lpstr>    Schedule 2 — Street lighting</vt:lpstr>
      <vt:lpstr>    Schedule 3 — Meter rental</vt:lpstr>
      <vt:lpstr>    Schedule 4 — Fees</vt:lpstr>
      <vt:lpstr>    Notes</vt:lpstr>
      <vt:lpstr>    Defined Terms</vt:lpstr>
    </vt:vector>
  </TitlesOfParts>
  <Manager/>
  <Company/>
  <LinksUpToDate>false</LinksUpToDate>
  <CharactersWithSpaces>28138</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2006 - 01-c0-01</dc:title>
  <dc:subject/>
  <dc:creator/>
  <cp:keywords/>
  <dc:description/>
  <cp:lastModifiedBy>svcMRProcess</cp:lastModifiedBy>
  <cp:revision>4</cp:revision>
  <cp:lastPrinted>2009-09-18T04:03:00Z</cp:lastPrinted>
  <dcterms:created xsi:type="dcterms:W3CDTF">2020-02-24T14:27:00Z</dcterms:created>
  <dcterms:modified xsi:type="dcterms:W3CDTF">2020-02-24T14:27:00Z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38407</vt:i4>
  </property>
  <property fmtid="{D5CDD505-2E9C-101B-9397-08002B2CF9AE}" pid="6" name="AsAtDate">
    <vt:lpwstr>01 Jul 2010</vt:lpwstr>
  </property>
  <property fmtid="{D5CDD505-2E9C-101B-9397-08002B2CF9AE}" pid="7" name="Suffix">
    <vt:lpwstr>01-c0-01</vt:lpwstr>
  </property>
  <property fmtid="{D5CDD505-2E9C-101B-9397-08002B2CF9AE}" pid="8" name="ReprintNo">
    <vt:lpwstr>1</vt:lpwstr>
  </property>
</Properties>
</file>