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Land Valuers Licensing Act 1978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Regulations 1979</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Land Valuers Licensing Regulations 1979</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_Toc265667661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used in these regulations</w:t>
      </w:r>
      <w:r>
        <w:tab/>
      </w:r>
      <w:r>
        <w:fldChar w:fldCharType="begin"/>
      </w:r>
      <w:r>
        <w:instrText xml:space="preserve"> PAGEREF _Toc265667662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_Toc265667663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_Toc265667664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_Toc265667665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_Toc265667666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_Toc265667667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_Toc265667668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_Toc265667669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_Toc265667670 \h </w:instrText>
      </w:r>
      <w:r>
        <w:fldChar w:fldCharType="separate"/>
      </w:r>
      <w:r>
        <w:t>4</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_Toc265667671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_Toc265667672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_Toc265667673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_Toc265667678 \h </w:instrText>
      </w:r>
      <w:r>
        <w:fldChar w:fldCharType="separate"/>
      </w:r>
      <w:r>
        <w:t>11</w:t>
      </w:r>
      <w:r>
        <w:fldChar w:fldCharType="end"/>
      </w:r>
    </w:p>
    <w:p>
      <w:pPr>
        <w:pStyle w:val="TOC2"/>
        <w:tabs>
          <w:tab w:val="right" w:leader="dot" w:pos="7086"/>
        </w:tabs>
        <w:rPr>
          <w:b w:val="0"/>
          <w:sz w:val="24"/>
          <w:szCs w:val="24"/>
        </w:rPr>
      </w:pPr>
      <w:r>
        <w:rPr>
          <w:szCs w:val="26"/>
        </w:rPr>
        <w:t>Defined Terms</w:t>
      </w:r>
    </w:p>
    <w:p>
      <w:pPr>
        <w:pStyle w:val="TOC2"/>
        <w:keepNext w:val="0"/>
        <w:spacing w:before="0" w:after="0"/>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34380874"/>
      <w:bookmarkStart w:id="2" w:name="_Toc475755660"/>
      <w:bookmarkStart w:id="3" w:name="_Toc13119607"/>
      <w:bookmarkStart w:id="4" w:name="_Toc265667661"/>
      <w:r>
        <w:rPr>
          <w:rStyle w:val="CharSectno"/>
        </w:rPr>
        <w:t>1</w:t>
      </w:r>
      <w:r>
        <w:rPr>
          <w:snapToGrid w:val="0"/>
        </w:rPr>
        <w:t xml:space="preserve">. </w:t>
      </w:r>
      <w:r>
        <w:rPr>
          <w:snapToGrid w:val="0"/>
        </w:rPr>
        <w:tab/>
        <w:t>Citation</w:t>
      </w:r>
      <w:bookmarkEnd w:id="1"/>
      <w:bookmarkEnd w:id="2"/>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5" w:name="_Toc434380875"/>
      <w:bookmarkStart w:id="6" w:name="_Toc475755661"/>
      <w:bookmarkStart w:id="7" w:name="_Toc13119608"/>
      <w:bookmarkStart w:id="8" w:name="_Toc265667662"/>
      <w:r>
        <w:rPr>
          <w:rStyle w:val="CharSectno"/>
        </w:rPr>
        <w:t>2</w:t>
      </w:r>
      <w:r>
        <w:rPr>
          <w:snapToGrid w:val="0"/>
        </w:rPr>
        <w:t xml:space="preserve">. </w:t>
      </w:r>
      <w:r>
        <w:rPr>
          <w:snapToGrid w:val="0"/>
        </w:rPr>
        <w:tab/>
      </w:r>
      <w:bookmarkEnd w:id="5"/>
      <w:bookmarkEnd w:id="6"/>
      <w:bookmarkEnd w:id="7"/>
      <w:r>
        <w:rPr>
          <w:snapToGrid w:val="0"/>
        </w:rPr>
        <w:t>Terms used in these regulations</w:t>
      </w:r>
      <w:bookmarkEnd w:id="8"/>
    </w:p>
    <w:p>
      <w:pPr>
        <w:pStyle w:val="Subsection"/>
        <w:spacing w:before="120"/>
        <w:rPr>
          <w:snapToGrid w:val="0"/>
        </w:rPr>
      </w:pPr>
      <w:r>
        <w:rPr>
          <w:snapToGrid w:val="0"/>
        </w:rPr>
        <w:tab/>
      </w:r>
      <w:r>
        <w:rPr>
          <w:snapToGrid w:val="0"/>
        </w:rPr>
        <w:tab/>
        <w:t>In these regulations —</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9" w:name="_Toc434380876"/>
      <w:bookmarkStart w:id="10" w:name="_Toc475755662"/>
      <w:bookmarkStart w:id="11" w:name="_Toc13119609"/>
      <w:bookmarkStart w:id="12" w:name="_Toc265667663"/>
      <w:r>
        <w:rPr>
          <w:rStyle w:val="CharSectno"/>
        </w:rPr>
        <w:t>3</w:t>
      </w:r>
      <w:r>
        <w:rPr>
          <w:snapToGrid w:val="0"/>
        </w:rPr>
        <w:t xml:space="preserve">. </w:t>
      </w:r>
      <w:r>
        <w:rPr>
          <w:snapToGrid w:val="0"/>
        </w:rPr>
        <w:tab/>
        <w:t>Common seal</w:t>
      </w:r>
      <w:bookmarkEnd w:id="9"/>
      <w:bookmarkEnd w:id="10"/>
      <w:bookmarkEnd w:id="11"/>
      <w:bookmarkEnd w:id="12"/>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3" w:name="_Toc434380877"/>
      <w:bookmarkStart w:id="14" w:name="_Toc475755663"/>
      <w:bookmarkStart w:id="15" w:name="_Toc13119610"/>
      <w:bookmarkStart w:id="16" w:name="_Toc265667664"/>
      <w:r>
        <w:rPr>
          <w:rStyle w:val="CharSectno"/>
        </w:rPr>
        <w:t>4</w:t>
      </w:r>
      <w:r>
        <w:rPr>
          <w:snapToGrid w:val="0"/>
        </w:rPr>
        <w:t xml:space="preserve">. </w:t>
      </w:r>
      <w:r>
        <w:rPr>
          <w:snapToGrid w:val="0"/>
        </w:rPr>
        <w:tab/>
        <w:t>Fees</w:t>
      </w:r>
      <w:bookmarkEnd w:id="13"/>
      <w:bookmarkEnd w:id="14"/>
      <w:bookmarkEnd w:id="15"/>
      <w:bookmarkEnd w:id="16"/>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17" w:name="_Toc434380878"/>
      <w:bookmarkStart w:id="18" w:name="_Toc475755664"/>
      <w:bookmarkStart w:id="19" w:name="_Toc13119611"/>
      <w:bookmarkStart w:id="20" w:name="_Toc265667665"/>
      <w:r>
        <w:rPr>
          <w:rStyle w:val="CharSectno"/>
        </w:rPr>
        <w:t>4A</w:t>
      </w:r>
      <w:r>
        <w:rPr>
          <w:snapToGrid w:val="0"/>
        </w:rPr>
        <w:t xml:space="preserve">. </w:t>
      </w:r>
      <w:r>
        <w:rPr>
          <w:snapToGrid w:val="0"/>
        </w:rPr>
        <w:tab/>
        <w:t>Prescribed periods</w:t>
      </w:r>
      <w:bookmarkEnd w:id="17"/>
      <w:bookmarkEnd w:id="18"/>
      <w:bookmarkEnd w:id="19"/>
      <w:bookmarkEnd w:id="20"/>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1" w:name="_Toc434380879"/>
      <w:bookmarkStart w:id="22" w:name="_Toc475755665"/>
      <w:bookmarkStart w:id="23" w:name="_Toc13119612"/>
      <w:bookmarkStart w:id="24" w:name="_Toc265667666"/>
      <w:r>
        <w:rPr>
          <w:rStyle w:val="CharSectno"/>
        </w:rPr>
        <w:t>5</w:t>
      </w:r>
      <w:r>
        <w:rPr>
          <w:snapToGrid w:val="0"/>
        </w:rPr>
        <w:t xml:space="preserve">. </w:t>
      </w:r>
      <w:r>
        <w:rPr>
          <w:snapToGrid w:val="0"/>
        </w:rPr>
        <w:tab/>
        <w:t>Notice of application for licence</w:t>
      </w:r>
      <w:bookmarkEnd w:id="21"/>
      <w:bookmarkEnd w:id="22"/>
      <w:bookmarkEnd w:id="23"/>
      <w:bookmarkEnd w:id="24"/>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25" w:name="_Toc265667667"/>
      <w:bookmarkStart w:id="26" w:name="_Toc434380880"/>
      <w:bookmarkStart w:id="27" w:name="_Toc475755666"/>
      <w:bookmarkStart w:id="28" w:name="_Toc13119613"/>
      <w:r>
        <w:rPr>
          <w:rStyle w:val="CharSectno"/>
        </w:rPr>
        <w:t>5A</w:t>
      </w:r>
      <w:r>
        <w:t>.</w:t>
      </w:r>
      <w:r>
        <w:tab/>
        <w:t>Duplicate licence</w:t>
      </w:r>
      <w:bookmarkEnd w:id="25"/>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29" w:name="_Toc265667668"/>
      <w:r>
        <w:rPr>
          <w:rStyle w:val="CharSectno"/>
        </w:rPr>
        <w:t>6</w:t>
      </w:r>
      <w:r>
        <w:rPr>
          <w:snapToGrid w:val="0"/>
        </w:rPr>
        <w:t xml:space="preserve">. </w:t>
      </w:r>
      <w:r>
        <w:rPr>
          <w:snapToGrid w:val="0"/>
        </w:rPr>
        <w:tab/>
        <w:t>Particulars to be included in register</w:t>
      </w:r>
      <w:bookmarkEnd w:id="26"/>
      <w:bookmarkEnd w:id="27"/>
      <w:bookmarkEnd w:id="28"/>
      <w:bookmarkEnd w:id="29"/>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0" w:name="_Toc434380881"/>
      <w:bookmarkStart w:id="31" w:name="_Toc475755667"/>
      <w:bookmarkStart w:id="32" w:name="_Toc13119614"/>
      <w:bookmarkStart w:id="33" w:name="_Toc265667669"/>
      <w:r>
        <w:rPr>
          <w:rStyle w:val="CharSectno"/>
        </w:rPr>
        <w:t>7</w:t>
      </w:r>
      <w:r>
        <w:rPr>
          <w:snapToGrid w:val="0"/>
        </w:rPr>
        <w:t xml:space="preserve">. </w:t>
      </w:r>
      <w:r>
        <w:rPr>
          <w:snapToGrid w:val="0"/>
        </w:rPr>
        <w:tab/>
        <w:t>Change of particulars</w:t>
      </w:r>
      <w:bookmarkEnd w:id="30"/>
      <w:bookmarkEnd w:id="31"/>
      <w:bookmarkEnd w:id="32"/>
      <w:bookmarkEnd w:id="33"/>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4" w:name="_Toc434380882"/>
      <w:bookmarkStart w:id="35" w:name="_Toc475755668"/>
      <w:bookmarkStart w:id="36" w:name="_Toc13119615"/>
      <w:bookmarkStart w:id="37" w:name="_Toc193180075"/>
      <w:bookmarkStart w:id="38" w:name="_Toc265667670"/>
      <w:bookmarkStart w:id="39" w:name="_Toc434380883"/>
      <w:bookmarkStart w:id="40" w:name="_Toc475755669"/>
      <w:bookmarkStart w:id="41" w:name="_Toc13119616"/>
      <w:r>
        <w:rPr>
          <w:rStyle w:val="CharSectno"/>
        </w:rPr>
        <w:t>8</w:t>
      </w:r>
      <w:r>
        <w:rPr>
          <w:snapToGrid w:val="0"/>
        </w:rPr>
        <w:t xml:space="preserve">. </w:t>
      </w:r>
      <w:r>
        <w:rPr>
          <w:snapToGrid w:val="0"/>
        </w:rPr>
        <w:tab/>
        <w:t>Prescribed qualifications</w:t>
      </w:r>
      <w:bookmarkEnd w:id="34"/>
      <w:bookmarkEnd w:id="35"/>
      <w:bookmarkEnd w:id="36"/>
      <w:bookmarkEnd w:id="37"/>
      <w:bookmarkEnd w:id="38"/>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42" w:name="_Toc265667671"/>
      <w:r>
        <w:rPr>
          <w:rStyle w:val="CharSectno"/>
        </w:rPr>
        <w:t>9</w:t>
      </w:r>
      <w:r>
        <w:rPr>
          <w:snapToGrid w:val="0"/>
        </w:rPr>
        <w:t xml:space="preserve">. </w:t>
      </w:r>
      <w:r>
        <w:rPr>
          <w:snapToGrid w:val="0"/>
        </w:rPr>
        <w:tab/>
        <w:t>Recovery of fees and costs</w:t>
      </w:r>
      <w:bookmarkEnd w:id="39"/>
      <w:bookmarkEnd w:id="40"/>
      <w:bookmarkEnd w:id="41"/>
      <w:bookmarkEnd w:id="4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3" w:name="_Toc265667672"/>
      <w:r>
        <w:rPr>
          <w:rStyle w:val="CharSectno"/>
        </w:rPr>
        <w:t>10</w:t>
      </w:r>
      <w:r>
        <w:t>.</w:t>
      </w:r>
      <w:r>
        <w:tab/>
        <w:t>Infringement notices</w:t>
      </w:r>
      <w:bookmarkEnd w:id="4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4" w:name="_Toc265667673"/>
      <w:r>
        <w:rPr>
          <w:rStyle w:val="CharSectno"/>
        </w:rPr>
        <w:t>11</w:t>
      </w:r>
      <w:r>
        <w:t>.</w:t>
      </w:r>
      <w:r>
        <w:tab/>
        <w:t>Forms</w:t>
      </w:r>
      <w:bookmarkEnd w:id="4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5" w:name="_Toc265667674"/>
      <w:bookmarkStart w:id="46" w:name="_Toc146619021"/>
      <w:bookmarkStart w:id="47" w:name="_Toc146697347"/>
      <w:bookmarkStart w:id="48" w:name="_Toc170185415"/>
      <w:bookmarkStart w:id="49" w:name="_Toc170725079"/>
      <w:bookmarkStart w:id="50" w:name="_Toc189626350"/>
      <w:bookmarkStart w:id="51" w:name="_Toc189627517"/>
      <w:bookmarkStart w:id="52" w:name="_Toc195071824"/>
      <w:bookmarkStart w:id="53" w:name="_Toc197234336"/>
      <w:bookmarkStart w:id="54" w:name="_Toc197235957"/>
      <w:bookmarkStart w:id="55" w:name="_Toc202520757"/>
      <w:bookmarkStart w:id="56" w:name="_Toc233701184"/>
      <w:bookmarkStart w:id="57" w:name="_Toc233701435"/>
      <w:r>
        <w:rPr>
          <w:rStyle w:val="CharSchNo"/>
        </w:rPr>
        <w:t>Schedule 1</w:t>
      </w:r>
      <w:r>
        <w:t> — </w:t>
      </w:r>
      <w:r>
        <w:rPr>
          <w:rStyle w:val="CharSchText"/>
        </w:rPr>
        <w:t>Fees</w:t>
      </w:r>
      <w:bookmarkEnd w:id="45"/>
    </w:p>
    <w:p>
      <w:pPr>
        <w:pStyle w:val="yShoulderClause"/>
      </w:pPr>
      <w:r>
        <w:t>[r. 4, 5A]</w:t>
      </w:r>
    </w:p>
    <w:p>
      <w:pPr>
        <w:pStyle w:val="yFootnoteheading"/>
        <w:spacing w:after="120"/>
      </w:pPr>
      <w:r>
        <w:tab/>
        <w:t>[Heading inserted in Gazette 25 Jun 2010 p. 2848.]</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678"/>
        <w:gridCol w:w="992"/>
      </w:tblGrid>
      <w:tr>
        <w:trPr>
          <w:tblHeader/>
        </w:trPr>
        <w:tc>
          <w:tcPr>
            <w:tcW w:w="567" w:type="dxa"/>
          </w:tcPr>
          <w:p>
            <w:pPr>
              <w:pStyle w:val="yTableNAm"/>
            </w:pPr>
          </w:p>
        </w:tc>
        <w:tc>
          <w:tcPr>
            <w:tcW w:w="4678" w:type="dxa"/>
          </w:tcPr>
          <w:p>
            <w:pPr>
              <w:pStyle w:val="yTableNAm"/>
            </w:pPr>
          </w:p>
        </w:tc>
        <w:tc>
          <w:tcPr>
            <w:tcW w:w="992" w:type="dxa"/>
          </w:tcPr>
          <w:p>
            <w:pPr>
              <w:pStyle w:val="yTableNAm"/>
              <w:jc w:val="center"/>
              <w:rPr>
                <w:b/>
                <w:bCs/>
              </w:rPr>
            </w:pPr>
            <w:r>
              <w:rPr>
                <w:b/>
                <w:bCs/>
              </w:rPr>
              <w:t>$</w:t>
            </w:r>
          </w:p>
        </w:tc>
      </w:tr>
      <w:tr>
        <w:tc>
          <w:tcPr>
            <w:tcW w:w="567" w:type="dxa"/>
          </w:tcPr>
          <w:p>
            <w:pPr>
              <w:pStyle w:val="yTableNAm"/>
            </w:pPr>
            <w:r>
              <w:t>1.</w:t>
            </w:r>
          </w:p>
        </w:tc>
        <w:tc>
          <w:tcPr>
            <w:tcW w:w="4678" w:type="dxa"/>
          </w:tcPr>
          <w:p>
            <w:pPr>
              <w:pStyle w:val="yTableNAm"/>
              <w:tabs>
                <w:tab w:val="left" w:leader="dot" w:pos="4253"/>
                <w:tab w:val="left" w:leader="dot" w:pos="4536"/>
              </w:tabs>
            </w:pPr>
            <w:r>
              <w:t xml:space="preserve">Fee for a licence (period of 3 years) </w:t>
            </w:r>
            <w:r>
              <w:tab/>
            </w:r>
          </w:p>
        </w:tc>
        <w:tc>
          <w:tcPr>
            <w:tcW w:w="992" w:type="dxa"/>
          </w:tcPr>
          <w:p>
            <w:pPr>
              <w:pStyle w:val="yTableNAm"/>
              <w:tabs>
                <w:tab w:val="clear" w:pos="567"/>
                <w:tab w:val="decimal" w:pos="362"/>
              </w:tabs>
            </w:pPr>
            <w:r>
              <w:t>702.00</w:t>
            </w:r>
          </w:p>
        </w:tc>
      </w:tr>
      <w:tr>
        <w:tc>
          <w:tcPr>
            <w:tcW w:w="567" w:type="dxa"/>
          </w:tcPr>
          <w:p>
            <w:pPr>
              <w:pStyle w:val="yTableNAm"/>
            </w:pPr>
            <w:r>
              <w:t>2.</w:t>
            </w:r>
          </w:p>
        </w:tc>
        <w:tc>
          <w:tcPr>
            <w:tcW w:w="4678" w:type="dxa"/>
          </w:tcPr>
          <w:p>
            <w:pPr>
              <w:pStyle w:val="yTableNAm"/>
              <w:tabs>
                <w:tab w:val="left" w:leader="dot" w:pos="4253"/>
                <w:tab w:val="left" w:leader="dot" w:pos="4536"/>
              </w:tabs>
            </w:pPr>
            <w:r>
              <w:t xml:space="preserve">Fee for renewal of licence </w:t>
            </w:r>
            <w:r>
              <w:tab/>
            </w:r>
          </w:p>
        </w:tc>
        <w:tc>
          <w:tcPr>
            <w:tcW w:w="992" w:type="dxa"/>
          </w:tcPr>
          <w:p>
            <w:pPr>
              <w:pStyle w:val="yTableNAm"/>
              <w:tabs>
                <w:tab w:val="clear" w:pos="567"/>
                <w:tab w:val="decimal" w:pos="362"/>
              </w:tabs>
            </w:pPr>
            <w:r>
              <w:t>702.00</w:t>
            </w:r>
          </w:p>
        </w:tc>
      </w:tr>
      <w:tr>
        <w:tc>
          <w:tcPr>
            <w:tcW w:w="567" w:type="dxa"/>
          </w:tcPr>
          <w:p>
            <w:pPr>
              <w:pStyle w:val="yTableNAm"/>
            </w:pPr>
            <w:r>
              <w:t>3.</w:t>
            </w:r>
          </w:p>
        </w:tc>
        <w:tc>
          <w:tcPr>
            <w:tcW w:w="4678" w:type="dxa"/>
          </w:tcPr>
          <w:p>
            <w:pPr>
              <w:pStyle w:val="yTableNAm"/>
              <w:tabs>
                <w:tab w:val="left" w:leader="dot" w:pos="4253"/>
                <w:tab w:val="left" w:leader="dot" w:pos="4536"/>
              </w:tabs>
            </w:pPr>
            <w:r>
              <w:t xml:space="preserve">Fee for duplicate licence </w:t>
            </w:r>
            <w:r>
              <w:tab/>
            </w:r>
          </w:p>
        </w:tc>
        <w:tc>
          <w:tcPr>
            <w:tcW w:w="992" w:type="dxa"/>
          </w:tcPr>
          <w:p>
            <w:pPr>
              <w:pStyle w:val="yTableNAm"/>
              <w:tabs>
                <w:tab w:val="clear" w:pos="567"/>
                <w:tab w:val="decimal" w:pos="362"/>
              </w:tabs>
            </w:pPr>
            <w:r>
              <w:t>30.75</w:t>
            </w:r>
          </w:p>
        </w:tc>
      </w:tr>
      <w:tr>
        <w:tc>
          <w:tcPr>
            <w:tcW w:w="567" w:type="dxa"/>
          </w:tcPr>
          <w:p>
            <w:pPr>
              <w:pStyle w:val="yTableNAm"/>
            </w:pPr>
            <w:r>
              <w:t>4.</w:t>
            </w:r>
          </w:p>
        </w:tc>
        <w:tc>
          <w:tcPr>
            <w:tcW w:w="4678" w:type="dxa"/>
          </w:tcPr>
          <w:p>
            <w:pPr>
              <w:pStyle w:val="yTableNAm"/>
              <w:tabs>
                <w:tab w:val="left" w:leader="dot" w:pos="4253"/>
                <w:tab w:val="left" w:leader="dot" w:pos="4536"/>
              </w:tabs>
            </w:pPr>
            <w:r>
              <w:t xml:space="preserve">Fee to inspect register </w:t>
            </w:r>
            <w:r>
              <w:tab/>
            </w:r>
          </w:p>
        </w:tc>
        <w:tc>
          <w:tcPr>
            <w:tcW w:w="992" w:type="dxa"/>
          </w:tcPr>
          <w:p>
            <w:pPr>
              <w:pStyle w:val="yTableNAm"/>
              <w:tabs>
                <w:tab w:val="clear" w:pos="567"/>
                <w:tab w:val="decimal" w:pos="362"/>
              </w:tabs>
            </w:pPr>
            <w:r>
              <w:t>10.20</w:t>
            </w:r>
          </w:p>
        </w:tc>
      </w:tr>
      <w:tr>
        <w:tc>
          <w:tcPr>
            <w:tcW w:w="567" w:type="dxa"/>
          </w:tcPr>
          <w:p>
            <w:pPr>
              <w:pStyle w:val="yTableNAm"/>
            </w:pPr>
            <w:r>
              <w:t>5.</w:t>
            </w:r>
          </w:p>
        </w:tc>
        <w:tc>
          <w:tcPr>
            <w:tcW w:w="4678" w:type="dxa"/>
          </w:tcPr>
          <w:p>
            <w:pPr>
              <w:pStyle w:val="yTableNAm"/>
              <w:tabs>
                <w:tab w:val="left" w:leader="dot" w:pos="4253"/>
                <w:tab w:val="left" w:leader="dot" w:pos="4536"/>
              </w:tabs>
            </w:pPr>
            <w:r>
              <w:t xml:space="preserve">Fee for certificate as to an individual registration in the register — </w:t>
            </w:r>
          </w:p>
        </w:tc>
        <w:tc>
          <w:tcPr>
            <w:tcW w:w="992" w:type="dxa"/>
          </w:tcPr>
          <w:p>
            <w:pPr>
              <w:pStyle w:val="yTableNAm"/>
              <w:tabs>
                <w:tab w:val="clear" w:pos="567"/>
                <w:tab w:val="decimal" w:pos="362"/>
              </w:tabs>
            </w:pPr>
          </w:p>
        </w:tc>
      </w:tr>
      <w:tr>
        <w:tc>
          <w:tcPr>
            <w:tcW w:w="567" w:type="dxa"/>
          </w:tcPr>
          <w:p>
            <w:pPr>
              <w:pStyle w:val="yTableNAm"/>
            </w:pPr>
          </w:p>
        </w:tc>
        <w:tc>
          <w:tcPr>
            <w:tcW w:w="4678" w:type="dxa"/>
          </w:tcPr>
          <w:p>
            <w:pPr>
              <w:pStyle w:val="yTableNAm"/>
              <w:tabs>
                <w:tab w:val="left" w:leader="dot" w:pos="4253"/>
                <w:tab w:val="left" w:leader="dot" w:pos="4536"/>
              </w:tabs>
            </w:pPr>
            <w:r>
              <w:t xml:space="preserve">first page </w:t>
            </w:r>
            <w:r>
              <w:tab/>
            </w:r>
          </w:p>
        </w:tc>
        <w:tc>
          <w:tcPr>
            <w:tcW w:w="992" w:type="dxa"/>
          </w:tcPr>
          <w:p>
            <w:pPr>
              <w:pStyle w:val="yTableNAm"/>
              <w:tabs>
                <w:tab w:val="clear" w:pos="567"/>
                <w:tab w:val="decimal" w:pos="362"/>
              </w:tabs>
            </w:pPr>
            <w:r>
              <w:t>10.20</w:t>
            </w:r>
          </w:p>
        </w:tc>
      </w:tr>
      <w:tr>
        <w:tc>
          <w:tcPr>
            <w:tcW w:w="567" w:type="dxa"/>
          </w:tcPr>
          <w:p>
            <w:pPr>
              <w:pStyle w:val="yTableNAm"/>
            </w:pPr>
          </w:p>
        </w:tc>
        <w:tc>
          <w:tcPr>
            <w:tcW w:w="4678" w:type="dxa"/>
          </w:tcPr>
          <w:p>
            <w:pPr>
              <w:pStyle w:val="yTableNAm"/>
              <w:tabs>
                <w:tab w:val="left" w:leader="dot" w:pos="4253"/>
                <w:tab w:val="left" w:leader="dot" w:pos="4536"/>
              </w:tabs>
            </w:pPr>
            <w:r>
              <w:t xml:space="preserve">each subsequent page </w:t>
            </w:r>
            <w:r>
              <w:tab/>
            </w:r>
          </w:p>
        </w:tc>
        <w:tc>
          <w:tcPr>
            <w:tcW w:w="992" w:type="dxa"/>
          </w:tcPr>
          <w:p>
            <w:pPr>
              <w:pStyle w:val="yTableNAm"/>
              <w:tabs>
                <w:tab w:val="clear" w:pos="567"/>
                <w:tab w:val="decimal" w:pos="362"/>
              </w:tabs>
            </w:pPr>
            <w:r>
              <w:t>2.00</w:t>
            </w:r>
          </w:p>
        </w:tc>
      </w:tr>
      <w:tr>
        <w:tc>
          <w:tcPr>
            <w:tcW w:w="567" w:type="dxa"/>
          </w:tcPr>
          <w:p>
            <w:pPr>
              <w:pStyle w:val="yTableNAm"/>
            </w:pPr>
            <w:r>
              <w:t>6.</w:t>
            </w:r>
          </w:p>
        </w:tc>
        <w:tc>
          <w:tcPr>
            <w:tcW w:w="4678" w:type="dxa"/>
          </w:tcPr>
          <w:p>
            <w:pPr>
              <w:pStyle w:val="yTableNAm"/>
              <w:tabs>
                <w:tab w:val="left" w:leader="dot" w:pos="4253"/>
                <w:tab w:val="left" w:leader="dot" w:pos="4536"/>
              </w:tabs>
            </w:pPr>
            <w:r>
              <w:t xml:space="preserve">Fee for certificate as to all registrations in the register </w:t>
            </w:r>
            <w:r>
              <w:tab/>
            </w:r>
          </w:p>
        </w:tc>
        <w:tc>
          <w:tcPr>
            <w:tcW w:w="992" w:type="dxa"/>
          </w:tcPr>
          <w:p>
            <w:pPr>
              <w:pStyle w:val="yTableNAm"/>
              <w:tabs>
                <w:tab w:val="clear" w:pos="567"/>
                <w:tab w:val="decimal" w:pos="362"/>
              </w:tabs>
            </w:pPr>
            <w:r>
              <w:br/>
              <w:t>125.00</w:t>
            </w:r>
          </w:p>
        </w:tc>
      </w:tr>
    </w:tbl>
    <w:p>
      <w:pPr>
        <w:pStyle w:val="yFootnotesection"/>
      </w:pPr>
      <w:r>
        <w:tab/>
        <w:t>[Schedule 1 inserted in Gazette 25 Jun 2010 p. 2848.]</w:t>
      </w:r>
    </w:p>
    <w:p>
      <w:pPr>
        <w:pStyle w:val="yScheduleHeading"/>
      </w:pPr>
      <w:bookmarkStart w:id="58" w:name="_Toc265667675"/>
      <w:r>
        <w:rPr>
          <w:rStyle w:val="CharSchNo"/>
        </w:rPr>
        <w:t>Schedule 2</w:t>
      </w:r>
      <w:r>
        <w:t> — </w:t>
      </w:r>
      <w:r>
        <w:rPr>
          <w:rStyle w:val="CharSchText"/>
        </w:rPr>
        <w:t>Prescribed offences and modified penalties</w:t>
      </w:r>
      <w:bookmarkEnd w:id="46"/>
      <w:bookmarkEnd w:id="47"/>
      <w:bookmarkEnd w:id="48"/>
      <w:bookmarkEnd w:id="49"/>
      <w:bookmarkEnd w:id="50"/>
      <w:bookmarkEnd w:id="51"/>
      <w:bookmarkEnd w:id="52"/>
      <w:bookmarkEnd w:id="53"/>
      <w:bookmarkEnd w:id="54"/>
      <w:bookmarkEnd w:id="55"/>
      <w:bookmarkEnd w:id="56"/>
      <w:bookmarkEnd w:id="57"/>
      <w:bookmarkEnd w:id="58"/>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59" w:name="_Toc146619022"/>
      <w:bookmarkStart w:id="60" w:name="_Toc146697348"/>
      <w:bookmarkStart w:id="61" w:name="_Toc170185416"/>
      <w:bookmarkStart w:id="62" w:name="_Toc170725080"/>
      <w:bookmarkStart w:id="63" w:name="_Toc189626351"/>
      <w:bookmarkStart w:id="64" w:name="_Toc189627518"/>
      <w:bookmarkStart w:id="65" w:name="_Toc195071825"/>
      <w:bookmarkStart w:id="66" w:name="_Toc197234337"/>
      <w:bookmarkStart w:id="67" w:name="_Toc197235958"/>
      <w:bookmarkStart w:id="68" w:name="_Toc202520758"/>
      <w:bookmarkStart w:id="69" w:name="_Toc233701185"/>
      <w:bookmarkStart w:id="70" w:name="_Toc233701436"/>
      <w:bookmarkStart w:id="71" w:name="_Toc265667676"/>
      <w:r>
        <w:rPr>
          <w:rStyle w:val="CharSchNo"/>
        </w:rPr>
        <w:t>Schedule 3</w:t>
      </w:r>
      <w:r>
        <w:t> — </w:t>
      </w:r>
      <w:r>
        <w:rPr>
          <w:rStyle w:val="CharSchText"/>
        </w:rPr>
        <w:t>Forms</w:t>
      </w:r>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2" w:name="_Toc92795118"/>
      <w:bookmarkStart w:id="73" w:name="_Toc93113703"/>
      <w:bookmarkStart w:id="74" w:name="_Toc107803139"/>
      <w:bookmarkStart w:id="75" w:name="_Toc125945269"/>
      <w:bookmarkStart w:id="76" w:name="_Toc125945805"/>
      <w:bookmarkStart w:id="77" w:name="_Toc128197841"/>
      <w:bookmarkStart w:id="78" w:name="_Toc131382899"/>
      <w:bookmarkStart w:id="79" w:name="_Toc139259778"/>
      <w:bookmarkStart w:id="80" w:name="_Toc146619023"/>
      <w:bookmarkStart w:id="81" w:name="_Toc146697349"/>
      <w:bookmarkStart w:id="82" w:name="_Toc170185417"/>
      <w:bookmarkStart w:id="83" w:name="_Toc170725081"/>
      <w:bookmarkStart w:id="84" w:name="_Toc189626352"/>
      <w:bookmarkStart w:id="85" w:name="_Toc189627519"/>
      <w:bookmarkStart w:id="86" w:name="_Toc195071826"/>
      <w:bookmarkStart w:id="87" w:name="_Toc197234338"/>
      <w:bookmarkStart w:id="88" w:name="_Toc197235959"/>
      <w:bookmarkStart w:id="89" w:name="_Toc202520759"/>
      <w:bookmarkStart w:id="90" w:name="_Toc233701186"/>
      <w:bookmarkStart w:id="91" w:name="_Toc233701437"/>
      <w:bookmarkStart w:id="92" w:name="_Toc265667677"/>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265667678"/>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2008</w:t>
            </w:r>
          </w:p>
        </w:tc>
        <w:tc>
          <w:tcPr>
            <w:tcW w:w="1276" w:type="dxa"/>
          </w:tcPr>
          <w:p>
            <w:pPr>
              <w:pStyle w:val="nTable"/>
              <w:spacing w:after="40"/>
              <w:rPr>
                <w:sz w:val="19"/>
              </w:rPr>
            </w:pPr>
            <w:r>
              <w:rPr>
                <w:sz w:val="19"/>
              </w:rPr>
              <w:t>17 Jun 2008 p. 2566-7</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Land Valuers Licensing Amendment Regulations 2009</w:t>
            </w:r>
          </w:p>
        </w:tc>
        <w:tc>
          <w:tcPr>
            <w:tcW w:w="1276" w:type="dxa"/>
          </w:tcPr>
          <w:p>
            <w:pPr>
              <w:pStyle w:val="nTable"/>
              <w:spacing w:after="40"/>
              <w:rPr>
                <w:sz w:val="19"/>
              </w:rPr>
            </w:pPr>
            <w:r>
              <w:rPr>
                <w:sz w:val="19"/>
              </w:rPr>
              <w:t>23 Jun 2009 p. 2442</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Borders>
              <w:bottom w:val="single" w:sz="4" w:space="0" w:color="auto"/>
            </w:tcBorders>
          </w:tcPr>
          <w:p>
            <w:pPr>
              <w:pStyle w:val="nTable"/>
              <w:spacing w:after="40"/>
              <w:ind w:right="113"/>
              <w:rPr>
                <w:i/>
                <w:sz w:val="19"/>
              </w:rPr>
            </w:pPr>
            <w:r>
              <w:rPr>
                <w:i/>
                <w:sz w:val="19"/>
              </w:rPr>
              <w:t>Land Valuers</w:t>
            </w:r>
            <w:bookmarkStart w:id="94" w:name="UpToHere"/>
            <w:bookmarkEnd w:id="94"/>
            <w:r>
              <w:rPr>
                <w:i/>
                <w:sz w:val="19"/>
              </w:rPr>
              <w:t xml:space="preserve"> Licensing Amendment Regulations 2010</w:t>
            </w:r>
          </w:p>
        </w:tc>
        <w:tc>
          <w:tcPr>
            <w:tcW w:w="1276" w:type="dxa"/>
            <w:tcBorders>
              <w:bottom w:val="single" w:sz="4" w:space="0" w:color="auto"/>
            </w:tcBorders>
          </w:tcPr>
          <w:p>
            <w:pPr>
              <w:pStyle w:val="nTable"/>
              <w:spacing w:after="40"/>
              <w:rPr>
                <w:sz w:val="19"/>
              </w:rPr>
            </w:pPr>
            <w:r>
              <w:rPr>
                <w:sz w:val="19"/>
              </w:rPr>
              <w:t>25 Jun 2010 p. 2847-8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95" w:name="_Toc189627521"/>
      <w:bookmarkStart w:id="96" w:name="_Toc195071828"/>
      <w:bookmarkStart w:id="97" w:name="_Toc197234340"/>
      <w:bookmarkStart w:id="98" w:name="_Toc197235961"/>
      <w:bookmarkStart w:id="99" w:name="_Toc202520761"/>
      <w:bookmarkStart w:id="100" w:name="_Toc233701188"/>
      <w:bookmarkStart w:id="101" w:name="_Toc233701439"/>
      <w:bookmarkStart w:id="102" w:name="_Toc265667679"/>
      <w:r>
        <w:t>Defined Terms</w:t>
      </w:r>
      <w:bookmarkEnd w:id="95"/>
      <w:bookmarkEnd w:id="96"/>
      <w:bookmarkEnd w:id="97"/>
      <w:bookmarkEnd w:id="98"/>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 w:name="DefinedTerms"/>
      <w:bookmarkEnd w:id="103"/>
      <w:r>
        <w:t>Commissioner</w:t>
      </w:r>
      <w:r>
        <w:tab/>
        <w:t>2</w:t>
      </w:r>
    </w:p>
    <w:p>
      <w:pPr>
        <w:pStyle w:val="DefinedTerms"/>
      </w:pPr>
      <w:r>
        <w:t>section</w:t>
      </w:r>
      <w:r>
        <w:tab/>
        <w:t>2</w:t>
      </w:r>
    </w:p>
    <w:p>
      <w:pPr>
        <w:pStyle w:val="DefinedTerms"/>
      </w:pPr>
      <w:r>
        <w:t>the Act</w:t>
      </w:r>
      <w:r>
        <w:tab/>
        <w:t>2</w:t>
      </w:r>
    </w:p>
    <w:p>
      <w:pPr>
        <w:pStyle w:val="DefinedTerm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CF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0BE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7053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4A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F299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7ED4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88C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CE64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06E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04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98C83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16B4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37"/>
    <w:docVar w:name="WAFER_20151204160537" w:val="RemoveTrackChanges"/>
    <w:docVar w:name="WAFER_20151204160537_GUID" w:val="100c4113-9d28-4b95-84aa-fa94718e1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2709</Words>
  <Characters>13387</Characters>
  <Application>Microsoft Office Word</Application>
  <DocSecurity>0</DocSecurity>
  <Lines>582</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1979 - 03-d0-02</dc:title>
  <dc:subject/>
  <dc:creator/>
  <cp:keywords/>
  <dc:description/>
  <cp:lastModifiedBy>svcMRProcess</cp:lastModifiedBy>
  <cp:revision>4</cp:revision>
  <cp:lastPrinted>2008-04-04T07:30:00Z</cp:lastPrinted>
  <dcterms:created xsi:type="dcterms:W3CDTF">2015-12-04T21:36:00Z</dcterms:created>
  <dcterms:modified xsi:type="dcterms:W3CDTF">2015-12-04T21:36:00Z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03-d0-02</vt:lpwstr>
  </property>
</Properties>
</file>