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fldSimple w:instr=" STYLEREF &quot;Name Of Act/Reg&quot; ">
        <w:r>
          <w:rPr>
            <w:noProof/>
          </w:rPr>
          <w:t>Dangerous Goods Safety (Security Risk Substances) Regulations 2007</w:t>
        </w:r>
      </w:fldSimple>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_Toc265664524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_Toc265664525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_Toc265664526 \h </w:instrText>
      </w:r>
      <w:r>
        <w:fldChar w:fldCharType="separate"/>
      </w:r>
      <w:r>
        <w:t>1</w:t>
      </w:r>
      <w:r>
        <w:fldChar w:fldCharType="end"/>
      </w:r>
    </w:p>
    <w:p>
      <w:pPr>
        <w:pStyle w:val="TOC8"/>
        <w:rPr>
          <w:sz w:val="24"/>
          <w:szCs w:val="24"/>
        </w:rPr>
      </w:pPr>
      <w:r>
        <w:rPr>
          <w:szCs w:val="24"/>
        </w:rPr>
        <w:t>4.</w:t>
      </w:r>
      <w:r>
        <w:rPr>
          <w:szCs w:val="24"/>
        </w:rPr>
        <w:tab/>
        <w:t>Examples and notes are not part of the law</w:t>
      </w:r>
      <w:r>
        <w:tab/>
      </w:r>
      <w:r>
        <w:fldChar w:fldCharType="begin"/>
      </w:r>
      <w:r>
        <w:instrText xml:space="preserve"> PAGEREF _Toc265664527 \h </w:instrText>
      </w:r>
      <w:r>
        <w:fldChar w:fldCharType="separate"/>
      </w:r>
      <w:r>
        <w:t>5</w:t>
      </w:r>
      <w:r>
        <w:fldChar w:fldCharType="end"/>
      </w:r>
    </w:p>
    <w:p>
      <w:pPr>
        <w:pStyle w:val="TOC8"/>
        <w:rPr>
          <w:sz w:val="24"/>
          <w:szCs w:val="24"/>
        </w:rPr>
      </w:pPr>
      <w:r>
        <w:rPr>
          <w:szCs w:val="24"/>
        </w:rPr>
        <w:t>5.</w:t>
      </w:r>
      <w:r>
        <w:rPr>
          <w:szCs w:val="24"/>
        </w:rPr>
        <w:tab/>
        <w:t>Supervision and related terms, meaning of</w:t>
      </w:r>
      <w:r>
        <w:tab/>
      </w:r>
      <w:r>
        <w:fldChar w:fldCharType="begin"/>
      </w:r>
      <w:r>
        <w:instrText xml:space="preserve"> PAGEREF _Toc265664528 \h </w:instrText>
      </w:r>
      <w:r>
        <w:fldChar w:fldCharType="separate"/>
      </w:r>
      <w:r>
        <w:t>5</w:t>
      </w:r>
      <w:r>
        <w:fldChar w:fldCharType="end"/>
      </w:r>
    </w:p>
    <w:p>
      <w:pPr>
        <w:pStyle w:val="TOC8"/>
        <w:rPr>
          <w:sz w:val="24"/>
          <w:szCs w:val="24"/>
        </w:rPr>
      </w:pPr>
      <w:r>
        <w:rPr>
          <w:szCs w:val="24"/>
        </w:rPr>
        <w:t>6.</w:t>
      </w:r>
      <w:r>
        <w:rPr>
          <w:szCs w:val="24"/>
        </w:rPr>
        <w:tab/>
        <w:t>These regulations do not apply to explosives</w:t>
      </w:r>
      <w:r>
        <w:tab/>
      </w:r>
      <w:r>
        <w:fldChar w:fldCharType="begin"/>
      </w:r>
      <w:r>
        <w:instrText xml:space="preserve"> PAGEREF _Toc265664529 \h </w:instrText>
      </w:r>
      <w:r>
        <w:fldChar w:fldCharType="separate"/>
      </w:r>
      <w:r>
        <w:t>6</w:t>
      </w:r>
      <w:r>
        <w:fldChar w:fldCharType="end"/>
      </w:r>
    </w:p>
    <w:p>
      <w:pPr>
        <w:pStyle w:val="TOC8"/>
        <w:rPr>
          <w:sz w:val="24"/>
          <w:szCs w:val="24"/>
        </w:rPr>
      </w:pPr>
      <w:r>
        <w:rPr>
          <w:szCs w:val="24"/>
        </w:rPr>
        <w:t>7.</w:t>
      </w:r>
      <w:r>
        <w:rPr>
          <w:szCs w:val="24"/>
        </w:rPr>
        <w:tab/>
        <w:t>These regulations prevail over other regulations</w:t>
      </w:r>
      <w:r>
        <w:tab/>
      </w:r>
      <w:r>
        <w:fldChar w:fldCharType="begin"/>
      </w:r>
      <w:r>
        <w:instrText xml:space="preserve"> PAGEREF _Toc265664530 \h </w:instrText>
      </w:r>
      <w:r>
        <w:fldChar w:fldCharType="separate"/>
      </w:r>
      <w:r>
        <w:t>6</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8.</w:t>
      </w:r>
      <w:r>
        <w:rPr>
          <w:szCs w:val="24"/>
        </w:rPr>
        <w:tab/>
        <w:t>Approval of forms</w:t>
      </w:r>
      <w:r>
        <w:tab/>
      </w:r>
      <w:r>
        <w:fldChar w:fldCharType="begin"/>
      </w:r>
      <w:r>
        <w:instrText xml:space="preserve"> PAGEREF _Toc265664532 \h </w:instrText>
      </w:r>
      <w:r>
        <w:fldChar w:fldCharType="separate"/>
      </w:r>
      <w:r>
        <w:t>7</w:t>
      </w:r>
      <w:r>
        <w:fldChar w:fldCharType="end"/>
      </w:r>
    </w:p>
    <w:p>
      <w:pPr>
        <w:pStyle w:val="TOC2"/>
        <w:tabs>
          <w:tab w:val="right" w:leader="dot" w:pos="7086"/>
        </w:tabs>
        <w:rPr>
          <w:b w:val="0"/>
          <w:sz w:val="24"/>
          <w:szCs w:val="24"/>
        </w:rPr>
      </w:pPr>
      <w:r>
        <w:rPr>
          <w:szCs w:val="30"/>
        </w:rPr>
        <w:t>Part 3 — Security matters</w:t>
      </w:r>
    </w:p>
    <w:p>
      <w:pPr>
        <w:pStyle w:val="TOC8"/>
        <w:rPr>
          <w:sz w:val="24"/>
          <w:szCs w:val="24"/>
        </w:rPr>
      </w:pPr>
      <w:r>
        <w:rPr>
          <w:szCs w:val="24"/>
        </w:rPr>
        <w:t>9.</w:t>
      </w:r>
      <w:r>
        <w:rPr>
          <w:szCs w:val="24"/>
        </w:rPr>
        <w:tab/>
        <w:t>Licence holders may authorise employees to have access to SRSs</w:t>
      </w:r>
      <w:r>
        <w:tab/>
      </w:r>
      <w:r>
        <w:fldChar w:fldCharType="begin"/>
      </w:r>
      <w:r>
        <w:instrText xml:space="preserve"> PAGEREF _Toc265664534 \h </w:instrText>
      </w:r>
      <w:r>
        <w:fldChar w:fldCharType="separate"/>
      </w:r>
      <w:r>
        <w:t>8</w:t>
      </w:r>
      <w:r>
        <w:fldChar w:fldCharType="end"/>
      </w:r>
    </w:p>
    <w:p>
      <w:pPr>
        <w:pStyle w:val="TOC8"/>
        <w:rPr>
          <w:sz w:val="24"/>
          <w:szCs w:val="24"/>
        </w:rPr>
      </w:pPr>
      <w:r>
        <w:rPr>
          <w:szCs w:val="24"/>
        </w:rPr>
        <w:t>10.</w:t>
      </w:r>
      <w:r>
        <w:rPr>
          <w:szCs w:val="24"/>
        </w:rPr>
        <w:tab/>
        <w:t>Licence holders to keep record of secure employees</w:t>
      </w:r>
      <w:r>
        <w:tab/>
      </w:r>
      <w:r>
        <w:fldChar w:fldCharType="begin"/>
      </w:r>
      <w:r>
        <w:instrText xml:space="preserve"> PAGEREF _Toc265664535 \h </w:instrText>
      </w:r>
      <w:r>
        <w:fldChar w:fldCharType="separate"/>
      </w:r>
      <w:r>
        <w:t>8</w:t>
      </w:r>
      <w:r>
        <w:fldChar w:fldCharType="end"/>
      </w:r>
    </w:p>
    <w:p>
      <w:pPr>
        <w:pStyle w:val="TOC8"/>
        <w:rPr>
          <w:sz w:val="24"/>
          <w:szCs w:val="24"/>
        </w:rPr>
      </w:pPr>
      <w:r>
        <w:rPr>
          <w:szCs w:val="24"/>
        </w:rPr>
        <w:t>11.</w:t>
      </w:r>
      <w:r>
        <w:rPr>
          <w:szCs w:val="24"/>
        </w:rPr>
        <w:tab/>
        <w:t>Secure employee to disclose employer’s details if asked</w:t>
      </w:r>
      <w:r>
        <w:tab/>
      </w:r>
      <w:r>
        <w:fldChar w:fldCharType="begin"/>
      </w:r>
      <w:r>
        <w:instrText xml:space="preserve"> PAGEREF _Toc265664536 \h </w:instrText>
      </w:r>
      <w:r>
        <w:fldChar w:fldCharType="separate"/>
      </w:r>
      <w:r>
        <w:t>9</w:t>
      </w:r>
      <w:r>
        <w:fldChar w:fldCharType="end"/>
      </w:r>
    </w:p>
    <w:p>
      <w:pPr>
        <w:pStyle w:val="TOC2"/>
        <w:tabs>
          <w:tab w:val="right" w:leader="dot" w:pos="7086"/>
        </w:tabs>
        <w:rPr>
          <w:b w:val="0"/>
          <w:sz w:val="24"/>
          <w:szCs w:val="24"/>
        </w:rPr>
      </w:pPr>
      <w:r>
        <w:rPr>
          <w:szCs w:val="30"/>
        </w:rPr>
        <w:t>Part 4 — Possession of SRSs</w:t>
      </w:r>
    </w:p>
    <w:p>
      <w:pPr>
        <w:pStyle w:val="TOC8"/>
        <w:rPr>
          <w:sz w:val="24"/>
          <w:szCs w:val="24"/>
        </w:rPr>
      </w:pPr>
      <w:r>
        <w:rPr>
          <w:szCs w:val="24"/>
        </w:rPr>
        <w:t>12.</w:t>
      </w:r>
      <w:r>
        <w:rPr>
          <w:szCs w:val="24"/>
        </w:rPr>
        <w:tab/>
        <w:t>Licensing requirements</w:t>
      </w:r>
      <w:r>
        <w:tab/>
      </w:r>
      <w:r>
        <w:fldChar w:fldCharType="begin"/>
      </w:r>
      <w:r>
        <w:instrText xml:space="preserve"> PAGEREF _Toc265664538 \h </w:instrText>
      </w:r>
      <w:r>
        <w:fldChar w:fldCharType="separate"/>
      </w:r>
      <w:r>
        <w:t>10</w:t>
      </w:r>
      <w:r>
        <w:fldChar w:fldCharType="end"/>
      </w:r>
    </w:p>
    <w:p>
      <w:pPr>
        <w:pStyle w:val="TOC8"/>
        <w:rPr>
          <w:sz w:val="24"/>
          <w:szCs w:val="24"/>
        </w:rPr>
      </w:pPr>
      <w:r>
        <w:rPr>
          <w:szCs w:val="24"/>
        </w:rPr>
        <w:t>13.</w:t>
      </w:r>
      <w:r>
        <w:rPr>
          <w:szCs w:val="24"/>
        </w:rPr>
        <w:tab/>
        <w:t>Licences etc. to be carried</w:t>
      </w:r>
      <w:r>
        <w:tab/>
      </w:r>
      <w:r>
        <w:fldChar w:fldCharType="begin"/>
      </w:r>
      <w:r>
        <w:instrText xml:space="preserve"> PAGEREF _Toc265664539 \h </w:instrText>
      </w:r>
      <w:r>
        <w:fldChar w:fldCharType="separate"/>
      </w:r>
      <w:r>
        <w:t>12</w:t>
      </w:r>
      <w:r>
        <w:fldChar w:fldCharType="end"/>
      </w:r>
    </w:p>
    <w:p>
      <w:pPr>
        <w:pStyle w:val="TOC8"/>
        <w:rPr>
          <w:sz w:val="24"/>
          <w:szCs w:val="24"/>
        </w:rPr>
      </w:pPr>
      <w:r>
        <w:rPr>
          <w:szCs w:val="24"/>
        </w:rPr>
        <w:t>14.</w:t>
      </w:r>
      <w:r>
        <w:rPr>
          <w:szCs w:val="24"/>
        </w:rPr>
        <w:tab/>
        <w:t>Duties to keep SRS secure</w:t>
      </w:r>
      <w:r>
        <w:tab/>
      </w:r>
      <w:r>
        <w:fldChar w:fldCharType="begin"/>
      </w:r>
      <w:r>
        <w:instrText xml:space="preserve"> PAGEREF _Toc265664540 \h </w:instrText>
      </w:r>
      <w:r>
        <w:fldChar w:fldCharType="separate"/>
      </w:r>
      <w:r>
        <w:t>12</w:t>
      </w:r>
      <w:r>
        <w:fldChar w:fldCharType="end"/>
      </w:r>
    </w:p>
    <w:p>
      <w:pPr>
        <w:pStyle w:val="TOC2"/>
        <w:tabs>
          <w:tab w:val="right" w:leader="dot" w:pos="7086"/>
        </w:tabs>
        <w:rPr>
          <w:b w:val="0"/>
          <w:sz w:val="24"/>
          <w:szCs w:val="24"/>
        </w:rPr>
      </w:pPr>
      <w:r>
        <w:rPr>
          <w:szCs w:val="30"/>
        </w:rPr>
        <w:t>Part 5 — Import and export of SRSs</w:t>
      </w:r>
    </w:p>
    <w:p>
      <w:pPr>
        <w:pStyle w:val="TOC8"/>
        <w:rPr>
          <w:sz w:val="24"/>
          <w:szCs w:val="24"/>
        </w:rPr>
      </w:pPr>
      <w:r>
        <w:rPr>
          <w:szCs w:val="24"/>
        </w:rPr>
        <w:t>15.</w:t>
      </w:r>
      <w:r>
        <w:rPr>
          <w:szCs w:val="24"/>
        </w:rPr>
        <w:tab/>
        <w:t>Terms used in this Part</w:t>
      </w:r>
      <w:r>
        <w:tab/>
      </w:r>
      <w:r>
        <w:fldChar w:fldCharType="begin"/>
      </w:r>
      <w:r>
        <w:instrText xml:space="preserve"> PAGEREF _Toc265664542 \h </w:instrText>
      </w:r>
      <w:r>
        <w:fldChar w:fldCharType="separate"/>
      </w:r>
      <w:r>
        <w:t>14</w:t>
      </w:r>
      <w:r>
        <w:fldChar w:fldCharType="end"/>
      </w:r>
    </w:p>
    <w:p>
      <w:pPr>
        <w:pStyle w:val="TOC8"/>
        <w:rPr>
          <w:sz w:val="24"/>
          <w:szCs w:val="24"/>
        </w:rPr>
      </w:pPr>
      <w:r>
        <w:rPr>
          <w:szCs w:val="24"/>
        </w:rPr>
        <w:t>16.</w:t>
      </w:r>
      <w:r>
        <w:rPr>
          <w:szCs w:val="24"/>
        </w:rPr>
        <w:tab/>
        <w:t>Licensing requirements</w:t>
      </w:r>
      <w:r>
        <w:tab/>
      </w:r>
      <w:r>
        <w:fldChar w:fldCharType="begin"/>
      </w:r>
      <w:r>
        <w:instrText xml:space="preserve"> PAGEREF _Toc265664543 \h </w:instrText>
      </w:r>
      <w:r>
        <w:fldChar w:fldCharType="separate"/>
      </w:r>
      <w:r>
        <w:t>14</w:t>
      </w:r>
      <w:r>
        <w:fldChar w:fldCharType="end"/>
      </w:r>
    </w:p>
    <w:p>
      <w:pPr>
        <w:pStyle w:val="TOC8"/>
        <w:rPr>
          <w:sz w:val="24"/>
          <w:szCs w:val="24"/>
        </w:rPr>
      </w:pPr>
      <w:r>
        <w:rPr>
          <w:szCs w:val="24"/>
        </w:rPr>
        <w:t>17.</w:t>
      </w:r>
      <w:r>
        <w:rPr>
          <w:szCs w:val="24"/>
        </w:rPr>
        <w:tab/>
        <w:t>Import and export, requirements prior to</w:t>
      </w:r>
      <w:r>
        <w:tab/>
      </w:r>
      <w:r>
        <w:fldChar w:fldCharType="begin"/>
      </w:r>
      <w:r>
        <w:instrText xml:space="preserve"> PAGEREF _Toc265664544 \h </w:instrText>
      </w:r>
      <w:r>
        <w:fldChar w:fldCharType="separate"/>
      </w:r>
      <w:r>
        <w:t>14</w:t>
      </w:r>
      <w:r>
        <w:fldChar w:fldCharType="end"/>
      </w:r>
    </w:p>
    <w:p>
      <w:pPr>
        <w:pStyle w:val="TOC8"/>
        <w:rPr>
          <w:sz w:val="24"/>
          <w:szCs w:val="24"/>
        </w:rPr>
      </w:pPr>
      <w:r>
        <w:rPr>
          <w:szCs w:val="24"/>
        </w:rPr>
        <w:t>18.</w:t>
      </w:r>
      <w:r>
        <w:rPr>
          <w:szCs w:val="24"/>
        </w:rPr>
        <w:tab/>
        <w:t>Import and export notices, form and content of</w:t>
      </w:r>
      <w:r>
        <w:tab/>
      </w:r>
      <w:r>
        <w:fldChar w:fldCharType="begin"/>
      </w:r>
      <w:r>
        <w:instrText xml:space="preserve"> PAGEREF _Toc265664545 \h </w:instrText>
      </w:r>
      <w:r>
        <w:fldChar w:fldCharType="separate"/>
      </w:r>
      <w:r>
        <w:t>15</w:t>
      </w:r>
      <w:r>
        <w:fldChar w:fldCharType="end"/>
      </w:r>
    </w:p>
    <w:p>
      <w:pPr>
        <w:pStyle w:val="TOC8"/>
        <w:rPr>
          <w:sz w:val="24"/>
          <w:szCs w:val="24"/>
        </w:rPr>
      </w:pPr>
      <w:r>
        <w:rPr>
          <w:szCs w:val="24"/>
        </w:rPr>
        <w:t>19.</w:t>
      </w:r>
      <w:r>
        <w:rPr>
          <w:szCs w:val="24"/>
        </w:rPr>
        <w:tab/>
        <w:t>Chief Officer may direct that SRS be analysed</w:t>
      </w:r>
      <w:r>
        <w:tab/>
      </w:r>
      <w:r>
        <w:fldChar w:fldCharType="begin"/>
      </w:r>
      <w:r>
        <w:instrText xml:space="preserve"> PAGEREF _Toc265664546 \h </w:instrText>
      </w:r>
      <w:r>
        <w:fldChar w:fldCharType="separate"/>
      </w:r>
      <w:r>
        <w:t>16</w:t>
      </w:r>
      <w:r>
        <w:fldChar w:fldCharType="end"/>
      </w:r>
    </w:p>
    <w:p>
      <w:pPr>
        <w:pStyle w:val="TOC2"/>
        <w:tabs>
          <w:tab w:val="right" w:leader="dot" w:pos="7086"/>
        </w:tabs>
        <w:rPr>
          <w:b w:val="0"/>
          <w:sz w:val="24"/>
          <w:szCs w:val="24"/>
        </w:rPr>
      </w:pPr>
      <w:r>
        <w:rPr>
          <w:szCs w:val="30"/>
        </w:rPr>
        <w:t>Part 6 — Manufacture of SRSs</w:t>
      </w:r>
    </w:p>
    <w:p>
      <w:pPr>
        <w:pStyle w:val="TOC8"/>
        <w:rPr>
          <w:sz w:val="24"/>
          <w:szCs w:val="24"/>
        </w:rPr>
      </w:pPr>
      <w:r>
        <w:rPr>
          <w:szCs w:val="24"/>
        </w:rPr>
        <w:t>20.</w:t>
      </w:r>
      <w:r>
        <w:rPr>
          <w:szCs w:val="24"/>
        </w:rPr>
        <w:tab/>
        <w:t>Terms used in this Part</w:t>
      </w:r>
      <w:r>
        <w:tab/>
      </w:r>
      <w:r>
        <w:fldChar w:fldCharType="begin"/>
      </w:r>
      <w:r>
        <w:instrText xml:space="preserve"> PAGEREF _Toc265664548 \h </w:instrText>
      </w:r>
      <w:r>
        <w:fldChar w:fldCharType="separate"/>
      </w:r>
      <w:r>
        <w:t>17</w:t>
      </w:r>
      <w:r>
        <w:fldChar w:fldCharType="end"/>
      </w:r>
    </w:p>
    <w:p>
      <w:pPr>
        <w:pStyle w:val="TOC8"/>
        <w:rPr>
          <w:sz w:val="24"/>
          <w:szCs w:val="24"/>
        </w:rPr>
      </w:pPr>
      <w:r>
        <w:rPr>
          <w:szCs w:val="24"/>
        </w:rPr>
        <w:t>21.</w:t>
      </w:r>
      <w:r>
        <w:rPr>
          <w:szCs w:val="24"/>
        </w:rPr>
        <w:tab/>
        <w:t>Licensing requirements</w:t>
      </w:r>
      <w:r>
        <w:tab/>
      </w:r>
      <w:r>
        <w:fldChar w:fldCharType="begin"/>
      </w:r>
      <w:r>
        <w:instrText xml:space="preserve"> PAGEREF _Toc265664549 \h </w:instrText>
      </w:r>
      <w:r>
        <w:fldChar w:fldCharType="separate"/>
      </w:r>
      <w:r>
        <w:t>17</w:t>
      </w:r>
      <w:r>
        <w:fldChar w:fldCharType="end"/>
      </w:r>
    </w:p>
    <w:p>
      <w:pPr>
        <w:pStyle w:val="TOC2"/>
        <w:tabs>
          <w:tab w:val="right" w:leader="dot" w:pos="7086"/>
        </w:tabs>
        <w:rPr>
          <w:b w:val="0"/>
          <w:sz w:val="24"/>
          <w:szCs w:val="24"/>
        </w:rPr>
      </w:pPr>
      <w:r>
        <w:rPr>
          <w:szCs w:val="30"/>
        </w:rPr>
        <w:t>Part 7 — Storage of SRSs</w:t>
      </w:r>
    </w:p>
    <w:p>
      <w:pPr>
        <w:pStyle w:val="TOC8"/>
        <w:rPr>
          <w:sz w:val="24"/>
          <w:szCs w:val="24"/>
        </w:rPr>
      </w:pPr>
      <w:r>
        <w:rPr>
          <w:szCs w:val="24"/>
        </w:rPr>
        <w:t>22.</w:t>
      </w:r>
      <w:r>
        <w:rPr>
          <w:szCs w:val="24"/>
        </w:rPr>
        <w:tab/>
        <w:t>Licensing requirements</w:t>
      </w:r>
      <w:r>
        <w:tab/>
      </w:r>
      <w:r>
        <w:fldChar w:fldCharType="begin"/>
      </w:r>
      <w:r>
        <w:instrText xml:space="preserve"> PAGEREF _Toc265664551 \h </w:instrText>
      </w:r>
      <w:r>
        <w:fldChar w:fldCharType="separate"/>
      </w:r>
      <w:r>
        <w:t>19</w:t>
      </w:r>
      <w:r>
        <w:fldChar w:fldCharType="end"/>
      </w:r>
    </w:p>
    <w:p>
      <w:pPr>
        <w:pStyle w:val="TOC8"/>
        <w:rPr>
          <w:sz w:val="24"/>
          <w:szCs w:val="24"/>
        </w:rPr>
      </w:pPr>
      <w:r>
        <w:rPr>
          <w:szCs w:val="24"/>
        </w:rPr>
        <w:t>23.</w:t>
      </w:r>
      <w:r>
        <w:rPr>
          <w:szCs w:val="24"/>
        </w:rPr>
        <w:tab/>
        <w:t>Storage requirements, specific</w:t>
      </w:r>
      <w:r>
        <w:tab/>
      </w:r>
      <w:r>
        <w:fldChar w:fldCharType="begin"/>
      </w:r>
      <w:r>
        <w:instrText xml:space="preserve"> PAGEREF _Toc265664552 \h </w:instrText>
      </w:r>
      <w:r>
        <w:fldChar w:fldCharType="separate"/>
      </w:r>
      <w:r>
        <w:t>20</w:t>
      </w:r>
      <w:r>
        <w:fldChar w:fldCharType="end"/>
      </w:r>
    </w:p>
    <w:p>
      <w:pPr>
        <w:pStyle w:val="TOC2"/>
        <w:tabs>
          <w:tab w:val="right" w:leader="dot" w:pos="7086"/>
        </w:tabs>
        <w:rPr>
          <w:b w:val="0"/>
          <w:sz w:val="24"/>
          <w:szCs w:val="24"/>
        </w:rPr>
      </w:pPr>
      <w:r>
        <w:rPr>
          <w:szCs w:val="30"/>
        </w:rPr>
        <w:t>Part 8 — Transport of SRSs</w:t>
      </w:r>
    </w:p>
    <w:p>
      <w:pPr>
        <w:pStyle w:val="TOC8"/>
        <w:rPr>
          <w:sz w:val="24"/>
          <w:szCs w:val="24"/>
        </w:rPr>
      </w:pPr>
      <w:r>
        <w:rPr>
          <w:szCs w:val="24"/>
        </w:rPr>
        <w:t>24.</w:t>
      </w:r>
      <w:r>
        <w:rPr>
          <w:szCs w:val="24"/>
        </w:rPr>
        <w:tab/>
        <w:t>Licensing requirements</w:t>
      </w:r>
      <w:r>
        <w:tab/>
      </w:r>
      <w:r>
        <w:fldChar w:fldCharType="begin"/>
      </w:r>
      <w:r>
        <w:instrText xml:space="preserve"> PAGEREF _Toc265664554 \h </w:instrText>
      </w:r>
      <w:r>
        <w:fldChar w:fldCharType="separate"/>
      </w:r>
      <w:r>
        <w:t>23</w:t>
      </w:r>
      <w:r>
        <w:fldChar w:fldCharType="end"/>
      </w:r>
    </w:p>
    <w:p>
      <w:pPr>
        <w:pStyle w:val="TOC8"/>
        <w:rPr>
          <w:sz w:val="24"/>
          <w:szCs w:val="24"/>
        </w:rPr>
      </w:pPr>
      <w:r>
        <w:rPr>
          <w:szCs w:val="24"/>
        </w:rPr>
        <w:t>25.</w:t>
      </w:r>
      <w:r>
        <w:rPr>
          <w:szCs w:val="24"/>
        </w:rPr>
        <w:tab/>
        <w:t>Interstate licences, compliance with etc.</w:t>
      </w:r>
      <w:r>
        <w:tab/>
      </w:r>
      <w:r>
        <w:fldChar w:fldCharType="begin"/>
      </w:r>
      <w:r>
        <w:instrText xml:space="preserve"> PAGEREF _Toc265664555 \h </w:instrText>
      </w:r>
      <w:r>
        <w:fldChar w:fldCharType="separate"/>
      </w:r>
      <w:r>
        <w:t>24</w:t>
      </w:r>
      <w:r>
        <w:fldChar w:fldCharType="end"/>
      </w:r>
    </w:p>
    <w:p>
      <w:pPr>
        <w:pStyle w:val="TOC8"/>
        <w:rPr>
          <w:sz w:val="24"/>
          <w:szCs w:val="24"/>
        </w:rPr>
      </w:pPr>
      <w:r>
        <w:rPr>
          <w:szCs w:val="24"/>
        </w:rPr>
        <w:t>26.</w:t>
      </w:r>
      <w:r>
        <w:rPr>
          <w:szCs w:val="24"/>
        </w:rPr>
        <w:tab/>
        <w:t>Security breach, duty to report</w:t>
      </w:r>
      <w:r>
        <w:tab/>
      </w:r>
      <w:r>
        <w:fldChar w:fldCharType="begin"/>
      </w:r>
      <w:r>
        <w:instrText xml:space="preserve"> PAGEREF _Toc265664556 \h </w:instrText>
      </w:r>
      <w:r>
        <w:fldChar w:fldCharType="separate"/>
      </w:r>
      <w:r>
        <w:t>25</w:t>
      </w:r>
      <w:r>
        <w:fldChar w:fldCharType="end"/>
      </w:r>
    </w:p>
    <w:p>
      <w:pPr>
        <w:pStyle w:val="TOC2"/>
        <w:tabs>
          <w:tab w:val="right" w:leader="dot" w:pos="7086"/>
        </w:tabs>
        <w:rPr>
          <w:b w:val="0"/>
          <w:sz w:val="24"/>
          <w:szCs w:val="24"/>
        </w:rPr>
      </w:pPr>
      <w:r>
        <w:rPr>
          <w:szCs w:val="30"/>
        </w:rPr>
        <w:t>Part 9 — Supply of SRSs</w:t>
      </w:r>
    </w:p>
    <w:p>
      <w:pPr>
        <w:pStyle w:val="TOC8"/>
        <w:rPr>
          <w:sz w:val="24"/>
          <w:szCs w:val="24"/>
        </w:rPr>
      </w:pPr>
      <w:r>
        <w:rPr>
          <w:szCs w:val="24"/>
        </w:rPr>
        <w:t>27.</w:t>
      </w:r>
      <w:r>
        <w:rPr>
          <w:szCs w:val="24"/>
        </w:rPr>
        <w:tab/>
        <w:t>Licensing requirements</w:t>
      </w:r>
      <w:r>
        <w:tab/>
      </w:r>
      <w:r>
        <w:fldChar w:fldCharType="begin"/>
      </w:r>
      <w:r>
        <w:instrText xml:space="preserve"> PAGEREF _Toc265664558 \h </w:instrText>
      </w:r>
      <w:r>
        <w:fldChar w:fldCharType="separate"/>
      </w:r>
      <w:r>
        <w:t>26</w:t>
      </w:r>
      <w:r>
        <w:fldChar w:fldCharType="end"/>
      </w:r>
    </w:p>
    <w:p>
      <w:pPr>
        <w:pStyle w:val="TOC8"/>
        <w:rPr>
          <w:sz w:val="24"/>
          <w:szCs w:val="24"/>
        </w:rPr>
      </w:pPr>
      <w:r>
        <w:rPr>
          <w:szCs w:val="24"/>
        </w:rPr>
        <w:t>28.</w:t>
      </w:r>
      <w:r>
        <w:rPr>
          <w:szCs w:val="24"/>
        </w:rPr>
        <w:tab/>
        <w:t>Suppliers, duties of</w:t>
      </w:r>
      <w:r>
        <w:tab/>
      </w:r>
      <w:r>
        <w:fldChar w:fldCharType="begin"/>
      </w:r>
      <w:r>
        <w:instrText xml:space="preserve"> PAGEREF _Toc265664559 \h </w:instrText>
      </w:r>
      <w:r>
        <w:fldChar w:fldCharType="separate"/>
      </w:r>
      <w:r>
        <w:t>28</w:t>
      </w:r>
      <w:r>
        <w:fldChar w:fldCharType="end"/>
      </w:r>
    </w:p>
    <w:p>
      <w:pPr>
        <w:pStyle w:val="TOC2"/>
        <w:tabs>
          <w:tab w:val="right" w:leader="dot" w:pos="7086"/>
        </w:tabs>
        <w:rPr>
          <w:b w:val="0"/>
          <w:sz w:val="24"/>
          <w:szCs w:val="24"/>
        </w:rPr>
      </w:pPr>
      <w:r>
        <w:rPr>
          <w:szCs w:val="30"/>
        </w:rPr>
        <w:t>Part 10 — Licences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29.</w:t>
      </w:r>
      <w:r>
        <w:rPr>
          <w:szCs w:val="24"/>
        </w:rPr>
        <w:tab/>
        <w:t>Terms used in this Part</w:t>
      </w:r>
      <w:r>
        <w:tab/>
      </w:r>
      <w:r>
        <w:fldChar w:fldCharType="begin"/>
      </w:r>
      <w:r>
        <w:instrText xml:space="preserve"> PAGEREF _Toc265664562 \h </w:instrText>
      </w:r>
      <w:r>
        <w:fldChar w:fldCharType="separate"/>
      </w:r>
      <w:r>
        <w:t>30</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30.</w:t>
      </w:r>
      <w:r>
        <w:rPr>
          <w:szCs w:val="24"/>
        </w:rPr>
        <w:tab/>
        <w:t>Applying for a licence</w:t>
      </w:r>
      <w:r>
        <w:tab/>
      </w:r>
      <w:r>
        <w:fldChar w:fldCharType="begin"/>
      </w:r>
      <w:r>
        <w:instrText xml:space="preserve"> PAGEREF _Toc265664564 \h </w:instrText>
      </w:r>
      <w:r>
        <w:fldChar w:fldCharType="separate"/>
      </w:r>
      <w:r>
        <w:t>30</w:t>
      </w:r>
      <w:r>
        <w:fldChar w:fldCharType="end"/>
      </w:r>
    </w:p>
    <w:p>
      <w:pPr>
        <w:pStyle w:val="TOC8"/>
        <w:rPr>
          <w:sz w:val="24"/>
          <w:szCs w:val="24"/>
        </w:rPr>
      </w:pPr>
      <w:r>
        <w:rPr>
          <w:szCs w:val="24"/>
        </w:rPr>
        <w:t>31.</w:t>
      </w:r>
      <w:r>
        <w:rPr>
          <w:szCs w:val="24"/>
        </w:rPr>
        <w:tab/>
        <w:t>Security plans</w:t>
      </w:r>
      <w:r>
        <w:tab/>
      </w:r>
      <w:r>
        <w:fldChar w:fldCharType="begin"/>
      </w:r>
      <w:r>
        <w:instrText xml:space="preserve"> PAGEREF _Toc265664565 \h </w:instrText>
      </w:r>
      <w:r>
        <w:fldChar w:fldCharType="separate"/>
      </w:r>
      <w:r>
        <w:t>32</w:t>
      </w:r>
      <w:r>
        <w:fldChar w:fldCharType="end"/>
      </w:r>
    </w:p>
    <w:p>
      <w:pPr>
        <w:pStyle w:val="TOC8"/>
        <w:rPr>
          <w:sz w:val="24"/>
          <w:szCs w:val="24"/>
        </w:rPr>
      </w:pPr>
      <w:r>
        <w:rPr>
          <w:szCs w:val="24"/>
        </w:rPr>
        <w:t>32.</w:t>
      </w:r>
      <w:r>
        <w:rPr>
          <w:szCs w:val="24"/>
        </w:rPr>
        <w:tab/>
        <w:t>Dealing with applications</w:t>
      </w:r>
      <w:r>
        <w:tab/>
      </w:r>
      <w:r>
        <w:fldChar w:fldCharType="begin"/>
      </w:r>
      <w:r>
        <w:instrText xml:space="preserve"> PAGEREF _Toc265664566 \h </w:instrText>
      </w:r>
      <w:r>
        <w:fldChar w:fldCharType="separate"/>
      </w:r>
      <w:r>
        <w:t>35</w:t>
      </w:r>
      <w:r>
        <w:fldChar w:fldCharType="end"/>
      </w:r>
    </w:p>
    <w:p>
      <w:pPr>
        <w:pStyle w:val="TOC8"/>
        <w:rPr>
          <w:sz w:val="24"/>
          <w:szCs w:val="24"/>
        </w:rPr>
      </w:pPr>
      <w:r>
        <w:rPr>
          <w:szCs w:val="24"/>
        </w:rPr>
        <w:t>33.</w:t>
      </w:r>
      <w:r>
        <w:rPr>
          <w:szCs w:val="24"/>
        </w:rPr>
        <w:tab/>
        <w:t>Licences issued to bodies corporate and partnerships</w:t>
      </w:r>
      <w:r>
        <w:tab/>
      </w:r>
      <w:r>
        <w:fldChar w:fldCharType="begin"/>
      </w:r>
      <w:r>
        <w:instrText xml:space="preserve"> PAGEREF _Toc265664567 \h </w:instrText>
      </w:r>
      <w:r>
        <w:fldChar w:fldCharType="separate"/>
      </w:r>
      <w:r>
        <w:t>37</w:t>
      </w:r>
      <w:r>
        <w:fldChar w:fldCharType="end"/>
      </w:r>
    </w:p>
    <w:p>
      <w:pPr>
        <w:pStyle w:val="TOC8"/>
        <w:rPr>
          <w:sz w:val="24"/>
          <w:szCs w:val="24"/>
        </w:rPr>
      </w:pPr>
      <w:r>
        <w:rPr>
          <w:szCs w:val="24"/>
        </w:rPr>
        <w:t>34.</w:t>
      </w:r>
      <w:r>
        <w:rPr>
          <w:szCs w:val="24"/>
        </w:rPr>
        <w:tab/>
        <w:t>Conditions of licences</w:t>
      </w:r>
      <w:r>
        <w:tab/>
      </w:r>
      <w:r>
        <w:fldChar w:fldCharType="begin"/>
      </w:r>
      <w:r>
        <w:instrText xml:space="preserve"> PAGEREF _Toc265664568 \h </w:instrText>
      </w:r>
      <w:r>
        <w:fldChar w:fldCharType="separate"/>
      </w:r>
      <w:r>
        <w:t>38</w:t>
      </w:r>
      <w:r>
        <w:fldChar w:fldCharType="end"/>
      </w:r>
    </w:p>
    <w:p>
      <w:pPr>
        <w:pStyle w:val="TOC8"/>
        <w:rPr>
          <w:sz w:val="24"/>
          <w:szCs w:val="24"/>
        </w:rPr>
      </w:pPr>
      <w:r>
        <w:rPr>
          <w:szCs w:val="24"/>
        </w:rPr>
        <w:t>35.</w:t>
      </w:r>
      <w:r>
        <w:rPr>
          <w:szCs w:val="24"/>
        </w:rPr>
        <w:tab/>
        <w:t>Duration of licences</w:t>
      </w:r>
      <w:r>
        <w:tab/>
      </w:r>
      <w:r>
        <w:fldChar w:fldCharType="begin"/>
      </w:r>
      <w:r>
        <w:instrText xml:space="preserve"> PAGEREF _Toc265664569 \h </w:instrText>
      </w:r>
      <w:r>
        <w:fldChar w:fldCharType="separate"/>
      </w:r>
      <w:r>
        <w:t>38</w:t>
      </w:r>
      <w:r>
        <w:fldChar w:fldCharType="end"/>
      </w:r>
    </w:p>
    <w:p>
      <w:pPr>
        <w:pStyle w:val="TOC8"/>
        <w:rPr>
          <w:sz w:val="24"/>
          <w:szCs w:val="24"/>
        </w:rPr>
      </w:pPr>
      <w:r>
        <w:rPr>
          <w:szCs w:val="24"/>
        </w:rPr>
        <w:t>36.</w:t>
      </w:r>
      <w:r>
        <w:rPr>
          <w:szCs w:val="24"/>
        </w:rPr>
        <w:tab/>
        <w:t>Form of licences</w:t>
      </w:r>
      <w:r>
        <w:tab/>
      </w:r>
      <w:r>
        <w:fldChar w:fldCharType="begin"/>
      </w:r>
      <w:r>
        <w:instrText xml:space="preserve"> PAGEREF _Toc265664570 \h </w:instrText>
      </w:r>
      <w:r>
        <w:fldChar w:fldCharType="separate"/>
      </w:r>
      <w:r>
        <w:t>39</w:t>
      </w:r>
      <w:r>
        <w:fldChar w:fldCharType="end"/>
      </w:r>
    </w:p>
    <w:p>
      <w:pPr>
        <w:pStyle w:val="TOC8"/>
        <w:rPr>
          <w:sz w:val="24"/>
          <w:szCs w:val="24"/>
        </w:rPr>
      </w:pPr>
      <w:r>
        <w:rPr>
          <w:szCs w:val="24"/>
        </w:rPr>
        <w:t>37.</w:t>
      </w:r>
      <w:r>
        <w:rPr>
          <w:szCs w:val="24"/>
        </w:rPr>
        <w:tab/>
        <w:t>Licences not transferable etc.</w:t>
      </w:r>
      <w:r>
        <w:tab/>
      </w:r>
      <w:r>
        <w:fldChar w:fldCharType="begin"/>
      </w:r>
      <w:r>
        <w:instrText xml:space="preserve"> PAGEREF _Toc265664571 \h </w:instrText>
      </w:r>
      <w:r>
        <w:fldChar w:fldCharType="separate"/>
      </w:r>
      <w:r>
        <w:t>39</w:t>
      </w:r>
      <w:r>
        <w:fldChar w:fldCharType="end"/>
      </w:r>
    </w:p>
    <w:p>
      <w:pPr>
        <w:pStyle w:val="TOC8"/>
        <w:rPr>
          <w:sz w:val="24"/>
          <w:szCs w:val="24"/>
        </w:rPr>
      </w:pPr>
      <w:r>
        <w:rPr>
          <w:szCs w:val="24"/>
        </w:rPr>
        <w:t>38.</w:t>
      </w:r>
      <w:r>
        <w:rPr>
          <w:szCs w:val="24"/>
        </w:rPr>
        <w:tab/>
        <w:t>Licences may be surrendered</w:t>
      </w:r>
      <w:r>
        <w:tab/>
      </w:r>
      <w:r>
        <w:fldChar w:fldCharType="begin"/>
      </w:r>
      <w:r>
        <w:instrText xml:space="preserve"> PAGEREF _Toc265664572 \h </w:instrText>
      </w:r>
      <w:r>
        <w:fldChar w:fldCharType="separate"/>
      </w:r>
      <w:r>
        <w:t>39</w:t>
      </w:r>
      <w:r>
        <w:fldChar w:fldCharType="end"/>
      </w:r>
    </w:p>
    <w:p>
      <w:pPr>
        <w:pStyle w:val="TOC8"/>
        <w:rPr>
          <w:sz w:val="24"/>
          <w:szCs w:val="24"/>
        </w:rPr>
      </w:pPr>
      <w:r>
        <w:rPr>
          <w:szCs w:val="24"/>
        </w:rPr>
        <w:t>39.</w:t>
      </w:r>
      <w:r>
        <w:rPr>
          <w:szCs w:val="24"/>
        </w:rPr>
        <w:tab/>
        <w:t>Lost licences may be replaced</w:t>
      </w:r>
      <w:r>
        <w:tab/>
      </w:r>
      <w:r>
        <w:fldChar w:fldCharType="begin"/>
      </w:r>
      <w:r>
        <w:instrText xml:space="preserve"> PAGEREF _Toc265664573 \h </w:instrText>
      </w:r>
      <w:r>
        <w:fldChar w:fldCharType="separate"/>
      </w:r>
      <w:r>
        <w:t>39</w:t>
      </w:r>
      <w:r>
        <w:fldChar w:fldCharType="end"/>
      </w:r>
    </w:p>
    <w:p>
      <w:pPr>
        <w:pStyle w:val="TOC8"/>
        <w:rPr>
          <w:sz w:val="24"/>
          <w:szCs w:val="24"/>
        </w:rPr>
      </w:pPr>
      <w:r>
        <w:rPr>
          <w:szCs w:val="24"/>
        </w:rPr>
        <w:t>40.</w:t>
      </w:r>
      <w:r>
        <w:rPr>
          <w:szCs w:val="24"/>
        </w:rPr>
        <w:tab/>
        <w:t>Amending licences</w:t>
      </w:r>
      <w:r>
        <w:tab/>
      </w:r>
      <w:r>
        <w:fldChar w:fldCharType="begin"/>
      </w:r>
      <w:r>
        <w:instrText xml:space="preserve"> PAGEREF _Toc265664574 \h </w:instrText>
      </w:r>
      <w:r>
        <w:fldChar w:fldCharType="separate"/>
      </w:r>
      <w:r>
        <w:t>40</w:t>
      </w:r>
      <w:r>
        <w:fldChar w:fldCharType="end"/>
      </w:r>
    </w:p>
    <w:p>
      <w:pPr>
        <w:pStyle w:val="TOC8"/>
        <w:rPr>
          <w:sz w:val="24"/>
          <w:szCs w:val="24"/>
        </w:rPr>
      </w:pPr>
      <w:r>
        <w:rPr>
          <w:szCs w:val="24"/>
        </w:rPr>
        <w:t>41.</w:t>
      </w:r>
      <w:r>
        <w:rPr>
          <w:szCs w:val="24"/>
        </w:rPr>
        <w:tab/>
        <w:t>Renewing licences, procedure for</w:t>
      </w:r>
      <w:r>
        <w:tab/>
      </w:r>
      <w:r>
        <w:fldChar w:fldCharType="begin"/>
      </w:r>
      <w:r>
        <w:instrText xml:space="preserve"> PAGEREF _Toc265664575 \h </w:instrText>
      </w:r>
      <w:r>
        <w:fldChar w:fldCharType="separate"/>
      </w:r>
      <w:r>
        <w:t>41</w:t>
      </w:r>
      <w:r>
        <w:fldChar w:fldCharType="end"/>
      </w:r>
    </w:p>
    <w:p>
      <w:pPr>
        <w:pStyle w:val="TOC4"/>
        <w:tabs>
          <w:tab w:val="right" w:leader="dot" w:pos="7086"/>
        </w:tabs>
        <w:rPr>
          <w:b w:val="0"/>
          <w:sz w:val="24"/>
          <w:szCs w:val="24"/>
        </w:rPr>
      </w:pPr>
      <w:r>
        <w:rPr>
          <w:szCs w:val="26"/>
        </w:rPr>
        <w:t>Division 3 — Suspending and cancelling licences</w:t>
      </w:r>
    </w:p>
    <w:p>
      <w:pPr>
        <w:pStyle w:val="TOC8"/>
        <w:rPr>
          <w:sz w:val="24"/>
          <w:szCs w:val="24"/>
        </w:rPr>
      </w:pPr>
      <w:r>
        <w:rPr>
          <w:szCs w:val="24"/>
        </w:rPr>
        <w:t>42.</w:t>
      </w:r>
      <w:r>
        <w:rPr>
          <w:szCs w:val="24"/>
        </w:rPr>
        <w:tab/>
        <w:t>Suspending or cancelling licences, grounds for</w:t>
      </w:r>
      <w:r>
        <w:tab/>
      </w:r>
      <w:r>
        <w:fldChar w:fldCharType="begin"/>
      </w:r>
      <w:r>
        <w:instrText xml:space="preserve"> PAGEREF _Toc265664577 \h </w:instrText>
      </w:r>
      <w:r>
        <w:fldChar w:fldCharType="separate"/>
      </w:r>
      <w:r>
        <w:t>42</w:t>
      </w:r>
      <w:r>
        <w:fldChar w:fldCharType="end"/>
      </w:r>
    </w:p>
    <w:p>
      <w:pPr>
        <w:pStyle w:val="TOC8"/>
        <w:rPr>
          <w:sz w:val="24"/>
          <w:szCs w:val="24"/>
        </w:rPr>
      </w:pPr>
      <w:r>
        <w:rPr>
          <w:szCs w:val="24"/>
        </w:rPr>
        <w:t>43.</w:t>
      </w:r>
      <w:r>
        <w:rPr>
          <w:szCs w:val="24"/>
        </w:rPr>
        <w:tab/>
        <w:t>Suspending or cancelling licences, procedure for</w:t>
      </w:r>
      <w:r>
        <w:tab/>
      </w:r>
      <w:r>
        <w:fldChar w:fldCharType="begin"/>
      </w:r>
      <w:r>
        <w:instrText xml:space="preserve"> PAGEREF _Toc265664578 \h </w:instrText>
      </w:r>
      <w:r>
        <w:fldChar w:fldCharType="separate"/>
      </w:r>
      <w:r>
        <w:t>42</w:t>
      </w:r>
      <w:r>
        <w:fldChar w:fldCharType="end"/>
      </w:r>
    </w:p>
    <w:p>
      <w:pPr>
        <w:pStyle w:val="TOC8"/>
        <w:rPr>
          <w:sz w:val="24"/>
          <w:szCs w:val="24"/>
        </w:rPr>
      </w:pPr>
      <w:r>
        <w:rPr>
          <w:szCs w:val="24"/>
        </w:rPr>
        <w:t>44.</w:t>
      </w:r>
      <w:r>
        <w:rPr>
          <w:szCs w:val="24"/>
        </w:rPr>
        <w:tab/>
        <w:t>Suspension in urgent circumstances</w:t>
      </w:r>
      <w:r>
        <w:tab/>
      </w:r>
      <w:r>
        <w:fldChar w:fldCharType="begin"/>
      </w:r>
      <w:r>
        <w:instrText xml:space="preserve"> PAGEREF _Toc265664579 \h </w:instrText>
      </w:r>
      <w:r>
        <w:fldChar w:fldCharType="separate"/>
      </w:r>
      <w:r>
        <w:t>43</w:t>
      </w:r>
      <w:r>
        <w:fldChar w:fldCharType="end"/>
      </w:r>
    </w:p>
    <w:p>
      <w:pPr>
        <w:pStyle w:val="TOC8"/>
        <w:rPr>
          <w:sz w:val="24"/>
          <w:szCs w:val="24"/>
        </w:rPr>
      </w:pPr>
      <w:r>
        <w:rPr>
          <w:szCs w:val="24"/>
        </w:rPr>
        <w:t>45.</w:t>
      </w:r>
      <w:r>
        <w:rPr>
          <w:szCs w:val="24"/>
        </w:rPr>
        <w:tab/>
        <w:t>Suspension or cancellation, general matters</w:t>
      </w:r>
      <w:r>
        <w:tab/>
      </w:r>
      <w:r>
        <w:fldChar w:fldCharType="begin"/>
      </w:r>
      <w:r>
        <w:instrText xml:space="preserve"> PAGEREF _Toc265664580 \h </w:instrText>
      </w:r>
      <w:r>
        <w:fldChar w:fldCharType="separate"/>
      </w:r>
      <w:r>
        <w:t>44</w:t>
      </w:r>
      <w:r>
        <w:fldChar w:fldCharType="end"/>
      </w:r>
    </w:p>
    <w:p>
      <w:pPr>
        <w:pStyle w:val="TOC4"/>
        <w:tabs>
          <w:tab w:val="right" w:leader="dot" w:pos="7086"/>
        </w:tabs>
        <w:rPr>
          <w:b w:val="0"/>
          <w:sz w:val="24"/>
          <w:szCs w:val="24"/>
        </w:rPr>
      </w:pPr>
      <w:r>
        <w:rPr>
          <w:szCs w:val="26"/>
        </w:rPr>
        <w:t>Division 4 — Duties of licence holders</w:t>
      </w:r>
    </w:p>
    <w:p>
      <w:pPr>
        <w:pStyle w:val="TOC8"/>
        <w:rPr>
          <w:sz w:val="24"/>
          <w:szCs w:val="24"/>
        </w:rPr>
      </w:pPr>
      <w:r>
        <w:rPr>
          <w:szCs w:val="24"/>
        </w:rPr>
        <w:t>46.</w:t>
      </w:r>
      <w:r>
        <w:rPr>
          <w:szCs w:val="24"/>
        </w:rPr>
        <w:tab/>
        <w:t>Licence holder charged with or convicted of relevant offence to notify Chief Officer</w:t>
      </w:r>
      <w:r>
        <w:tab/>
      </w:r>
      <w:r>
        <w:fldChar w:fldCharType="begin"/>
      </w:r>
      <w:r>
        <w:instrText xml:space="preserve"> PAGEREF _Toc265664582 \h </w:instrText>
      </w:r>
      <w:r>
        <w:fldChar w:fldCharType="separate"/>
      </w:r>
      <w:r>
        <w:t>44</w:t>
      </w:r>
      <w:r>
        <w:fldChar w:fldCharType="end"/>
      </w:r>
    </w:p>
    <w:p>
      <w:pPr>
        <w:pStyle w:val="TOC8"/>
        <w:rPr>
          <w:sz w:val="24"/>
          <w:szCs w:val="24"/>
        </w:rPr>
      </w:pPr>
      <w:r>
        <w:rPr>
          <w:szCs w:val="24"/>
        </w:rPr>
        <w:t>47.</w:t>
      </w:r>
      <w:r>
        <w:rPr>
          <w:szCs w:val="24"/>
        </w:rPr>
        <w:tab/>
        <w:t>Condition of licence, contravening</w:t>
      </w:r>
      <w:r>
        <w:tab/>
      </w:r>
      <w:r>
        <w:fldChar w:fldCharType="begin"/>
      </w:r>
      <w:r>
        <w:instrText xml:space="preserve"> PAGEREF _Toc265664583 \h </w:instrText>
      </w:r>
      <w:r>
        <w:fldChar w:fldCharType="separate"/>
      </w:r>
      <w:r>
        <w:t>45</w:t>
      </w:r>
      <w:r>
        <w:fldChar w:fldCharType="end"/>
      </w:r>
    </w:p>
    <w:p>
      <w:pPr>
        <w:pStyle w:val="TOC2"/>
        <w:tabs>
          <w:tab w:val="right" w:leader="dot" w:pos="7086"/>
        </w:tabs>
        <w:rPr>
          <w:b w:val="0"/>
          <w:sz w:val="24"/>
          <w:szCs w:val="24"/>
        </w:rPr>
      </w:pPr>
      <w:r>
        <w:rPr>
          <w:szCs w:val="30"/>
        </w:rPr>
        <w:t>Part 11 — Miscellaneous matters</w:t>
      </w:r>
    </w:p>
    <w:p>
      <w:pPr>
        <w:pStyle w:val="TOC8"/>
        <w:rPr>
          <w:sz w:val="24"/>
          <w:szCs w:val="24"/>
        </w:rPr>
      </w:pPr>
      <w:r>
        <w:rPr>
          <w:szCs w:val="24"/>
        </w:rPr>
        <w:t>48.</w:t>
      </w:r>
      <w:r>
        <w:rPr>
          <w:szCs w:val="24"/>
        </w:rPr>
        <w:tab/>
        <w:t>“Safety management document” prescribed (Act s. 3)</w:t>
      </w:r>
      <w:r>
        <w:tab/>
      </w:r>
      <w:r>
        <w:fldChar w:fldCharType="begin"/>
      </w:r>
      <w:r>
        <w:instrText xml:space="preserve"> PAGEREF _Toc265664585 \h </w:instrText>
      </w:r>
      <w:r>
        <w:fldChar w:fldCharType="separate"/>
      </w:r>
      <w:r>
        <w:t>46</w:t>
      </w:r>
      <w:r>
        <w:fldChar w:fldCharType="end"/>
      </w:r>
    </w:p>
    <w:p>
      <w:pPr>
        <w:pStyle w:val="TOC8"/>
        <w:rPr>
          <w:sz w:val="24"/>
          <w:szCs w:val="24"/>
        </w:rPr>
      </w:pPr>
      <w:r>
        <w:rPr>
          <w:szCs w:val="24"/>
        </w:rPr>
        <w:t>49.</w:t>
      </w:r>
      <w:r>
        <w:rPr>
          <w:szCs w:val="24"/>
        </w:rPr>
        <w:tab/>
        <w:t>False or misleading information, offences</w:t>
      </w:r>
      <w:r>
        <w:tab/>
      </w:r>
      <w:r>
        <w:fldChar w:fldCharType="begin"/>
      </w:r>
      <w:r>
        <w:instrText xml:space="preserve"> PAGEREF _Toc265664586 \h </w:instrText>
      </w:r>
      <w:r>
        <w:fldChar w:fldCharType="separate"/>
      </w:r>
      <w:r>
        <w:t>46</w:t>
      </w:r>
      <w:r>
        <w:fldChar w:fldCharType="end"/>
      </w:r>
    </w:p>
    <w:p>
      <w:pPr>
        <w:pStyle w:val="TOC8"/>
        <w:rPr>
          <w:sz w:val="24"/>
          <w:szCs w:val="24"/>
        </w:rPr>
      </w:pPr>
      <w:r>
        <w:rPr>
          <w:szCs w:val="24"/>
        </w:rPr>
        <w:t>50.</w:t>
      </w:r>
      <w:r>
        <w:rPr>
          <w:szCs w:val="24"/>
        </w:rPr>
        <w:tab/>
        <w:t>Security plan, duties in respect of</w:t>
      </w:r>
      <w:r>
        <w:tab/>
      </w:r>
      <w:r>
        <w:fldChar w:fldCharType="begin"/>
      </w:r>
      <w:r>
        <w:instrText xml:space="preserve"> PAGEREF _Toc265664587 \h </w:instrText>
      </w:r>
      <w:r>
        <w:fldChar w:fldCharType="separate"/>
      </w:r>
      <w:r>
        <w:t>46</w:t>
      </w:r>
      <w:r>
        <w:fldChar w:fldCharType="end"/>
      </w:r>
    </w:p>
    <w:p>
      <w:pPr>
        <w:pStyle w:val="TOC8"/>
        <w:rPr>
          <w:sz w:val="24"/>
          <w:szCs w:val="24"/>
        </w:rPr>
      </w:pPr>
      <w:r>
        <w:rPr>
          <w:szCs w:val="24"/>
        </w:rPr>
        <w:t>51.</w:t>
      </w:r>
      <w:r>
        <w:rPr>
          <w:szCs w:val="24"/>
        </w:rPr>
        <w:tab/>
        <w:t>Prescribed offences and modified penalties (Act s. 56)</w:t>
      </w:r>
      <w:r>
        <w:tab/>
      </w:r>
      <w:r>
        <w:fldChar w:fldCharType="begin"/>
      </w:r>
      <w:r>
        <w:instrText xml:space="preserve"> PAGEREF _Toc265664588 \h </w:instrText>
      </w:r>
      <w:r>
        <w:fldChar w:fldCharType="separate"/>
      </w:r>
      <w:r>
        <w:t>47</w:t>
      </w:r>
      <w:r>
        <w:fldChar w:fldCharType="end"/>
      </w:r>
    </w:p>
    <w:p>
      <w:pPr>
        <w:pStyle w:val="TOC2"/>
        <w:tabs>
          <w:tab w:val="right" w:leader="dot" w:pos="7086"/>
        </w:tabs>
        <w:rPr>
          <w:b w:val="0"/>
          <w:sz w:val="24"/>
          <w:szCs w:val="24"/>
        </w:rPr>
      </w:pPr>
      <w:r>
        <w:rPr>
          <w:szCs w:val="30"/>
        </w:rPr>
        <w:t>Part 12 — Transitional matters</w:t>
      </w:r>
    </w:p>
    <w:p>
      <w:pPr>
        <w:pStyle w:val="TOC8"/>
        <w:rPr>
          <w:sz w:val="24"/>
          <w:szCs w:val="24"/>
        </w:rPr>
      </w:pPr>
      <w:r>
        <w:rPr>
          <w:szCs w:val="24"/>
        </w:rPr>
        <w:t>52.</w:t>
      </w:r>
      <w:r>
        <w:rPr>
          <w:szCs w:val="24"/>
        </w:rPr>
        <w:tab/>
        <w:t>Licences</w:t>
      </w:r>
      <w:r>
        <w:tab/>
      </w:r>
      <w:r>
        <w:fldChar w:fldCharType="begin"/>
      </w:r>
      <w:r>
        <w:instrText xml:space="preserve"> PAGEREF _Toc265664590 \h </w:instrText>
      </w:r>
      <w:r>
        <w:fldChar w:fldCharType="separate"/>
      </w:r>
      <w:r>
        <w:t>48</w:t>
      </w:r>
      <w:r>
        <w:fldChar w:fldCharType="end"/>
      </w:r>
    </w:p>
    <w:p>
      <w:pPr>
        <w:pStyle w:val="TOC8"/>
        <w:rPr>
          <w:sz w:val="24"/>
          <w:szCs w:val="24"/>
        </w:rPr>
      </w:pPr>
      <w:r>
        <w:rPr>
          <w:szCs w:val="24"/>
        </w:rPr>
        <w:t>53.</w:t>
      </w:r>
      <w:r>
        <w:rPr>
          <w:szCs w:val="24"/>
        </w:rPr>
        <w:tab/>
        <w:t>Security plans</w:t>
      </w:r>
      <w:r>
        <w:tab/>
      </w:r>
      <w:r>
        <w:fldChar w:fldCharType="begin"/>
      </w:r>
      <w:r>
        <w:instrText xml:space="preserve"> PAGEREF _Toc265664591 \h </w:instrText>
      </w:r>
      <w:r>
        <w:fldChar w:fldCharType="separate"/>
      </w:r>
      <w:r>
        <w:t>48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Security risk substances</w:t>
      </w:r>
    </w:p>
    <w:p>
      <w:pPr>
        <w:pStyle w:val="TOC8"/>
        <w:rPr>
          <w:sz w:val="24"/>
          <w:szCs w:val="24"/>
        </w:rPr>
      </w:pPr>
      <w:r>
        <w:rPr>
          <w:szCs w:val="22"/>
        </w:rPr>
        <w:t>1.</w:t>
      </w:r>
      <w:r>
        <w:rPr>
          <w:szCs w:val="22"/>
        </w:rPr>
        <w:tab/>
        <w:t>Ammonium nitrate, substances containing</w:t>
      </w:r>
      <w:r>
        <w:tab/>
      </w:r>
      <w:r>
        <w:fldChar w:fldCharType="begin"/>
      </w:r>
      <w:r>
        <w:instrText xml:space="preserve"> PAGEREF _Toc265664594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_Toc265664596 \h </w:instrText>
      </w:r>
      <w:r>
        <w:fldChar w:fldCharType="separate"/>
      </w:r>
      <w:r>
        <w:t>52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1" w:name="_Toc117389916"/>
      <w:bookmarkStart w:id="2" w:name="_Toc117389948"/>
      <w:bookmarkStart w:id="3" w:name="_Toc117390480"/>
      <w:bookmarkStart w:id="4" w:name="_Toc117391876"/>
      <w:bookmarkStart w:id="5" w:name="_Toc117392509"/>
      <w:bookmarkStart w:id="6" w:name="_Toc117393018"/>
      <w:bookmarkStart w:id="7" w:name="_Toc117398823"/>
      <w:bookmarkStart w:id="8" w:name="_Toc117491142"/>
      <w:bookmarkStart w:id="9" w:name="_Toc117498911"/>
      <w:bookmarkStart w:id="10" w:name="_Toc117499041"/>
      <w:bookmarkStart w:id="11" w:name="_Toc117500690"/>
      <w:bookmarkStart w:id="12" w:name="_Toc117500740"/>
      <w:bookmarkStart w:id="13" w:name="_Toc117505811"/>
      <w:bookmarkStart w:id="14" w:name="_Toc117505856"/>
      <w:bookmarkStart w:id="15" w:name="_Toc117571090"/>
      <w:bookmarkStart w:id="16" w:name="_Toc117575662"/>
      <w:bookmarkStart w:id="17" w:name="_Toc117576917"/>
      <w:bookmarkStart w:id="18" w:name="_Toc117584602"/>
      <w:bookmarkStart w:id="19" w:name="_Toc117587527"/>
      <w:bookmarkStart w:id="20" w:name="_Toc117588117"/>
      <w:bookmarkStart w:id="21" w:name="_Toc117676882"/>
      <w:bookmarkStart w:id="22" w:name="_Toc118081746"/>
      <w:bookmarkStart w:id="23" w:name="_Toc118096365"/>
      <w:bookmarkStart w:id="24" w:name="_Toc118109784"/>
      <w:bookmarkStart w:id="25" w:name="_Toc118112876"/>
      <w:bookmarkStart w:id="26" w:name="_Toc118185235"/>
      <w:bookmarkStart w:id="27" w:name="_Toc118186033"/>
      <w:bookmarkStart w:id="28" w:name="_Toc118188028"/>
      <w:bookmarkStart w:id="29" w:name="_Toc118515501"/>
      <w:bookmarkStart w:id="30" w:name="_Toc118534663"/>
      <w:bookmarkStart w:id="31" w:name="_Toc118544290"/>
      <w:bookmarkStart w:id="32" w:name="_Toc118544838"/>
      <w:bookmarkStart w:id="33" w:name="_Toc118618649"/>
      <w:bookmarkStart w:id="34" w:name="_Toc118618701"/>
      <w:bookmarkStart w:id="35" w:name="_Toc118710774"/>
      <w:bookmarkStart w:id="36" w:name="_Toc118711589"/>
      <w:bookmarkStart w:id="37" w:name="_Toc118713610"/>
      <w:bookmarkStart w:id="38" w:name="_Toc119315941"/>
      <w:bookmarkStart w:id="39" w:name="_Toc119379307"/>
      <w:bookmarkStart w:id="40" w:name="_Toc119384024"/>
      <w:bookmarkStart w:id="41" w:name="_Toc119467644"/>
      <w:bookmarkStart w:id="42" w:name="_Toc119468604"/>
      <w:bookmarkStart w:id="43" w:name="_Toc119470484"/>
      <w:bookmarkStart w:id="44" w:name="_Toc119470831"/>
      <w:bookmarkStart w:id="45" w:name="_Toc119472117"/>
      <w:bookmarkStart w:id="46" w:name="_Toc119823122"/>
      <w:bookmarkStart w:id="47" w:name="_Toc119835601"/>
      <w:bookmarkStart w:id="48" w:name="_Toc119837385"/>
      <w:bookmarkStart w:id="49" w:name="_Toc119983781"/>
      <w:bookmarkStart w:id="50" w:name="_Toc119995035"/>
      <w:bookmarkStart w:id="51" w:name="_Toc120340523"/>
      <w:bookmarkStart w:id="52" w:name="_Toc120340574"/>
      <w:bookmarkStart w:id="53" w:name="_Toc120605964"/>
      <w:bookmarkStart w:id="54" w:name="_Toc120674428"/>
      <w:bookmarkStart w:id="55" w:name="_Toc121653423"/>
      <w:bookmarkStart w:id="56" w:name="_Toc121887769"/>
      <w:bookmarkStart w:id="57" w:name="_Toc121891690"/>
      <w:bookmarkStart w:id="58" w:name="_Toc121895071"/>
      <w:bookmarkStart w:id="59" w:name="_Toc121895124"/>
      <w:bookmarkStart w:id="60" w:name="_Toc121904569"/>
      <w:bookmarkStart w:id="61" w:name="_Toc121908006"/>
      <w:bookmarkStart w:id="62" w:name="_Toc121908063"/>
      <w:bookmarkStart w:id="63" w:name="_Toc121908268"/>
      <w:bookmarkStart w:id="64" w:name="_Toc122164495"/>
      <w:bookmarkStart w:id="65" w:name="_Toc122250654"/>
      <w:bookmarkStart w:id="66" w:name="_Toc122430223"/>
      <w:bookmarkStart w:id="67" w:name="_Toc122430830"/>
      <w:bookmarkStart w:id="68" w:name="_Toc122431940"/>
      <w:bookmarkStart w:id="69" w:name="_Toc123017368"/>
      <w:bookmarkStart w:id="70" w:name="_Toc123119038"/>
      <w:bookmarkStart w:id="71" w:name="_Toc123120652"/>
      <w:bookmarkStart w:id="72" w:name="_Toc123641601"/>
      <w:bookmarkStart w:id="73" w:name="_Toc123696800"/>
      <w:bookmarkStart w:id="74" w:name="_Toc123698883"/>
      <w:bookmarkStart w:id="75" w:name="_Toc123702484"/>
      <w:bookmarkStart w:id="76" w:name="_Toc123705323"/>
      <w:bookmarkStart w:id="77" w:name="_Toc123706598"/>
      <w:bookmarkStart w:id="78" w:name="_Toc123711767"/>
      <w:bookmarkStart w:id="79" w:name="_Toc123715869"/>
      <w:bookmarkStart w:id="80" w:name="_Toc123727034"/>
      <w:bookmarkStart w:id="81" w:name="_Toc124068202"/>
      <w:bookmarkStart w:id="82" w:name="_Toc124069249"/>
      <w:bookmarkStart w:id="83" w:name="_Toc124070243"/>
      <w:bookmarkStart w:id="84" w:name="_Toc124071038"/>
      <w:bookmarkStart w:id="85" w:name="_Toc124071104"/>
      <w:bookmarkStart w:id="86" w:name="_Toc124142628"/>
      <w:bookmarkStart w:id="87" w:name="_Toc124146163"/>
      <w:bookmarkStart w:id="88" w:name="_Toc124150336"/>
      <w:bookmarkStart w:id="89" w:name="_Toc124151788"/>
      <w:bookmarkStart w:id="90" w:name="_Toc124159499"/>
      <w:bookmarkStart w:id="91" w:name="_Toc124660245"/>
      <w:bookmarkStart w:id="92" w:name="_Toc143600726"/>
      <w:bookmarkStart w:id="93" w:name="_Toc143601066"/>
      <w:bookmarkStart w:id="94" w:name="_Toc143684790"/>
      <w:bookmarkStart w:id="95" w:name="_Toc143919699"/>
      <w:bookmarkStart w:id="96" w:name="_Toc143922574"/>
      <w:bookmarkStart w:id="97" w:name="_Toc143924660"/>
      <w:bookmarkStart w:id="98" w:name="_Toc143926126"/>
      <w:bookmarkStart w:id="99" w:name="_Toc143934987"/>
      <w:bookmarkStart w:id="100" w:name="_Toc144001140"/>
      <w:bookmarkStart w:id="101" w:name="_Toc144182408"/>
      <w:bookmarkStart w:id="102" w:name="_Toc148955129"/>
      <w:bookmarkStart w:id="103" w:name="_Toc149703989"/>
      <w:bookmarkStart w:id="104" w:name="_Toc149704174"/>
      <w:bookmarkStart w:id="105" w:name="_Toc149705940"/>
      <w:bookmarkStart w:id="106" w:name="_Toc149706025"/>
      <w:bookmarkStart w:id="107" w:name="_Toc149709849"/>
      <w:bookmarkStart w:id="108" w:name="_Toc149971826"/>
      <w:bookmarkStart w:id="109" w:name="_Toc149972244"/>
      <w:bookmarkStart w:id="110" w:name="_Toc149972409"/>
      <w:bookmarkStart w:id="111" w:name="_Toc151268324"/>
      <w:bookmarkStart w:id="112" w:name="_Toc151268391"/>
      <w:bookmarkStart w:id="113" w:name="_Toc151271502"/>
      <w:bookmarkStart w:id="114" w:name="_Toc151278867"/>
      <w:bookmarkStart w:id="115" w:name="_Toc152137330"/>
      <w:bookmarkStart w:id="116" w:name="_Toc152140758"/>
      <w:bookmarkStart w:id="117" w:name="_Toc153087212"/>
      <w:bookmarkStart w:id="118" w:name="_Toc153090589"/>
      <w:bookmarkStart w:id="119" w:name="_Toc153090856"/>
      <w:bookmarkStart w:id="120" w:name="_Toc153095229"/>
      <w:bookmarkStart w:id="121" w:name="_Toc164489887"/>
      <w:bookmarkStart w:id="122" w:name="_Toc164492377"/>
      <w:bookmarkStart w:id="123" w:name="_Toc164651149"/>
      <w:bookmarkStart w:id="124" w:name="_Toc164651342"/>
      <w:bookmarkStart w:id="125" w:name="_Toc164651441"/>
      <w:bookmarkStart w:id="126" w:name="_Toc164652596"/>
      <w:bookmarkStart w:id="127" w:name="_Toc164653896"/>
      <w:bookmarkStart w:id="128" w:name="_Toc164659454"/>
      <w:bookmarkStart w:id="129" w:name="_Toc171939757"/>
      <w:bookmarkStart w:id="130" w:name="_Toc171939927"/>
      <w:bookmarkStart w:id="131" w:name="_Toc178578589"/>
      <w:bookmarkStart w:id="132" w:name="_Toc181785605"/>
      <w:bookmarkStart w:id="133" w:name="_Toc181786231"/>
      <w:bookmarkStart w:id="134" w:name="_Toc181786861"/>
      <w:bookmarkStart w:id="135" w:name="_Toc182888073"/>
      <w:bookmarkStart w:id="136" w:name="_Toc182905552"/>
      <w:bookmarkStart w:id="137" w:name="_Toc183940650"/>
      <w:bookmarkStart w:id="138" w:name="_Toc183941227"/>
      <w:bookmarkStart w:id="139" w:name="_Toc183941532"/>
      <w:bookmarkStart w:id="140" w:name="_Toc183941617"/>
      <w:bookmarkStart w:id="141" w:name="_Toc183941957"/>
      <w:bookmarkStart w:id="142" w:name="_Toc184011906"/>
      <w:bookmarkStart w:id="143" w:name="_Toc184016246"/>
      <w:bookmarkStart w:id="144" w:name="_Toc184024335"/>
      <w:bookmarkStart w:id="145" w:name="_Toc184024407"/>
      <w:bookmarkStart w:id="146" w:name="_Toc184024873"/>
      <w:bookmarkStart w:id="147" w:name="_Toc184024944"/>
      <w:bookmarkStart w:id="148" w:name="_Toc184028012"/>
      <w:bookmarkStart w:id="149" w:name="_Toc184028242"/>
      <w:bookmarkStart w:id="150" w:name="_Toc184610223"/>
      <w:bookmarkStart w:id="151" w:name="_Toc184619730"/>
      <w:bookmarkStart w:id="152" w:name="_Toc184620055"/>
      <w:bookmarkStart w:id="153" w:name="_Toc184633464"/>
      <w:bookmarkStart w:id="154" w:name="_Toc184633538"/>
      <w:bookmarkStart w:id="155" w:name="_Toc184633610"/>
      <w:bookmarkStart w:id="156" w:name="_Toc184702828"/>
      <w:bookmarkStart w:id="157" w:name="_Toc184703733"/>
      <w:bookmarkStart w:id="158" w:name="_Toc184703831"/>
      <w:bookmarkStart w:id="159" w:name="_Toc186857876"/>
      <w:bookmarkStart w:id="160" w:name="_Toc186873224"/>
      <w:bookmarkStart w:id="161" w:name="_Toc186873279"/>
      <w:bookmarkStart w:id="162" w:name="_Toc191959907"/>
      <w:bookmarkStart w:id="163" w:name="_Toc191980607"/>
      <w:bookmarkStart w:id="164" w:name="_Toc2656645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23332722"/>
      <w:bookmarkStart w:id="166" w:name="_Toc425219441"/>
      <w:bookmarkStart w:id="167" w:name="_Toc426249308"/>
      <w:bookmarkStart w:id="168" w:name="_Toc449924704"/>
      <w:bookmarkStart w:id="169" w:name="_Toc449947722"/>
      <w:bookmarkStart w:id="170" w:name="_Toc454185713"/>
      <w:bookmarkStart w:id="171" w:name="_Toc515958686"/>
      <w:bookmarkStart w:id="172" w:name="_Toc184703832"/>
      <w:bookmarkStart w:id="173" w:name="_Toc265664524"/>
      <w:r>
        <w:rPr>
          <w:rStyle w:val="CharSectno"/>
        </w:rPr>
        <w:t>1</w:t>
      </w:r>
      <w:r>
        <w:t>.</w:t>
      </w:r>
      <w:r>
        <w:tab/>
        <w:t>Citation</w:t>
      </w:r>
      <w:bookmarkEnd w:id="165"/>
      <w:bookmarkEnd w:id="166"/>
      <w:bookmarkEnd w:id="167"/>
      <w:bookmarkEnd w:id="168"/>
      <w:bookmarkEnd w:id="169"/>
      <w:bookmarkEnd w:id="170"/>
      <w:bookmarkEnd w:id="171"/>
      <w:bookmarkEnd w:id="172"/>
      <w:bookmarkEnd w:id="173"/>
    </w:p>
    <w:p>
      <w:pPr>
        <w:pStyle w:val="Subsection"/>
        <w:rPr>
          <w:i/>
        </w:rPr>
      </w:pPr>
      <w:r>
        <w:tab/>
      </w:r>
      <w:r>
        <w:tab/>
      </w:r>
      <w:bookmarkStart w:id="174" w:name="Start_Cursor"/>
      <w:bookmarkEnd w:id="174"/>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5" w:name="_Toc184703833"/>
      <w:bookmarkStart w:id="176" w:name="_Toc265664525"/>
      <w:r>
        <w:rPr>
          <w:rStyle w:val="CharSectno"/>
        </w:rPr>
        <w:t>2</w:t>
      </w:r>
      <w:r>
        <w:t>.</w:t>
      </w:r>
      <w:r>
        <w:tab/>
        <w:t>Commencement</w:t>
      </w:r>
      <w:bookmarkEnd w:id="175"/>
      <w:bookmarkEnd w:id="17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77" w:name="_Toc265664526"/>
      <w:r>
        <w:rPr>
          <w:rStyle w:val="CharSectno"/>
        </w:rPr>
        <w:t>3</w:t>
      </w:r>
      <w:r>
        <w:t>.</w:t>
      </w:r>
      <w:r>
        <w:tab/>
        <w:t>Terms used in these regulations</w:t>
      </w:r>
      <w:bookmarkEnd w:id="177"/>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r>
        <w:rPr>
          <w:i/>
        </w:rPr>
        <w:t>Curtin University of Technology Act 1966</w:t>
      </w:r>
      <w:r>
        <w:t>;</w:t>
      </w:r>
    </w:p>
    <w:p>
      <w:pPr>
        <w:pStyle w:val="Defsubpara"/>
      </w:pPr>
      <w:r>
        <w:tab/>
        <w:t>(ii)</w:t>
      </w:r>
      <w:r>
        <w:tab/>
      </w:r>
      <w:r>
        <w:rPr>
          <w:i/>
        </w:rPr>
        <w:t>Edith Cowan University Act 1984</w:t>
      </w:r>
      <w:r>
        <w:t>;</w:t>
      </w:r>
    </w:p>
    <w:p>
      <w:pPr>
        <w:pStyle w:val="Defsubpara"/>
      </w:pPr>
      <w:r>
        <w:tab/>
        <w:t>(iii)</w:t>
      </w:r>
      <w:r>
        <w:tab/>
      </w:r>
      <w:r>
        <w:rPr>
          <w:i/>
        </w:rPr>
        <w:t>Murdoch University Act 1973</w:t>
      </w:r>
      <w:r>
        <w:t>;</w:t>
      </w:r>
    </w:p>
    <w:p>
      <w:pPr>
        <w:pStyle w:val="Defsubpara"/>
      </w:pPr>
      <w:r>
        <w:tab/>
        <w:t>(iv)</w:t>
      </w:r>
      <w:r>
        <w:tab/>
      </w:r>
      <w:r>
        <w:rPr>
          <w:i/>
        </w:rPr>
        <w:t>University of Notre Dame Australia Act 1989</w:t>
      </w:r>
      <w:r>
        <w:t>;</w:t>
      </w:r>
    </w:p>
    <w:p>
      <w:pPr>
        <w:pStyle w:val="Defsubpara"/>
      </w:pPr>
      <w:r>
        <w:tab/>
        <w:t>(v)</w:t>
      </w:r>
      <w:r>
        <w:tab/>
      </w:r>
      <w:r>
        <w:rPr>
          <w:i/>
        </w:rPr>
        <w:t>University of Western Australia Act 1911</w:t>
      </w:r>
      <w:r>
        <w:t>;</w:t>
      </w:r>
    </w:p>
    <w:p>
      <w:pPr>
        <w:pStyle w:val="Defsubpara"/>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Heading5"/>
      </w:pPr>
      <w:bookmarkStart w:id="178" w:name="_Toc265664527"/>
      <w:r>
        <w:rPr>
          <w:rStyle w:val="CharSectno"/>
        </w:rPr>
        <w:t>4</w:t>
      </w:r>
      <w:r>
        <w:t>.</w:t>
      </w:r>
      <w:r>
        <w:tab/>
        <w:t>Examples and notes are not part of the law</w:t>
      </w:r>
      <w:bookmarkEnd w:id="178"/>
    </w:p>
    <w:p>
      <w:pPr>
        <w:pStyle w:val="Subsection"/>
      </w:pPr>
      <w:r>
        <w:tab/>
      </w:r>
      <w:r>
        <w:tab/>
        <w:t>Examples and notes in these regulations do not form part of them and are provided to assist understanding.</w:t>
      </w:r>
    </w:p>
    <w:p>
      <w:pPr>
        <w:pStyle w:val="Heading5"/>
      </w:pPr>
      <w:bookmarkStart w:id="179" w:name="_Toc265664528"/>
      <w:r>
        <w:rPr>
          <w:rStyle w:val="CharSectno"/>
        </w:rPr>
        <w:t>5</w:t>
      </w:r>
      <w:r>
        <w:t>.</w:t>
      </w:r>
      <w:r>
        <w:tab/>
        <w:t>Supervision and related terms, meaning of</w:t>
      </w:r>
      <w:bookmarkEnd w:id="179"/>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0" w:name="_Toc265664529"/>
      <w:r>
        <w:rPr>
          <w:rStyle w:val="CharSectno"/>
        </w:rPr>
        <w:t>6</w:t>
      </w:r>
      <w:r>
        <w:t>.</w:t>
      </w:r>
      <w:r>
        <w:tab/>
        <w:t>These regulations do not apply to explosives</w:t>
      </w:r>
      <w:bookmarkEnd w:id="180"/>
    </w:p>
    <w:p>
      <w:pPr>
        <w:pStyle w:val="Subsection"/>
      </w:pPr>
      <w:r>
        <w:tab/>
      </w:r>
      <w:r>
        <w:tab/>
        <w:t>These regulations do not apply to or in respect of an explosive.</w:t>
      </w:r>
    </w:p>
    <w:p>
      <w:pPr>
        <w:pStyle w:val="Heading5"/>
      </w:pPr>
      <w:bookmarkStart w:id="181" w:name="_Toc265664530"/>
      <w:r>
        <w:rPr>
          <w:rStyle w:val="CharSectno"/>
        </w:rPr>
        <w:t>7</w:t>
      </w:r>
      <w:r>
        <w:t>.</w:t>
      </w:r>
      <w:r>
        <w:tab/>
        <w:t>These regulations prevail over other regulations</w:t>
      </w:r>
      <w:bookmarkEnd w:id="181"/>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82" w:name="_Toc191959915"/>
      <w:bookmarkStart w:id="183" w:name="_Toc191980615"/>
      <w:bookmarkStart w:id="184" w:name="_Toc265664531"/>
      <w:r>
        <w:rPr>
          <w:rStyle w:val="CharPartNo"/>
        </w:rPr>
        <w:t>Part 2</w:t>
      </w:r>
      <w:r>
        <w:rPr>
          <w:rStyle w:val="CharDivNo"/>
        </w:rPr>
        <w:t> </w:t>
      </w:r>
      <w:r>
        <w:t>—</w:t>
      </w:r>
      <w:r>
        <w:rPr>
          <w:rStyle w:val="CharDivText"/>
        </w:rPr>
        <w:t> </w:t>
      </w:r>
      <w:r>
        <w:rPr>
          <w:rStyle w:val="CharPartText"/>
        </w:rPr>
        <w:t>Administrative matters</w:t>
      </w:r>
      <w:bookmarkEnd w:id="182"/>
      <w:bookmarkEnd w:id="183"/>
      <w:bookmarkEnd w:id="184"/>
    </w:p>
    <w:p>
      <w:pPr>
        <w:pStyle w:val="Heading5"/>
      </w:pPr>
      <w:bookmarkStart w:id="185" w:name="_Toc265664532"/>
      <w:r>
        <w:rPr>
          <w:rStyle w:val="CharSectno"/>
        </w:rPr>
        <w:t>8</w:t>
      </w:r>
      <w:r>
        <w:t>.</w:t>
      </w:r>
      <w:r>
        <w:tab/>
        <w:t>Approval of forms</w:t>
      </w:r>
      <w:bookmarkEnd w:id="185"/>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6" w:name="_Toc191959917"/>
      <w:bookmarkStart w:id="187" w:name="_Toc191980617"/>
      <w:bookmarkStart w:id="188" w:name="_Toc265664533"/>
      <w:r>
        <w:rPr>
          <w:rStyle w:val="CharPartNo"/>
        </w:rPr>
        <w:t>Part 3</w:t>
      </w:r>
      <w:r>
        <w:rPr>
          <w:rStyle w:val="CharDivNo"/>
        </w:rPr>
        <w:t> </w:t>
      </w:r>
      <w:r>
        <w:t>—</w:t>
      </w:r>
      <w:r>
        <w:rPr>
          <w:rStyle w:val="CharDivText"/>
        </w:rPr>
        <w:t> </w:t>
      </w:r>
      <w:r>
        <w:rPr>
          <w:rStyle w:val="CharPartText"/>
        </w:rPr>
        <w:t>Security matters</w:t>
      </w:r>
      <w:bookmarkEnd w:id="186"/>
      <w:bookmarkEnd w:id="187"/>
      <w:bookmarkEnd w:id="188"/>
    </w:p>
    <w:p>
      <w:pPr>
        <w:pStyle w:val="Heading5"/>
      </w:pPr>
      <w:bookmarkStart w:id="189" w:name="_Toc265664534"/>
      <w:r>
        <w:rPr>
          <w:rStyle w:val="CharSectno"/>
        </w:rPr>
        <w:t>9</w:t>
      </w:r>
      <w:r>
        <w:t>.</w:t>
      </w:r>
      <w:r>
        <w:tab/>
        <w:t>Licence holders may authorise employees to have access to SRSs</w:t>
      </w:r>
      <w:bookmarkEnd w:id="189"/>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90" w:name="_Toc265664535"/>
      <w:r>
        <w:rPr>
          <w:rStyle w:val="CharSectno"/>
        </w:rPr>
        <w:t>10</w:t>
      </w:r>
      <w:r>
        <w:t>.</w:t>
      </w:r>
      <w:r>
        <w:tab/>
        <w:t>Licence holders to keep record of secure employees</w:t>
      </w:r>
      <w:bookmarkEnd w:id="190"/>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91" w:name="_Toc265664536"/>
      <w:r>
        <w:rPr>
          <w:rStyle w:val="CharSectno"/>
        </w:rPr>
        <w:t>11</w:t>
      </w:r>
      <w:r>
        <w:t>.</w:t>
      </w:r>
      <w:r>
        <w:tab/>
        <w:t>Secure employee to disclose employer’s details if asked</w:t>
      </w:r>
      <w:bookmarkEnd w:id="191"/>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192" w:name="_Toc191959921"/>
      <w:bookmarkStart w:id="193" w:name="_Toc191980621"/>
      <w:bookmarkStart w:id="194" w:name="_Toc265664537"/>
      <w:r>
        <w:rPr>
          <w:rStyle w:val="CharPartNo"/>
        </w:rPr>
        <w:t>Part 4</w:t>
      </w:r>
      <w:r>
        <w:rPr>
          <w:rStyle w:val="CharDivNo"/>
        </w:rPr>
        <w:t> </w:t>
      </w:r>
      <w:r>
        <w:t>—</w:t>
      </w:r>
      <w:r>
        <w:rPr>
          <w:rStyle w:val="CharDivText"/>
        </w:rPr>
        <w:t> </w:t>
      </w:r>
      <w:r>
        <w:rPr>
          <w:rStyle w:val="CharPartText"/>
        </w:rPr>
        <w:t>Possession of SRSs</w:t>
      </w:r>
      <w:bookmarkEnd w:id="192"/>
      <w:bookmarkEnd w:id="193"/>
      <w:bookmarkEnd w:id="194"/>
    </w:p>
    <w:p>
      <w:pPr>
        <w:pStyle w:val="Heading5"/>
      </w:pPr>
      <w:bookmarkStart w:id="195" w:name="_Toc265664538"/>
      <w:r>
        <w:rPr>
          <w:rStyle w:val="CharSectno"/>
        </w:rPr>
        <w:t>12</w:t>
      </w:r>
      <w:r>
        <w:t>.</w:t>
      </w:r>
      <w:r>
        <w:tab/>
        <w:t>Licensing requirements</w:t>
      </w:r>
      <w:bookmarkEnd w:id="195"/>
    </w:p>
    <w:p>
      <w:pPr>
        <w:pStyle w:val="Subsection"/>
      </w:pPr>
      <w:r>
        <w:tab/>
        <w:t>(1)</w:t>
      </w:r>
      <w:r>
        <w:tab/>
        <w:t>A person in possession of a quantity of an SRS must hold at least one of these licences that relates to the SRS and authorises the possession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Heading5"/>
      </w:pPr>
      <w:bookmarkStart w:id="196" w:name="_Toc265664539"/>
      <w:r>
        <w:rPr>
          <w:rStyle w:val="CharSectno"/>
        </w:rPr>
        <w:t>13</w:t>
      </w:r>
      <w:r>
        <w:t>.</w:t>
      </w:r>
      <w:r>
        <w:tab/>
        <w:t>Licences etc. to be carried</w:t>
      </w:r>
      <w:bookmarkEnd w:id="196"/>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197" w:name="_Toc265664540"/>
      <w:r>
        <w:rPr>
          <w:rStyle w:val="CharSectno"/>
        </w:rPr>
        <w:t>14</w:t>
      </w:r>
      <w:r>
        <w:t>.</w:t>
      </w:r>
      <w:r>
        <w:tab/>
        <w:t>Duties to keep SRS secure</w:t>
      </w:r>
      <w:bookmarkEnd w:id="197"/>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198" w:name="_Toc191959925"/>
      <w:bookmarkStart w:id="199" w:name="_Toc191980625"/>
      <w:bookmarkStart w:id="200" w:name="_Toc265664541"/>
      <w:r>
        <w:rPr>
          <w:rStyle w:val="CharPartNo"/>
        </w:rPr>
        <w:t>Part 5</w:t>
      </w:r>
      <w:r>
        <w:rPr>
          <w:rStyle w:val="CharDivNo"/>
        </w:rPr>
        <w:t> </w:t>
      </w:r>
      <w:r>
        <w:t>—</w:t>
      </w:r>
      <w:r>
        <w:rPr>
          <w:rStyle w:val="CharDivText"/>
        </w:rPr>
        <w:t> </w:t>
      </w:r>
      <w:r>
        <w:rPr>
          <w:rStyle w:val="CharPartText"/>
        </w:rPr>
        <w:t>Import and export of SRSs</w:t>
      </w:r>
      <w:bookmarkEnd w:id="198"/>
      <w:bookmarkEnd w:id="199"/>
      <w:bookmarkEnd w:id="200"/>
    </w:p>
    <w:p>
      <w:pPr>
        <w:pStyle w:val="Heading5"/>
      </w:pPr>
      <w:bookmarkStart w:id="201" w:name="_Toc265664542"/>
      <w:r>
        <w:rPr>
          <w:rStyle w:val="CharSectno"/>
        </w:rPr>
        <w:t>15</w:t>
      </w:r>
      <w:r>
        <w:t>.</w:t>
      </w:r>
      <w:r>
        <w:tab/>
        <w:t>Terms used in this Part</w:t>
      </w:r>
      <w:bookmarkEnd w:id="201"/>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202" w:name="_Toc265664543"/>
      <w:r>
        <w:rPr>
          <w:rStyle w:val="CharSectno"/>
        </w:rPr>
        <w:t>16</w:t>
      </w:r>
      <w:r>
        <w:t>.</w:t>
      </w:r>
      <w:r>
        <w:tab/>
        <w:t>Licensing requirements</w:t>
      </w:r>
      <w:bookmarkEnd w:id="202"/>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03" w:name="_Toc265664544"/>
      <w:r>
        <w:rPr>
          <w:rStyle w:val="CharSectno"/>
        </w:rPr>
        <w:t>17</w:t>
      </w:r>
      <w:r>
        <w:t>.</w:t>
      </w:r>
      <w:r>
        <w:tab/>
        <w:t>Import and export, requirements prior to</w:t>
      </w:r>
      <w:bookmarkEnd w:id="203"/>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 and</w:t>
      </w:r>
    </w:p>
    <w:p>
      <w:pPr>
        <w:pStyle w:val="Indenta"/>
      </w:pPr>
      <w:r>
        <w:tab/>
        <w:t>(d)</w:t>
      </w:r>
      <w:r>
        <w:tab/>
        <w:t>a certificate of analysis of the SRS signed by the holder.</w:t>
      </w:r>
    </w:p>
    <w:p>
      <w:pPr>
        <w:pStyle w:val="Penstart"/>
      </w:pPr>
      <w:r>
        <w:tab/>
        <w:t>Penalty: a level 2 fine.</w:t>
      </w:r>
    </w:p>
    <w:p>
      <w:pPr>
        <w:pStyle w:val="Heading5"/>
      </w:pPr>
      <w:bookmarkStart w:id="204" w:name="_Toc265664545"/>
      <w:r>
        <w:rPr>
          <w:rStyle w:val="CharSectno"/>
        </w:rPr>
        <w:t>18</w:t>
      </w:r>
      <w:r>
        <w:t>.</w:t>
      </w:r>
      <w:r>
        <w:tab/>
        <w:t>Import and export notices, form and content of</w:t>
      </w:r>
      <w:bookmarkEnd w:id="204"/>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5 years after the date of the import or export of the SRS.</w:t>
      </w:r>
    </w:p>
    <w:p>
      <w:pPr>
        <w:pStyle w:val="Penstart"/>
      </w:pPr>
      <w:r>
        <w:tab/>
        <w:t>Penalty: a level 3 fine.</w:t>
      </w:r>
    </w:p>
    <w:p>
      <w:pPr>
        <w:pStyle w:val="Heading5"/>
      </w:pPr>
      <w:bookmarkStart w:id="205" w:name="_Toc265664546"/>
      <w:r>
        <w:rPr>
          <w:rStyle w:val="CharSectno"/>
        </w:rPr>
        <w:t>19</w:t>
      </w:r>
      <w:r>
        <w:t>.</w:t>
      </w:r>
      <w:r>
        <w:tab/>
        <w:t>Chief Officer may direct that SRS be analysed</w:t>
      </w:r>
      <w:bookmarkEnd w:id="205"/>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06" w:name="_Toc191959931"/>
      <w:bookmarkStart w:id="207" w:name="_Toc191980631"/>
      <w:bookmarkStart w:id="208" w:name="_Toc265664547"/>
      <w:r>
        <w:rPr>
          <w:rStyle w:val="CharPartNo"/>
        </w:rPr>
        <w:t>Part 6</w:t>
      </w:r>
      <w:r>
        <w:rPr>
          <w:rStyle w:val="CharDivNo"/>
        </w:rPr>
        <w:t> </w:t>
      </w:r>
      <w:r>
        <w:t>—</w:t>
      </w:r>
      <w:r>
        <w:rPr>
          <w:rStyle w:val="CharDivText"/>
        </w:rPr>
        <w:t> </w:t>
      </w:r>
      <w:r>
        <w:rPr>
          <w:rStyle w:val="CharPartText"/>
        </w:rPr>
        <w:t>Manufacture of SRSs</w:t>
      </w:r>
      <w:bookmarkEnd w:id="206"/>
      <w:bookmarkEnd w:id="207"/>
      <w:bookmarkEnd w:id="208"/>
    </w:p>
    <w:p>
      <w:pPr>
        <w:pStyle w:val="Heading5"/>
      </w:pPr>
      <w:bookmarkStart w:id="209" w:name="_Toc265664548"/>
      <w:r>
        <w:rPr>
          <w:rStyle w:val="CharSectno"/>
        </w:rPr>
        <w:t>20</w:t>
      </w:r>
      <w:r>
        <w:t>.</w:t>
      </w:r>
      <w:r>
        <w:tab/>
        <w:t>Terms used in this Part</w:t>
      </w:r>
      <w:bookmarkEnd w:id="209"/>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10" w:name="_Toc265664549"/>
      <w:r>
        <w:rPr>
          <w:rStyle w:val="CharSectno"/>
        </w:rPr>
        <w:t>21</w:t>
      </w:r>
      <w:r>
        <w:t>.</w:t>
      </w:r>
      <w:r>
        <w:tab/>
        <w:t>Licensing requirements</w:t>
      </w:r>
      <w:bookmarkEnd w:id="210"/>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at the premises of the institution or organisation for educational or research purposes that do not involve the manufacture of an illegal product; and</w:t>
      </w:r>
    </w:p>
    <w:p>
      <w:pPr>
        <w:pStyle w:val="Indenta"/>
      </w:pPr>
      <w:r>
        <w:tab/>
        <w:t>(c)</w:t>
      </w:r>
      <w:r>
        <w:tab/>
        <w:t>there is not more than 3 kg of any SRS at the premises.</w:t>
      </w:r>
    </w:p>
    <w:p>
      <w:pPr>
        <w:pStyle w:val="NotesPerm"/>
      </w:pPr>
      <w:r>
        <w:tab/>
        <w:t>Note: the Act s. 11 (Unlicensed person involved with dangerous goods).</w:t>
      </w:r>
    </w:p>
    <w:p>
      <w:pPr>
        <w:pStyle w:val="Heading2"/>
      </w:pPr>
      <w:bookmarkStart w:id="211" w:name="_Toc191959934"/>
      <w:bookmarkStart w:id="212" w:name="_Toc191980634"/>
      <w:bookmarkStart w:id="213" w:name="_Toc265664550"/>
      <w:r>
        <w:rPr>
          <w:rStyle w:val="CharPartNo"/>
        </w:rPr>
        <w:t>Part 7</w:t>
      </w:r>
      <w:r>
        <w:rPr>
          <w:rStyle w:val="CharDivNo"/>
        </w:rPr>
        <w:t> </w:t>
      </w:r>
      <w:r>
        <w:t>—</w:t>
      </w:r>
      <w:r>
        <w:rPr>
          <w:rStyle w:val="CharDivText"/>
        </w:rPr>
        <w:t> </w:t>
      </w:r>
      <w:r>
        <w:rPr>
          <w:rStyle w:val="CharPartText"/>
        </w:rPr>
        <w:t>Storage of SRSs</w:t>
      </w:r>
      <w:bookmarkEnd w:id="211"/>
      <w:bookmarkEnd w:id="212"/>
      <w:bookmarkEnd w:id="213"/>
    </w:p>
    <w:p>
      <w:pPr>
        <w:pStyle w:val="Heading5"/>
      </w:pPr>
      <w:bookmarkStart w:id="214" w:name="_Toc265664551"/>
      <w:r>
        <w:rPr>
          <w:rStyle w:val="CharSectno"/>
        </w:rPr>
        <w:t>22</w:t>
      </w:r>
      <w:r>
        <w:t>.</w:t>
      </w:r>
      <w:r>
        <w:tab/>
        <w:t>Licensing requirements</w:t>
      </w:r>
      <w:bookmarkEnd w:id="214"/>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Heading5"/>
      </w:pPr>
      <w:bookmarkStart w:id="215" w:name="_Toc265664552"/>
      <w:r>
        <w:rPr>
          <w:rStyle w:val="CharSectno"/>
        </w:rPr>
        <w:t>23</w:t>
      </w:r>
      <w:r>
        <w:t>.</w:t>
      </w:r>
      <w:r>
        <w:tab/>
        <w:t>Storage requirements, specific</w:t>
      </w:r>
      <w:bookmarkEnd w:id="215"/>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16" w:name="_Toc191959937"/>
      <w:bookmarkStart w:id="217" w:name="_Toc191980637"/>
      <w:bookmarkStart w:id="218" w:name="_Toc265664553"/>
      <w:r>
        <w:rPr>
          <w:rStyle w:val="CharPartNo"/>
        </w:rPr>
        <w:t>Part 8</w:t>
      </w:r>
      <w:r>
        <w:rPr>
          <w:rStyle w:val="CharDivNo"/>
        </w:rPr>
        <w:t> </w:t>
      </w:r>
      <w:r>
        <w:t>—</w:t>
      </w:r>
      <w:r>
        <w:rPr>
          <w:rStyle w:val="CharDivText"/>
        </w:rPr>
        <w:t> </w:t>
      </w:r>
      <w:r>
        <w:rPr>
          <w:rStyle w:val="CharPartText"/>
        </w:rPr>
        <w:t>Transport of SRSs</w:t>
      </w:r>
      <w:bookmarkEnd w:id="216"/>
      <w:bookmarkEnd w:id="217"/>
      <w:bookmarkEnd w:id="218"/>
    </w:p>
    <w:p>
      <w:pPr>
        <w:pStyle w:val="Heading5"/>
      </w:pPr>
      <w:bookmarkStart w:id="219" w:name="_Toc265664554"/>
      <w:r>
        <w:rPr>
          <w:rStyle w:val="CharSectno"/>
        </w:rPr>
        <w:t>24</w:t>
      </w:r>
      <w:r>
        <w:t>.</w:t>
      </w:r>
      <w:r>
        <w:tab/>
        <w:t>Licensing requirements</w:t>
      </w:r>
      <w:bookmarkEnd w:id="219"/>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20" w:name="_Toc265664555"/>
      <w:r>
        <w:rPr>
          <w:rStyle w:val="CharSectno"/>
        </w:rPr>
        <w:t>25</w:t>
      </w:r>
      <w:r>
        <w:t>.</w:t>
      </w:r>
      <w:r>
        <w:tab/>
        <w:t>Interstate licences, compliance with etc.</w:t>
      </w:r>
      <w:bookmarkEnd w:id="220"/>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Subsection"/>
      </w:pPr>
      <w:r>
        <w:tab/>
        <w:t>(2)</w:t>
      </w:r>
      <w:r>
        <w:tab/>
        <w:t xml:space="preserve">A person convicted of an offence under subregulation (1) may be punished for the offence even if the condition contravened is subsequently amended or cancelled, despite </w:t>
      </w:r>
      <w:r>
        <w:rPr>
          <w:i/>
        </w:rPr>
        <w:t>The Criminal Code</w:t>
      </w:r>
      <w:r>
        <w:t xml:space="preserve"> section 11.</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Heading5"/>
      </w:pPr>
      <w:bookmarkStart w:id="221" w:name="_Toc265664556"/>
      <w:r>
        <w:rPr>
          <w:rStyle w:val="CharSectno"/>
        </w:rPr>
        <w:t>26</w:t>
      </w:r>
      <w:r>
        <w:t>.</w:t>
      </w:r>
      <w:r>
        <w:tab/>
        <w:t>Security breach, duty to report</w:t>
      </w:r>
      <w:bookmarkEnd w:id="221"/>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22" w:name="_Toc191959941"/>
      <w:bookmarkStart w:id="223" w:name="_Toc191980641"/>
      <w:bookmarkStart w:id="224" w:name="_Toc265664557"/>
      <w:r>
        <w:rPr>
          <w:rStyle w:val="CharPartNo"/>
        </w:rPr>
        <w:t>Part 9</w:t>
      </w:r>
      <w:r>
        <w:rPr>
          <w:rStyle w:val="CharDivNo"/>
        </w:rPr>
        <w:t> </w:t>
      </w:r>
      <w:r>
        <w:t>—</w:t>
      </w:r>
      <w:r>
        <w:rPr>
          <w:rStyle w:val="CharDivText"/>
        </w:rPr>
        <w:t> </w:t>
      </w:r>
      <w:r>
        <w:rPr>
          <w:rStyle w:val="CharPartText"/>
        </w:rPr>
        <w:t>Supply of SRSs</w:t>
      </w:r>
      <w:bookmarkEnd w:id="222"/>
      <w:bookmarkEnd w:id="223"/>
      <w:bookmarkEnd w:id="224"/>
    </w:p>
    <w:p>
      <w:pPr>
        <w:pStyle w:val="Heading5"/>
      </w:pPr>
      <w:bookmarkStart w:id="225" w:name="_Toc265664558"/>
      <w:r>
        <w:rPr>
          <w:rStyle w:val="CharSectno"/>
        </w:rPr>
        <w:t>27</w:t>
      </w:r>
      <w:r>
        <w:t>.</w:t>
      </w:r>
      <w:r>
        <w:tab/>
        <w:t>Licensing requirements</w:t>
      </w:r>
      <w:bookmarkEnd w:id="225"/>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at premises of the institution or organisation that do not involve the manufacture of an illegal product; and</w:t>
      </w:r>
    </w:p>
    <w:p>
      <w:pPr>
        <w:pStyle w:val="Indenta"/>
      </w:pPr>
      <w:r>
        <w:tab/>
        <w:t>(c)</w:t>
      </w:r>
      <w:r>
        <w:tab/>
        <w:t>not more than 3 kg of any SRS is at the premises.</w:t>
      </w:r>
    </w:p>
    <w:p>
      <w:pPr>
        <w:pStyle w:val="NotesPerm"/>
      </w:pPr>
      <w:r>
        <w:tab/>
        <w:t>Note: the Act s. 11 (Unlicensed person involved with dangerous goods).</w:t>
      </w:r>
    </w:p>
    <w:p>
      <w:pPr>
        <w:pStyle w:val="Heading5"/>
      </w:pPr>
      <w:bookmarkStart w:id="226" w:name="_Toc265664559"/>
      <w:r>
        <w:rPr>
          <w:rStyle w:val="CharSectno"/>
        </w:rPr>
        <w:t>28</w:t>
      </w:r>
      <w:r>
        <w:t>.</w:t>
      </w:r>
      <w:r>
        <w:tab/>
        <w:t>Suppliers, duties of</w:t>
      </w:r>
      <w:bookmarkEnd w:id="226"/>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a passport or a driver’s licence issued in Australia, 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5 years after the date of the supply of the SRS.</w:t>
      </w:r>
    </w:p>
    <w:p>
      <w:pPr>
        <w:pStyle w:val="Penstart"/>
      </w:pPr>
      <w:r>
        <w:tab/>
        <w:t>Penalty: a level 1 fine and imprisonment for 10 months.</w:t>
      </w:r>
    </w:p>
    <w:p>
      <w:pPr>
        <w:pStyle w:val="Heading2"/>
      </w:pPr>
      <w:bookmarkStart w:id="227" w:name="_Toc191959944"/>
      <w:bookmarkStart w:id="228" w:name="_Toc191980644"/>
      <w:bookmarkStart w:id="229" w:name="_Toc265664560"/>
      <w:r>
        <w:rPr>
          <w:rStyle w:val="CharPartNo"/>
        </w:rPr>
        <w:t>Part 10</w:t>
      </w:r>
      <w:r>
        <w:t> — </w:t>
      </w:r>
      <w:r>
        <w:rPr>
          <w:rStyle w:val="CharPartText"/>
        </w:rPr>
        <w:t>Licences</w:t>
      </w:r>
      <w:bookmarkEnd w:id="227"/>
      <w:bookmarkEnd w:id="228"/>
      <w:bookmarkEnd w:id="229"/>
    </w:p>
    <w:p>
      <w:pPr>
        <w:pStyle w:val="Heading3"/>
      </w:pPr>
      <w:bookmarkStart w:id="230" w:name="_Toc191959945"/>
      <w:bookmarkStart w:id="231" w:name="_Toc191980645"/>
      <w:bookmarkStart w:id="232" w:name="_Toc265664561"/>
      <w:r>
        <w:rPr>
          <w:rStyle w:val="CharDivNo"/>
        </w:rPr>
        <w:t>Division 1</w:t>
      </w:r>
      <w:r>
        <w:t> — </w:t>
      </w:r>
      <w:r>
        <w:rPr>
          <w:rStyle w:val="CharDivText"/>
        </w:rPr>
        <w:t>Preliminary</w:t>
      </w:r>
      <w:bookmarkEnd w:id="230"/>
      <w:bookmarkEnd w:id="231"/>
      <w:bookmarkEnd w:id="232"/>
    </w:p>
    <w:p>
      <w:pPr>
        <w:pStyle w:val="Heading5"/>
      </w:pPr>
      <w:bookmarkStart w:id="233" w:name="_Toc265664562"/>
      <w:r>
        <w:rPr>
          <w:rStyle w:val="CharSectno"/>
        </w:rPr>
        <w:t>29</w:t>
      </w:r>
      <w:r>
        <w:t>.</w:t>
      </w:r>
      <w:r>
        <w:tab/>
        <w:t>Terms used in this Part</w:t>
      </w:r>
      <w:bookmarkEnd w:id="233"/>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34" w:name="_Toc191959947"/>
      <w:bookmarkStart w:id="235" w:name="_Toc191980647"/>
      <w:bookmarkStart w:id="236" w:name="_Toc265664563"/>
      <w:r>
        <w:rPr>
          <w:rStyle w:val="CharDivNo"/>
        </w:rPr>
        <w:t>Division 2</w:t>
      </w:r>
      <w:r>
        <w:t> — </w:t>
      </w:r>
      <w:r>
        <w:rPr>
          <w:rStyle w:val="CharDivText"/>
        </w:rPr>
        <w:t>General provisions</w:t>
      </w:r>
      <w:bookmarkEnd w:id="234"/>
      <w:bookmarkEnd w:id="235"/>
      <w:bookmarkEnd w:id="236"/>
    </w:p>
    <w:p>
      <w:pPr>
        <w:pStyle w:val="Heading5"/>
      </w:pPr>
      <w:bookmarkStart w:id="237" w:name="_Toc265664564"/>
      <w:r>
        <w:rPr>
          <w:rStyle w:val="CharSectno"/>
        </w:rPr>
        <w:t>30</w:t>
      </w:r>
      <w:r>
        <w:t>.</w:t>
      </w:r>
      <w:r>
        <w:tab/>
        <w:t>Applying for a licence</w:t>
      </w:r>
      <w:bookmarkEnd w:id="23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238" w:name="_Toc265664565"/>
      <w:r>
        <w:rPr>
          <w:rStyle w:val="CharSectno"/>
        </w:rPr>
        <w:t>31</w:t>
      </w:r>
      <w:r>
        <w:t>.</w:t>
      </w:r>
      <w:r>
        <w:tab/>
        <w:t>Security plans</w:t>
      </w:r>
      <w:bookmarkEnd w:id="238"/>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Heading5"/>
      </w:pPr>
      <w:bookmarkStart w:id="239" w:name="_Toc265664566"/>
      <w:r>
        <w:rPr>
          <w:rStyle w:val="CharSectno"/>
        </w:rPr>
        <w:t>32</w:t>
      </w:r>
      <w:r>
        <w:t>.</w:t>
      </w:r>
      <w:r>
        <w:tab/>
        <w:t>Dealing with applications</w:t>
      </w:r>
      <w:bookmarkEnd w:id="239"/>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240" w:name="_Toc265664567"/>
      <w:r>
        <w:rPr>
          <w:rStyle w:val="CharSectno"/>
        </w:rPr>
        <w:t>33</w:t>
      </w:r>
      <w:r>
        <w:t>.</w:t>
      </w:r>
      <w:r>
        <w:tab/>
        <w:t>Licences issued to bodies corporate and partnerships</w:t>
      </w:r>
      <w:bookmarkEnd w:id="240"/>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41" w:name="_Toc265664568"/>
      <w:r>
        <w:rPr>
          <w:rStyle w:val="CharSectno"/>
        </w:rPr>
        <w:t>34</w:t>
      </w:r>
      <w:r>
        <w:t>.</w:t>
      </w:r>
      <w:r>
        <w:tab/>
        <w:t>Conditions of licences</w:t>
      </w:r>
      <w:bookmarkEnd w:id="241"/>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42" w:name="_Toc265664569"/>
      <w:r>
        <w:rPr>
          <w:rStyle w:val="CharSectno"/>
        </w:rPr>
        <w:t>35</w:t>
      </w:r>
      <w:r>
        <w:t>.</w:t>
      </w:r>
      <w:r>
        <w:tab/>
        <w:t>Duration of licences</w:t>
      </w:r>
      <w:bookmarkEnd w:id="242"/>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43" w:name="_Toc265664570"/>
      <w:r>
        <w:rPr>
          <w:rStyle w:val="CharSectno"/>
        </w:rPr>
        <w:t>36</w:t>
      </w:r>
      <w:r>
        <w:t>.</w:t>
      </w:r>
      <w:r>
        <w:tab/>
        <w:t>Form of licences</w:t>
      </w:r>
      <w:bookmarkEnd w:id="243"/>
    </w:p>
    <w:p>
      <w:pPr>
        <w:pStyle w:val="Subsection"/>
      </w:pPr>
      <w:r>
        <w:tab/>
      </w:r>
      <w:r>
        <w:tab/>
        <w:t>A licence must be in writing in such form as the Chief Officer decides.</w:t>
      </w:r>
    </w:p>
    <w:p>
      <w:pPr>
        <w:pStyle w:val="Heading5"/>
      </w:pPr>
      <w:bookmarkStart w:id="244" w:name="_Toc265664571"/>
      <w:r>
        <w:rPr>
          <w:rStyle w:val="CharSectno"/>
        </w:rPr>
        <w:t>37</w:t>
      </w:r>
      <w:r>
        <w:t>.</w:t>
      </w:r>
      <w:r>
        <w:tab/>
        <w:t>Licences not transferable etc.</w:t>
      </w:r>
      <w:bookmarkEnd w:id="24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45" w:name="_Toc265664572"/>
      <w:r>
        <w:rPr>
          <w:rStyle w:val="CharSectno"/>
        </w:rPr>
        <w:t>38</w:t>
      </w:r>
      <w:r>
        <w:t>.</w:t>
      </w:r>
      <w:r>
        <w:tab/>
        <w:t>Licences may be surrendered</w:t>
      </w:r>
      <w:bookmarkEnd w:id="24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46" w:name="_Toc265664573"/>
      <w:r>
        <w:rPr>
          <w:rStyle w:val="CharSectno"/>
        </w:rPr>
        <w:t>39</w:t>
      </w:r>
      <w:r>
        <w:t>.</w:t>
      </w:r>
      <w:r>
        <w:tab/>
        <w:t>Lost licences may be replaced</w:t>
      </w:r>
      <w:bookmarkEnd w:id="246"/>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47" w:name="_Toc265664574"/>
      <w:r>
        <w:rPr>
          <w:rStyle w:val="CharSectno"/>
        </w:rPr>
        <w:t>40</w:t>
      </w:r>
      <w:r>
        <w:t>.</w:t>
      </w:r>
      <w:r>
        <w:tab/>
        <w:t>Amending licences</w:t>
      </w:r>
      <w:bookmarkEnd w:id="247"/>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248" w:name="_Toc265664575"/>
      <w:r>
        <w:rPr>
          <w:rStyle w:val="CharSectno"/>
        </w:rPr>
        <w:t>41</w:t>
      </w:r>
      <w:r>
        <w:t>.</w:t>
      </w:r>
      <w:r>
        <w:tab/>
        <w:t>Renewing licences, procedure for</w:t>
      </w:r>
      <w:bookmarkEnd w:id="248"/>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249" w:name="_Toc191959960"/>
      <w:bookmarkStart w:id="250" w:name="_Toc191980660"/>
      <w:bookmarkStart w:id="251" w:name="_Toc265664576"/>
      <w:r>
        <w:rPr>
          <w:rStyle w:val="CharDivNo"/>
        </w:rPr>
        <w:t>Division 3</w:t>
      </w:r>
      <w:r>
        <w:t> — </w:t>
      </w:r>
      <w:r>
        <w:rPr>
          <w:rStyle w:val="CharDivText"/>
        </w:rPr>
        <w:t>Suspending and cancelling licences</w:t>
      </w:r>
      <w:bookmarkEnd w:id="249"/>
      <w:bookmarkEnd w:id="250"/>
      <w:bookmarkEnd w:id="251"/>
    </w:p>
    <w:p>
      <w:pPr>
        <w:pStyle w:val="Heading5"/>
      </w:pPr>
      <w:bookmarkStart w:id="252" w:name="_Toc265664577"/>
      <w:r>
        <w:rPr>
          <w:rStyle w:val="CharSectno"/>
        </w:rPr>
        <w:t>42</w:t>
      </w:r>
      <w:r>
        <w:t>.</w:t>
      </w:r>
      <w:r>
        <w:tab/>
        <w:t>Suspending or cancelling licences, grounds for</w:t>
      </w:r>
      <w:bookmarkEnd w:id="252"/>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253" w:name="_Toc265664578"/>
      <w:r>
        <w:rPr>
          <w:rStyle w:val="CharSectno"/>
        </w:rPr>
        <w:t>43</w:t>
      </w:r>
      <w:r>
        <w:t>.</w:t>
      </w:r>
      <w:r>
        <w:tab/>
        <w:t>Suspending or cancelling licences, procedure for</w:t>
      </w:r>
      <w:bookmarkEnd w:id="25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54" w:name="_Toc265664579"/>
      <w:r>
        <w:rPr>
          <w:rStyle w:val="CharSectno"/>
        </w:rPr>
        <w:t>44</w:t>
      </w:r>
      <w:r>
        <w:t>.</w:t>
      </w:r>
      <w:r>
        <w:tab/>
        <w:t>Suspension in urgent circumstances</w:t>
      </w:r>
      <w:bookmarkEnd w:id="25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255" w:name="_Toc265664580"/>
      <w:r>
        <w:rPr>
          <w:rStyle w:val="CharSectno"/>
        </w:rPr>
        <w:t>45</w:t>
      </w:r>
      <w:r>
        <w:t>.</w:t>
      </w:r>
      <w:r>
        <w:tab/>
        <w:t>Suspension or cancellation, general matters</w:t>
      </w:r>
      <w:bookmarkEnd w:id="255"/>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56" w:name="_Toc191959965"/>
      <w:bookmarkStart w:id="257" w:name="_Toc191980665"/>
      <w:bookmarkStart w:id="258" w:name="_Toc265664581"/>
      <w:r>
        <w:rPr>
          <w:rStyle w:val="CharDivNo"/>
        </w:rPr>
        <w:t>Division 4</w:t>
      </w:r>
      <w:r>
        <w:t> — </w:t>
      </w:r>
      <w:r>
        <w:rPr>
          <w:rStyle w:val="CharDivText"/>
        </w:rPr>
        <w:t>Duties of licence holders</w:t>
      </w:r>
      <w:bookmarkEnd w:id="256"/>
      <w:bookmarkEnd w:id="257"/>
      <w:bookmarkEnd w:id="258"/>
    </w:p>
    <w:p>
      <w:pPr>
        <w:pStyle w:val="Heading5"/>
      </w:pPr>
      <w:bookmarkStart w:id="259" w:name="_Toc265664582"/>
      <w:r>
        <w:rPr>
          <w:rStyle w:val="CharSectno"/>
        </w:rPr>
        <w:t>46</w:t>
      </w:r>
      <w:r>
        <w:t>.</w:t>
      </w:r>
      <w:r>
        <w:tab/>
        <w:t>Licence holder charged with or convicted of relevant offence to notify Chief Officer</w:t>
      </w:r>
      <w:bookmarkEnd w:id="259"/>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60" w:name="_Toc265664583"/>
      <w:r>
        <w:rPr>
          <w:rStyle w:val="CharSectno"/>
        </w:rPr>
        <w:t>47</w:t>
      </w:r>
      <w:r>
        <w:t>.</w:t>
      </w:r>
      <w:r>
        <w:tab/>
        <w:t>Condition of licence, contravening</w:t>
      </w:r>
      <w:bookmarkEnd w:id="260"/>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 xml:space="preserve">A person convicted of an offence under subregulation (1) may be punished for the offence even if the condition contravened was amended or cancelled after the offence was committed, despite </w:t>
      </w:r>
      <w:r>
        <w:rPr>
          <w:i/>
        </w:rPr>
        <w:t>The Criminal Code</w:t>
      </w:r>
      <w:r>
        <w:t xml:space="preserve"> section 11.</w:t>
      </w:r>
    </w:p>
    <w:p>
      <w:pPr>
        <w:pStyle w:val="Heading2"/>
      </w:pPr>
      <w:bookmarkStart w:id="261" w:name="_Toc191959968"/>
      <w:bookmarkStart w:id="262" w:name="_Toc191980668"/>
      <w:bookmarkStart w:id="263" w:name="_Toc265664584"/>
      <w:r>
        <w:rPr>
          <w:rStyle w:val="CharPartNo"/>
        </w:rPr>
        <w:t>Part 11</w:t>
      </w:r>
      <w:r>
        <w:rPr>
          <w:rStyle w:val="CharDivNo"/>
        </w:rPr>
        <w:t> </w:t>
      </w:r>
      <w:r>
        <w:t>—</w:t>
      </w:r>
      <w:r>
        <w:rPr>
          <w:rStyle w:val="CharDivText"/>
        </w:rPr>
        <w:t> </w:t>
      </w:r>
      <w:r>
        <w:rPr>
          <w:rStyle w:val="CharPartText"/>
        </w:rPr>
        <w:t>Miscellaneous matters</w:t>
      </w:r>
      <w:bookmarkEnd w:id="261"/>
      <w:bookmarkEnd w:id="262"/>
      <w:bookmarkEnd w:id="263"/>
    </w:p>
    <w:p>
      <w:pPr>
        <w:pStyle w:val="Heading5"/>
      </w:pPr>
      <w:bookmarkStart w:id="264" w:name="_Toc265664585"/>
      <w:r>
        <w:rPr>
          <w:rStyle w:val="CharSectno"/>
        </w:rPr>
        <w:t>48</w:t>
      </w:r>
      <w:r>
        <w:t>.</w:t>
      </w:r>
      <w:r>
        <w:tab/>
        <w:t>“Safety management document” prescribed (Act s. 3)</w:t>
      </w:r>
      <w:bookmarkEnd w:id="264"/>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265" w:name="_Toc265664586"/>
      <w:r>
        <w:rPr>
          <w:rStyle w:val="CharSectno"/>
        </w:rPr>
        <w:t>49</w:t>
      </w:r>
      <w:r>
        <w:t>.</w:t>
      </w:r>
      <w:r>
        <w:tab/>
        <w:t>False or misleading information, offences</w:t>
      </w:r>
      <w:bookmarkEnd w:id="265"/>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266" w:name="_Toc265664587"/>
      <w:r>
        <w:rPr>
          <w:rStyle w:val="CharSectno"/>
        </w:rPr>
        <w:t>50</w:t>
      </w:r>
      <w:r>
        <w:t>.</w:t>
      </w:r>
      <w:r>
        <w:tab/>
        <w:t>Security plan, duties in respect of</w:t>
      </w:r>
      <w:bookmarkEnd w:id="266"/>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267" w:name="_Toc265664588"/>
      <w:r>
        <w:rPr>
          <w:rStyle w:val="CharSectno"/>
        </w:rPr>
        <w:t>51</w:t>
      </w:r>
      <w:r>
        <w:t>.</w:t>
      </w:r>
      <w:r>
        <w:tab/>
        <w:t>Prescribed offences and modified penalties (Act s. 56)</w:t>
      </w:r>
      <w:bookmarkEnd w:id="26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68" w:name="_Toc191959973"/>
      <w:bookmarkStart w:id="269" w:name="_Toc191980673"/>
      <w:bookmarkStart w:id="270" w:name="_Toc265664589"/>
      <w:r>
        <w:rPr>
          <w:rStyle w:val="CharPartNo"/>
        </w:rPr>
        <w:t>Part 12</w:t>
      </w:r>
      <w:r>
        <w:rPr>
          <w:rStyle w:val="CharDivNo"/>
        </w:rPr>
        <w:t> </w:t>
      </w:r>
      <w:r>
        <w:t>—</w:t>
      </w:r>
      <w:r>
        <w:rPr>
          <w:rStyle w:val="CharDivText"/>
        </w:rPr>
        <w:t> </w:t>
      </w:r>
      <w:r>
        <w:rPr>
          <w:rStyle w:val="CharPartText"/>
        </w:rPr>
        <w:t>Transitional matters</w:t>
      </w:r>
      <w:bookmarkEnd w:id="268"/>
      <w:bookmarkEnd w:id="269"/>
      <w:bookmarkEnd w:id="270"/>
    </w:p>
    <w:p>
      <w:pPr>
        <w:pStyle w:val="Heading5"/>
      </w:pPr>
      <w:bookmarkStart w:id="271" w:name="_Toc265664590"/>
      <w:r>
        <w:rPr>
          <w:rStyle w:val="CharSectno"/>
        </w:rPr>
        <w:t>52</w:t>
      </w:r>
      <w:r>
        <w:t>.</w:t>
      </w:r>
      <w:r>
        <w:tab/>
        <w:t>Licences</w:t>
      </w:r>
      <w:bookmarkEnd w:id="271"/>
    </w:p>
    <w:p>
      <w:pPr>
        <w:pStyle w:val="Subsection"/>
        <w:keepNext/>
      </w:pPr>
      <w:r>
        <w:tab/>
        <w:t>(1)</w:t>
      </w:r>
      <w:r>
        <w:tab/>
        <w:t xml:space="preserve">In this regulation — </w:t>
      </w:r>
    </w:p>
    <w:p>
      <w:pPr>
        <w:pStyle w:val="Defstart"/>
      </w:pPr>
      <w:r>
        <w:rPr>
          <w:b/>
        </w:rPr>
        <w:tab/>
      </w:r>
      <w:r>
        <w:rPr>
          <w:rStyle w:val="CharDefText"/>
        </w:rPr>
        <w:t>licence</w:t>
      </w:r>
      <w:r>
        <w:t xml:space="preserve"> has the meaning given to that term by regulation 29.</w:t>
      </w:r>
    </w:p>
    <w:p>
      <w:pPr>
        <w:pStyle w:val="Subsection"/>
      </w:pPr>
      <w:r>
        <w:tab/>
        <w:t>(2)</w:t>
      </w:r>
      <w:r>
        <w:tab/>
        <w:t>A person who under these regulations is required to hold a licence to possess an SRS or to engage in an activity in respect of an SRS, is not required to hold the licence during the period that commences on the date on which these regulations commence and ends —</w:t>
      </w:r>
    </w:p>
    <w:p>
      <w:pPr>
        <w:pStyle w:val="Indenta"/>
      </w:pPr>
      <w:r>
        <w:tab/>
        <w:t>(a)</w:t>
      </w:r>
      <w:r>
        <w:tab/>
        <w:t>12 months after that commencement; or</w:t>
      </w:r>
    </w:p>
    <w:p>
      <w:pPr>
        <w:pStyle w:val="Indenta"/>
      </w:pPr>
      <w:r>
        <w:tab/>
        <w:t>(b)</w:t>
      </w:r>
      <w:r>
        <w:tab/>
        <w:t>when the person is issued the licence under these regulations; or</w:t>
      </w:r>
    </w:p>
    <w:p>
      <w:pPr>
        <w:pStyle w:val="Indenta"/>
      </w:pPr>
      <w:r>
        <w:tab/>
        <w:t>(c)</w:t>
      </w:r>
      <w:r>
        <w:tab/>
        <w:t>when the person is refused the licence under these regulations and either —</w:t>
      </w:r>
    </w:p>
    <w:p>
      <w:pPr>
        <w:pStyle w:val="Indenti"/>
      </w:pPr>
      <w:r>
        <w:tab/>
        <w:t>(i)</w:t>
      </w:r>
      <w:r>
        <w:tab/>
        <w:t>the time for applying for a review of the refusal expires without an application being made; or</w:t>
      </w:r>
    </w:p>
    <w:p>
      <w:pPr>
        <w:pStyle w:val="Indenti"/>
      </w:pPr>
      <w:r>
        <w:tab/>
        <w:t>(ii)</w:t>
      </w:r>
      <w:r>
        <w:tab/>
        <w:t>an application for a review of the refusal is made but is unsuccessful,</w:t>
      </w:r>
    </w:p>
    <w:p>
      <w:pPr>
        <w:pStyle w:val="Subsection"/>
      </w:pPr>
      <w:r>
        <w:tab/>
      </w:r>
      <w:r>
        <w:tab/>
        <w:t>whichever happens first.</w:t>
      </w:r>
    </w:p>
    <w:p>
      <w:pPr>
        <w:pStyle w:val="Subsection"/>
      </w:pPr>
      <w:r>
        <w:tab/>
        <w:t>(3)</w:t>
      </w:r>
      <w:r>
        <w:tab/>
        <w:t xml:space="preserve">For the purposes of subregulation (2)(c), an application for a review of a refusal is unsuccessful if — </w:t>
      </w:r>
    </w:p>
    <w:p>
      <w:pPr>
        <w:pStyle w:val="Indenta"/>
      </w:pPr>
      <w:r>
        <w:tab/>
        <w:t>(a)</w:t>
      </w:r>
      <w:r>
        <w:tab/>
        <w:t>it results in the refusal being confirmed; or</w:t>
      </w:r>
    </w:p>
    <w:p>
      <w:pPr>
        <w:pStyle w:val="Indenta"/>
      </w:pPr>
      <w:r>
        <w:tab/>
        <w:t>(b)</w:t>
      </w:r>
      <w:r>
        <w:tab/>
        <w:t>it is dismissed without being decided, discontinued, or withdrawn.</w:t>
      </w:r>
    </w:p>
    <w:p>
      <w:pPr>
        <w:pStyle w:val="Heading5"/>
      </w:pPr>
      <w:bookmarkStart w:id="272" w:name="_Toc265664591"/>
      <w:r>
        <w:rPr>
          <w:rStyle w:val="CharSectno"/>
        </w:rPr>
        <w:t>53</w:t>
      </w:r>
      <w:r>
        <w:t>.</w:t>
      </w:r>
      <w:r>
        <w:tab/>
        <w:t>Security plans</w:t>
      </w:r>
      <w:bookmarkEnd w:id="272"/>
    </w:p>
    <w:p>
      <w:pPr>
        <w:pStyle w:val="Subsection"/>
      </w:pPr>
      <w:r>
        <w:tab/>
        <w:t>(1)</w:t>
      </w:r>
      <w:r>
        <w:tab/>
        <w:t>This regulation applies if a licence referred to in regulation 30(4) is issued to a person in the 12 month period that commences when these regulations commence.</w:t>
      </w:r>
    </w:p>
    <w:p>
      <w:pPr>
        <w:pStyle w:val="Subsection"/>
      </w:pPr>
      <w:r>
        <w:tab/>
        <w:t>(2)</w:t>
      </w:r>
      <w:r>
        <w:tab/>
        <w:t>A prosecution for an offence under regulation 47(1) alleging the person has contravened the condition referred to in regulation 50(2) cannot be commenced in the 12 month period that commences when these regulations commence.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73" w:name="_Toc265664592"/>
      <w:r>
        <w:rPr>
          <w:rStyle w:val="CharSchNo"/>
        </w:rPr>
        <w:t>Schedule 1</w:t>
      </w:r>
      <w:r>
        <w:rPr>
          <w:rStyle w:val="CharSDivNo"/>
        </w:rPr>
        <w:t> </w:t>
      </w:r>
      <w:r>
        <w:t>—</w:t>
      </w:r>
      <w:r>
        <w:rPr>
          <w:rStyle w:val="CharSDivText"/>
        </w:rPr>
        <w:t> </w:t>
      </w:r>
      <w:r>
        <w:rPr>
          <w:rStyle w:val="CharSchText"/>
        </w:rPr>
        <w:t>Fees</w:t>
      </w:r>
      <w:bookmarkEnd w:id="273"/>
    </w:p>
    <w:p>
      <w:pPr>
        <w:pStyle w:val="yShoulderClause"/>
      </w:pPr>
      <w:r>
        <w:t>[r. 3]</w:t>
      </w:r>
    </w:p>
    <w:p>
      <w:pPr>
        <w:pStyle w:val="yFootnoteheading"/>
        <w:spacing w:after="120"/>
      </w:pPr>
      <w:r>
        <w:tab/>
        <w:t>[Heading inserted by Gazette 25 Jun 2010 p. 2878.]</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5245"/>
        <w:gridCol w:w="850"/>
      </w:tblGrid>
      <w:tr>
        <w:trPr>
          <w:tblHeader/>
        </w:trPr>
        <w:tc>
          <w:tcPr>
            <w:tcW w:w="709" w:type="dxa"/>
            <w:tcBorders>
              <w:top w:val="single" w:sz="4" w:space="0" w:color="auto"/>
              <w:left w:val="nil"/>
              <w:bottom w:val="single" w:sz="4" w:space="0" w:color="auto"/>
              <w:right w:val="nil"/>
            </w:tcBorders>
          </w:tcPr>
          <w:p>
            <w:pPr>
              <w:pStyle w:val="yTableNAm"/>
              <w:jc w:val="center"/>
              <w:rPr>
                <w:b/>
                <w:bCs/>
              </w:rPr>
            </w:pPr>
            <w:r>
              <w:rPr>
                <w:b/>
                <w:bCs/>
              </w:rPr>
              <w:t>Item</w:t>
            </w:r>
          </w:p>
        </w:tc>
        <w:tc>
          <w:tcPr>
            <w:tcW w:w="5245" w:type="dxa"/>
            <w:tcBorders>
              <w:left w:val="nil"/>
              <w:bottom w:val="single" w:sz="4" w:space="0" w:color="auto"/>
              <w:right w:val="nil"/>
            </w:tcBorders>
          </w:tcPr>
          <w:p>
            <w:pPr>
              <w:pStyle w:val="yTableNAm"/>
              <w:jc w:val="center"/>
              <w:rPr>
                <w:b/>
                <w:bCs/>
              </w:rPr>
            </w:pPr>
            <w:r>
              <w:rPr>
                <w:b/>
                <w:bCs/>
              </w:rPr>
              <w:t>Fee for</w:t>
            </w:r>
          </w:p>
        </w:tc>
        <w:tc>
          <w:tcPr>
            <w:tcW w:w="850" w:type="dxa"/>
            <w:tcBorders>
              <w:top w:val="single" w:sz="4" w:space="0" w:color="auto"/>
              <w:left w:val="nil"/>
              <w:bottom w:val="single" w:sz="4" w:space="0" w:color="auto"/>
              <w:right w:val="nil"/>
            </w:tcBorders>
          </w:tcPr>
          <w:p>
            <w:pPr>
              <w:pStyle w:val="yTableNAm"/>
              <w:jc w:val="center"/>
              <w:rPr>
                <w:b/>
                <w:bCs/>
              </w:rPr>
            </w:pPr>
            <w:r>
              <w:rPr>
                <w:b/>
                <w:bCs/>
              </w:rPr>
              <w:t>Fee ($)</w:t>
            </w:r>
          </w:p>
        </w:tc>
      </w:tr>
      <w:tr>
        <w:tc>
          <w:tcPr>
            <w:tcW w:w="709" w:type="dxa"/>
            <w:tcBorders>
              <w:top w:val="single" w:sz="4" w:space="0" w:color="auto"/>
              <w:left w:val="nil"/>
              <w:bottom w:val="nil"/>
              <w:right w:val="nil"/>
            </w:tcBorders>
          </w:tcPr>
          <w:p>
            <w:pPr>
              <w:pStyle w:val="yTableNAm"/>
            </w:pPr>
            <w:r>
              <w:t>1.</w:t>
            </w:r>
          </w:p>
        </w:tc>
        <w:tc>
          <w:tcPr>
            <w:tcW w:w="5245" w:type="dxa"/>
            <w:tcBorders>
              <w:top w:val="single" w:sz="4" w:space="0" w:color="auto"/>
              <w:left w:val="nil"/>
              <w:bottom w:val="nil"/>
              <w:right w:val="nil"/>
            </w:tcBorders>
          </w:tcPr>
          <w:p>
            <w:pPr>
              <w:pStyle w:val="yTableNAm"/>
            </w:pPr>
            <w:r>
              <w:t xml:space="preserve">Application for a licence, for the term of the licence per year or part of a year (r. 30(1)(c)) — </w:t>
            </w:r>
          </w:p>
        </w:tc>
        <w:tc>
          <w:tcPr>
            <w:tcW w:w="850" w:type="dxa"/>
            <w:tcBorders>
              <w:top w:val="single" w:sz="4" w:space="0" w:color="auto"/>
              <w:left w:val="nil"/>
              <w:bottom w:val="nil"/>
              <w:right w:val="nil"/>
            </w:tcBorders>
          </w:tcPr>
          <w:p>
            <w:pPr>
              <w:pStyle w:val="yTableNAm"/>
              <w:jc w:val="center"/>
            </w:pP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(a)</w:t>
            </w:r>
            <w:r>
              <w:tab/>
              <w:t>SRS import/export licence</w:t>
            </w:r>
          </w:p>
        </w:tc>
        <w:tc>
          <w:tcPr>
            <w:tcW w:w="850" w:type="dxa"/>
            <w:tcBorders>
              <w:top w:val="nil"/>
              <w:left w:val="nil"/>
              <w:bottom w:val="nil"/>
              <w:right w:val="nil"/>
            </w:tcBorders>
          </w:tcPr>
          <w:p>
            <w:pPr>
              <w:pStyle w:val="yTableNAm"/>
              <w:jc w:val="center"/>
            </w:pPr>
            <w:r>
              <w:t>163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(b)</w:t>
            </w:r>
            <w:r>
              <w:tab/>
              <w:t>SRS manufacture licence</w:t>
            </w:r>
          </w:p>
        </w:tc>
        <w:tc>
          <w:tcPr>
            <w:tcW w:w="850" w:type="dxa"/>
            <w:tcBorders>
              <w:top w:val="nil"/>
              <w:left w:val="nil"/>
              <w:bottom w:val="nil"/>
              <w:right w:val="nil"/>
            </w:tcBorders>
          </w:tcPr>
          <w:p>
            <w:pPr>
              <w:pStyle w:val="yTableNAm"/>
              <w:jc w:val="center"/>
            </w:pPr>
            <w:r>
              <w:t>306</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(c)</w:t>
            </w:r>
            <w:r>
              <w:tab/>
              <w:t>SRS storage licence</w:t>
            </w:r>
          </w:p>
        </w:tc>
        <w:tc>
          <w:tcPr>
            <w:tcW w:w="850" w:type="dxa"/>
            <w:tcBorders>
              <w:top w:val="nil"/>
              <w:left w:val="nil"/>
              <w:bottom w:val="nil"/>
              <w:right w:val="nil"/>
            </w:tcBorders>
          </w:tcPr>
          <w:p>
            <w:pPr>
              <w:pStyle w:val="yTableNAm"/>
              <w:jc w:val="center"/>
            </w:pPr>
            <w:r>
              <w:t>143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(d)</w:t>
            </w:r>
            <w:r>
              <w:tab/>
              <w:t>SRS transport licence</w:t>
            </w:r>
          </w:p>
        </w:tc>
        <w:tc>
          <w:tcPr>
            <w:tcW w:w="850" w:type="dxa"/>
            <w:tcBorders>
              <w:top w:val="nil"/>
              <w:left w:val="nil"/>
              <w:bottom w:val="nil"/>
              <w:right w:val="nil"/>
            </w:tcBorders>
          </w:tcPr>
          <w:p>
            <w:pPr>
              <w:pStyle w:val="yTableNAm"/>
              <w:jc w:val="center"/>
            </w:pPr>
            <w:r>
              <w:t>153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(e)</w:t>
            </w:r>
            <w:r>
              <w:tab/>
              <w:t>SRS supply licence</w:t>
            </w:r>
          </w:p>
        </w:tc>
        <w:tc>
          <w:tcPr>
            <w:tcW w:w="850" w:type="dxa"/>
            <w:tcBorders>
              <w:top w:val="nil"/>
              <w:left w:val="nil"/>
              <w:bottom w:val="nil"/>
              <w:right w:val="nil"/>
            </w:tcBorders>
          </w:tcPr>
          <w:p>
            <w:pPr>
              <w:pStyle w:val="yTableNAm"/>
              <w:jc w:val="center"/>
            </w:pPr>
            <w:r>
              <w:t>133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(f)</w:t>
            </w:r>
            <w:r>
              <w:tab/>
              <w:t>SRS fertiliser licence</w:t>
            </w:r>
          </w:p>
        </w:tc>
        <w:tc>
          <w:tcPr>
            <w:tcW w:w="850" w:type="dxa"/>
            <w:tcBorders>
              <w:top w:val="nil"/>
              <w:left w:val="nil"/>
              <w:bottom w:val="nil"/>
              <w:right w:val="nil"/>
            </w:tcBorders>
          </w:tcPr>
          <w:p>
            <w:pPr>
              <w:pStyle w:val="yTableNAm"/>
              <w:jc w:val="center"/>
            </w:pPr>
            <w:r>
              <w:t>51</w:t>
            </w:r>
          </w:p>
        </w:tc>
      </w:tr>
      <w:tr>
        <w:tc>
          <w:tcPr>
            <w:tcW w:w="709" w:type="dxa"/>
            <w:tcBorders>
              <w:top w:val="nil"/>
              <w:left w:val="nil"/>
              <w:bottom w:val="single" w:sz="4" w:space="0" w:color="auto"/>
              <w:right w:val="nil"/>
            </w:tcBorders>
          </w:tcPr>
          <w:p>
            <w:pPr>
              <w:pStyle w:val="yTableNAm"/>
            </w:pPr>
            <w:r>
              <w:t>2.</w:t>
            </w:r>
          </w:p>
        </w:tc>
        <w:tc>
          <w:tcPr>
            <w:tcW w:w="5245" w:type="dxa"/>
            <w:tcBorders>
              <w:top w:val="nil"/>
              <w:left w:val="nil"/>
              <w:bottom w:val="single" w:sz="4" w:space="0" w:color="auto"/>
              <w:right w:val="nil"/>
            </w:tcBorders>
          </w:tcPr>
          <w:p>
            <w:pPr>
              <w:pStyle w:val="yTableNAm"/>
            </w:pPr>
            <w:r>
              <w:t>Application for renewal of a licence (r. 41(4)(c)) — the fee in item 1 for the licence</w:t>
            </w:r>
          </w:p>
        </w:tc>
        <w:tc>
          <w:tcPr>
            <w:tcW w:w="850" w:type="dxa"/>
            <w:tcBorders>
              <w:top w:val="nil"/>
              <w:left w:val="nil"/>
              <w:bottom w:val="single" w:sz="4" w:space="0" w:color="auto"/>
              <w:right w:val="nil"/>
            </w:tcBorders>
          </w:tcPr>
          <w:p>
            <w:pPr>
              <w:pStyle w:val="yTableNAm"/>
              <w:jc w:val="center"/>
            </w:pPr>
          </w:p>
        </w:tc>
      </w:tr>
    </w:tbl>
    <w:p>
      <w:pPr>
        <w:pStyle w:val="yFootnotesection"/>
      </w:pPr>
      <w:r>
        <w:tab/>
        <w:t>[Schedule 1 inserted by Gazette 25 Jun 2010 p. 2878.]</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274" w:name="_Toc191959977"/>
      <w:bookmarkStart w:id="275" w:name="_Toc191980677"/>
      <w:bookmarkStart w:id="276" w:name="_Toc265664593"/>
      <w:r>
        <w:rPr>
          <w:rStyle w:val="CharSchNo"/>
        </w:rPr>
        <w:t>Schedule 2</w:t>
      </w:r>
      <w:r>
        <w:rPr>
          <w:rStyle w:val="CharSDivNo"/>
        </w:rPr>
        <w:t> </w:t>
      </w:r>
      <w:r>
        <w:t>—</w:t>
      </w:r>
      <w:r>
        <w:rPr>
          <w:rStyle w:val="CharSDivText"/>
        </w:rPr>
        <w:t> </w:t>
      </w:r>
      <w:r>
        <w:rPr>
          <w:rStyle w:val="CharSchText"/>
        </w:rPr>
        <w:t>Security risk substances</w:t>
      </w:r>
      <w:bookmarkEnd w:id="274"/>
      <w:bookmarkEnd w:id="275"/>
      <w:bookmarkEnd w:id="276"/>
    </w:p>
    <w:p>
      <w:pPr>
        <w:pStyle w:val="yShoulderClause"/>
      </w:pPr>
      <w:r>
        <w:t>[r. 3]</w:t>
      </w:r>
    </w:p>
    <w:p>
      <w:pPr>
        <w:pStyle w:val="yHeading5"/>
      </w:pPr>
      <w:bookmarkStart w:id="277" w:name="_Toc265664594"/>
      <w:r>
        <w:rPr>
          <w:rStyle w:val="CharSClsNo"/>
        </w:rPr>
        <w:t>1</w:t>
      </w:r>
      <w:r>
        <w:t>.</w:t>
      </w:r>
      <w:r>
        <w:tab/>
        <w:t>Ammonium nitrate, substances containing</w:t>
      </w:r>
      <w:bookmarkEnd w:id="277"/>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30"/>
          <w:endnotePr>
            <w:numFmt w:val="decimal"/>
          </w:endnotePr>
          <w:pgSz w:w="11906" w:h="16838" w:code="9"/>
          <w:pgMar w:top="2376" w:right="2405" w:bottom="3542" w:left="2405" w:header="706" w:footer="3528" w:gutter="0"/>
          <w:cols w:space="720"/>
          <w:noEndnote/>
        </w:sectPr>
      </w:pPr>
      <w:bookmarkStart w:id="278" w:name="_Toc113695922"/>
      <w:bookmarkStart w:id="279" w:name="_Toc186857117"/>
      <w:bookmarkStart w:id="280" w:name="_Toc186857186"/>
      <w:bookmarkStart w:id="281" w:name="_Toc186857879"/>
      <w:bookmarkStart w:id="282" w:name="_Toc186873227"/>
      <w:bookmarkStart w:id="283" w:name="_Toc186873282"/>
    </w:p>
    <w:p>
      <w:pPr>
        <w:pStyle w:val="nHeading2"/>
      </w:pPr>
      <w:bookmarkStart w:id="284" w:name="_Toc191959979"/>
      <w:bookmarkStart w:id="285" w:name="_Toc191980679"/>
      <w:bookmarkStart w:id="286" w:name="_Toc265664595"/>
      <w:r>
        <w:t>Notes</w:t>
      </w:r>
      <w:bookmarkEnd w:id="278"/>
      <w:bookmarkEnd w:id="279"/>
      <w:bookmarkEnd w:id="280"/>
      <w:bookmarkEnd w:id="281"/>
      <w:bookmarkEnd w:id="282"/>
      <w:bookmarkEnd w:id="283"/>
      <w:bookmarkEnd w:id="284"/>
      <w:bookmarkEnd w:id="285"/>
      <w:bookmarkEnd w:id="286"/>
    </w:p>
    <w:p>
      <w:pPr>
        <w:pStyle w:val="nSubsection"/>
        <w:rPr>
          <w:snapToGrid w:val="0"/>
        </w:rPr>
      </w:pPr>
      <w:bookmarkStart w:id="287" w:name="_Toc70311430"/>
      <w:bookmarkStart w:id="288"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p>
    <w:p>
      <w:pPr>
        <w:pStyle w:val="nHeading3"/>
      </w:pPr>
      <w:bookmarkStart w:id="289" w:name="_Toc265664596"/>
      <w:r>
        <w:t>Compilation table</w:t>
      </w:r>
      <w:bookmarkEnd w:id="287"/>
      <w:bookmarkEnd w:id="288"/>
      <w:bookmarkEnd w:id="2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tcBorders>
          </w:tcPr>
          <w:p>
            <w:pPr>
              <w:pStyle w:val="nTable"/>
              <w:spacing w:after="40"/>
              <w:rPr>
                <w:i/>
                <w:sz w:val="19"/>
              </w:rPr>
            </w:pPr>
            <w:r>
              <w:rPr>
                <w:i/>
                <w:sz w:val="19"/>
              </w:rPr>
              <w:t>Dangerous Goods Safety (Security Risk Substances) Amendment Regulations (No. 2) 2010</w:t>
            </w:r>
          </w:p>
        </w:tc>
        <w:tc>
          <w:tcPr>
            <w:tcW w:w="1276" w:type="dxa"/>
            <w:tcBorders>
              <w:top w:val="nil"/>
            </w:tcBorders>
          </w:tcPr>
          <w:p>
            <w:pPr>
              <w:pStyle w:val="nTable"/>
              <w:spacing w:after="40"/>
              <w:rPr>
                <w:sz w:val="19"/>
              </w:rPr>
            </w:pPr>
            <w:r>
              <w:rPr>
                <w:sz w:val="19"/>
              </w:rPr>
              <w:t>25 Jun 2010 p. 2877-8</w:t>
            </w:r>
          </w:p>
        </w:tc>
        <w:tc>
          <w:tcPr>
            <w:tcW w:w="2693" w:type="dxa"/>
            <w:tcBorders>
              <w:top w:val="nil"/>
            </w:tcBorders>
          </w:tcPr>
          <w:p>
            <w:pPr>
              <w:pStyle w:val="nTable"/>
              <w:spacing w:after="40"/>
              <w:rPr>
                <w:sz w:val="19"/>
              </w:rPr>
            </w:pPr>
            <w:r>
              <w:rPr>
                <w:sz w:val="19"/>
              </w:rPr>
              <w:t>r. 1 and 2: 25 Jun 2010 (see r. 2(a));</w:t>
            </w:r>
            <w:r>
              <w:rPr>
                <w:sz w:val="19"/>
              </w:rPr>
              <w:br/>
              <w:t>Regulations other than r. 1 and 2: 1 Jul 2010 (see r. 2(b))</w:t>
            </w:r>
          </w:p>
        </w:tc>
      </w:tr>
    </w:tbl>
    <w:p/>
    <w:p>
      <w:bookmarkStart w:id="290" w:name="AutoSch"/>
      <w:bookmarkEnd w:id="290"/>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21"/>
    <w:docVar w:name="WAFER_20151210104921" w:val="RemoveTrackChanges"/>
    <w:docVar w:name="WAFER_20151210104921_GUID" w:val="91fc50d7-3141-4047-ab5e-9d8511146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11448</Words>
  <Characters>53352</Characters>
  <Application>Microsoft Office Word</Application>
  <DocSecurity>0</DocSecurity>
  <Lines>1524</Lines>
  <Paragraphs>996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Part 12 — Transitional matters</vt:lpstr>
      <vt:lpstr>    Schedule 1 — Fees</vt:lpstr>
      <vt:lpstr>    Schedule 2 — Security risk substances</vt:lpstr>
      <vt:lpstr>    Notes</vt:lpstr>
    </vt:vector>
  </TitlesOfParts>
  <Manager/>
  <Company/>
  <LinksUpToDate>false</LinksUpToDate>
  <CharactersWithSpaces>63804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2007 - 00-c0-02</dc:title>
  <dc:subject/>
  <dc:creator/>
  <cp:keywords/>
  <dc:description/>
  <cp:lastModifiedBy>svcMRProcess</cp:lastModifiedBy>
  <cp:revision>4</cp:revision>
  <cp:lastPrinted>2007-12-05T01:29:00Z</cp:lastPrinted>
  <dcterms:created xsi:type="dcterms:W3CDTF">2018-09-17T08:36:00Z</dcterms:created>
  <dcterms:modified xsi:type="dcterms:W3CDTF">2018-09-17T08:36:00Z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38221</vt:i4>
  </property>
  <property fmtid="{D5CDD505-2E9C-101B-9397-08002B2CF9AE}" pid="6" name="AsAtDate">
    <vt:lpwstr>01 Jul 2010</vt:lpwstr>
  </property>
  <property fmtid="{D5CDD505-2E9C-101B-9397-08002B2CF9AE}" pid="7" name="Suffix">
    <vt:lpwstr>00-c0-02</vt:lpwstr>
  </property>
</Properties>
</file>