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Finance Brokers Control Act 1975</w:t>
      </w:r>
    </w:p>
    <w:p>
      <w:pPr>
        <w:pStyle w:val="NameofActRegPage1"/>
        <w:spacing w:before="1800" w:after="4200"/>
        <w:ind w:left="360" w:right="256"/>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720" w:right="256"/>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_Toc265661891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_Toc265661892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_Toc265661893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_Toc265661894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_Toc265661895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_Toc265661896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_Toc265661897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_Toc265661898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_Toc265661899 \h </w:instrText>
      </w:r>
      <w:r>
        <w:fldChar w:fldCharType="separate"/>
      </w:r>
      <w:r>
        <w:t>6</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_Toc265661900 \h </w:instrText>
      </w:r>
      <w:r>
        <w:fldChar w:fldCharType="separate"/>
      </w:r>
      <w:r>
        <w:t>9</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_Toc265661901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_Toc265661902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_Toc265661903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_Toc265661904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_Toc265661905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Notification of changes in particulars</w:t>
      </w:r>
      <w:r>
        <w:tab/>
      </w:r>
      <w:r>
        <w:fldChar w:fldCharType="begin"/>
      </w:r>
      <w:r>
        <w:instrText xml:space="preserve"> PAGEREF _Toc265661906 \h </w:instrText>
      </w:r>
      <w:r>
        <w:fldChar w:fldCharType="separate"/>
      </w:r>
      <w:r>
        <w:t>14</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_Toc265661907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_Toc265661908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_Toc265661909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_Toc265661910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_Toc265661911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Recovery of fees</w:t>
      </w:r>
      <w:r>
        <w:tab/>
      </w:r>
      <w:r>
        <w:fldChar w:fldCharType="begin"/>
      </w:r>
      <w:r>
        <w:instrText xml:space="preserve"> PAGEREF _Toc265661912 \h </w:instrText>
      </w:r>
      <w:r>
        <w:fldChar w:fldCharType="separate"/>
      </w:r>
      <w:r>
        <w:t>17</w:t>
      </w:r>
      <w:r>
        <w:fldChar w:fldCharType="end"/>
      </w:r>
    </w:p>
    <w:p>
      <w:pPr>
        <w:pStyle w:val="TOC8"/>
        <w:rPr>
          <w:sz w:val="24"/>
          <w:szCs w:val="24"/>
        </w:rPr>
      </w:pPr>
      <w:r>
        <w:rPr>
          <w:szCs w:val="24"/>
        </w:rPr>
        <w:t>21A.</w:t>
      </w:r>
      <w:r>
        <w:rPr>
          <w:szCs w:val="24"/>
        </w:rPr>
        <w:tab/>
        <w:t>Refund of fees after referral day</w:t>
      </w:r>
      <w:r>
        <w:tab/>
      </w:r>
      <w:r>
        <w:fldChar w:fldCharType="begin"/>
      </w:r>
      <w:r>
        <w:instrText xml:space="preserve"> PAGEREF _Toc265661913 \h </w:instrText>
      </w:r>
      <w:r>
        <w:fldChar w:fldCharType="separate"/>
      </w:r>
      <w:r>
        <w:t>17</w:t>
      </w:r>
      <w:r>
        <w:fldChar w:fldCharType="end"/>
      </w:r>
    </w:p>
    <w:p>
      <w:pPr>
        <w:pStyle w:val="TOC8"/>
        <w:rPr>
          <w:sz w:val="24"/>
          <w:szCs w:val="24"/>
        </w:rPr>
      </w:pPr>
      <w:r>
        <w:rPr>
          <w:szCs w:val="24"/>
        </w:rPr>
        <w:t>21B.</w:t>
      </w:r>
      <w:r>
        <w:rPr>
          <w:szCs w:val="24"/>
        </w:rPr>
        <w:tab/>
        <w:t>Reimbursement of fees after referral day</w:t>
      </w:r>
      <w:r>
        <w:tab/>
      </w:r>
      <w:r>
        <w:fldChar w:fldCharType="begin"/>
      </w:r>
      <w:r>
        <w:instrText xml:space="preserve"> PAGEREF _Toc265661914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Modified penalties</w:t>
      </w:r>
      <w:r>
        <w:tab/>
      </w:r>
      <w:r>
        <w:fldChar w:fldCharType="begin"/>
      </w:r>
      <w:r>
        <w:instrText xml:space="preserve"> PAGEREF _Toc265661915 \h </w:instrText>
      </w:r>
      <w:r>
        <w:fldChar w:fldCharType="separate"/>
      </w:r>
      <w:r>
        <w:t>19</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_Toc265661916 \h </w:instrText>
      </w:r>
      <w:r>
        <w:fldChar w:fldCharType="separate"/>
      </w:r>
      <w:r>
        <w:t>20</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_Toc265661917 \h </w:instrText>
      </w:r>
      <w:r>
        <w:fldChar w:fldCharType="separate"/>
      </w:r>
      <w:r>
        <w:t>20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Term used in this Schedule</w:t>
      </w:r>
      <w:r>
        <w:tab/>
      </w:r>
      <w:r>
        <w:fldChar w:fldCharType="begin"/>
      </w:r>
      <w:r>
        <w:instrText xml:space="preserve"> PAGEREF _Toc265661922 \h </w:instrText>
      </w:r>
      <w:r>
        <w:fldChar w:fldCharType="separate"/>
      </w:r>
      <w:r>
        <w:t>27</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_Toc265661923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_Toc265661925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77881113"/>
      <w:bookmarkStart w:id="10" w:name="_Toc265661891"/>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77881114"/>
      <w:bookmarkStart w:id="20" w:name="_Toc265661892"/>
      <w:r>
        <w:rPr>
          <w:rStyle w:val="CharSectno"/>
        </w:rPr>
        <w:t>2</w:t>
      </w:r>
      <w:r>
        <w:t>.</w:t>
      </w:r>
      <w:r>
        <w:tab/>
        <w:t>Commencement</w:t>
      </w:r>
      <w:bookmarkEnd w:id="11"/>
      <w:bookmarkEnd w:id="12"/>
      <w:bookmarkEnd w:id="13"/>
      <w:bookmarkEnd w:id="14"/>
      <w:bookmarkEnd w:id="15"/>
      <w:bookmarkEnd w:id="16"/>
      <w:bookmarkEnd w:id="17"/>
      <w:bookmarkEnd w:id="18"/>
      <w:bookmarkEnd w:id="19"/>
      <w:bookmarkEnd w:id="20"/>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1" w:name="_Toc114030346"/>
      <w:bookmarkStart w:id="22" w:name="_Toc115759605"/>
      <w:bookmarkStart w:id="23" w:name="_Toc177881115"/>
      <w:bookmarkStart w:id="24" w:name="_Toc265661893"/>
      <w:r>
        <w:rPr>
          <w:rStyle w:val="CharSectno"/>
        </w:rPr>
        <w:t>3</w:t>
      </w:r>
      <w:r>
        <w:t>.</w:t>
      </w:r>
      <w:r>
        <w:tab/>
      </w:r>
      <w:bookmarkEnd w:id="21"/>
      <w:bookmarkEnd w:id="22"/>
      <w:r>
        <w:t>Terms used in these regulations</w:t>
      </w:r>
      <w:bookmarkEnd w:id="23"/>
      <w:bookmarkEnd w:id="24"/>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lastRenderedPageBreak/>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77881116"/>
      <w:bookmarkStart w:id="28" w:name="_Toc265661894"/>
      <w:r>
        <w:rPr>
          <w:rStyle w:val="CharSectno"/>
        </w:rPr>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77881117"/>
      <w:bookmarkStart w:id="32" w:name="_Toc265661895"/>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3" w:name="_Toc177881118"/>
      <w:bookmarkStart w:id="34" w:name="_Toc265661896"/>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lastRenderedPageBreak/>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7" w:name="_Toc177881119"/>
      <w:bookmarkStart w:id="38" w:name="_Toc265661897"/>
      <w:r>
        <w:rPr>
          <w:rStyle w:val="CharSectno"/>
        </w:rPr>
        <w:t>5B</w:t>
      </w:r>
      <w:r>
        <w:t>.</w:t>
      </w:r>
      <w:r>
        <w:tab/>
        <w:t>Exemption — Particular participants in the provision of a certain low interest loan (section 5(2))</w:t>
      </w:r>
      <w:bookmarkEnd w:id="37"/>
      <w:bookmarkEnd w:id="38"/>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39" w:name="_Toc177881120"/>
      <w:bookmarkStart w:id="40" w:name="_Toc265661898"/>
      <w:r>
        <w:rPr>
          <w:rStyle w:val="CharSectno"/>
        </w:rPr>
        <w:t>6</w:t>
      </w:r>
      <w:r>
        <w:t>.</w:t>
      </w:r>
      <w:r>
        <w:tab/>
        <w:t>Licence application by an individual (section 24)</w:t>
      </w:r>
      <w:bookmarkEnd w:id="35"/>
      <w:bookmarkEnd w:id="36"/>
      <w:bookmarkEnd w:id="39"/>
      <w:bookmarkEnd w:id="40"/>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pPr>
      <w:bookmarkStart w:id="41" w:name="_Toc114030350"/>
      <w:bookmarkStart w:id="42" w:name="_Toc115759609"/>
      <w:bookmarkStart w:id="43" w:name="_Toc177881121"/>
      <w:bookmarkStart w:id="44" w:name="_Toc265661899"/>
      <w:r>
        <w:rPr>
          <w:rStyle w:val="CharSectno"/>
        </w:rPr>
        <w:t>7</w:t>
      </w:r>
      <w:r>
        <w:t>.</w:t>
      </w:r>
      <w:r>
        <w:tab/>
        <w:t>Licence application by a firm (section 24)</w:t>
      </w:r>
      <w:bookmarkEnd w:id="41"/>
      <w:bookmarkEnd w:id="42"/>
      <w:bookmarkEnd w:id="43"/>
      <w:bookmarkEnd w:id="4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45" w:name="_Toc114030351"/>
      <w:bookmarkStart w:id="46"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47" w:name="_Toc177881122"/>
      <w:bookmarkStart w:id="48" w:name="_Toc265661900"/>
      <w:r>
        <w:rPr>
          <w:rStyle w:val="CharSectno"/>
        </w:rPr>
        <w:t>8</w:t>
      </w:r>
      <w:r>
        <w:t>.</w:t>
      </w:r>
      <w:r>
        <w:tab/>
        <w:t>Licence application by a body corporate (section 24)</w:t>
      </w:r>
      <w:bookmarkEnd w:id="45"/>
      <w:bookmarkEnd w:id="46"/>
      <w:bookmarkEnd w:id="47"/>
      <w:bookmarkEnd w:id="4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49" w:name="_Toc114030352"/>
      <w:bookmarkStart w:id="50" w:name="_Toc115759611"/>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51" w:name="_Toc177881123"/>
      <w:bookmarkStart w:id="52" w:name="_Toc265661901"/>
      <w:r>
        <w:rPr>
          <w:rStyle w:val="CharSectno"/>
        </w:rPr>
        <w:t>9</w:t>
      </w:r>
      <w:r>
        <w:t>.</w:t>
      </w:r>
      <w:r>
        <w:tab/>
        <w:t>N</w:t>
      </w:r>
      <w:bookmarkStart w:id="53" w:name="_Toc434198243"/>
      <w:bookmarkStart w:id="54" w:name="_Toc78176623"/>
      <w:r>
        <w:rPr>
          <w:snapToGrid w:val="0"/>
        </w:rPr>
        <w:t>otice of application for licence</w:t>
      </w:r>
      <w:bookmarkEnd w:id="49"/>
      <w:bookmarkEnd w:id="50"/>
      <w:bookmarkEnd w:id="51"/>
      <w:bookmarkEnd w:id="53"/>
      <w:bookmarkEnd w:id="54"/>
      <w:bookmarkEnd w:id="5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5" w:name="_Toc114030353"/>
      <w:bookmarkStart w:id="56" w:name="_Toc115759612"/>
      <w:r>
        <w:tab/>
        <w:t>[Regulation 9 amended in Gazette 5 Jan 2007 p. 8</w:t>
      </w:r>
      <w:r>
        <w:noBreakHyphen/>
        <w:t>9; 20 Apr 2007 p. 1738; 30 Nov 2007 p. 5930.]</w:t>
      </w:r>
    </w:p>
    <w:p>
      <w:pPr>
        <w:pStyle w:val="Heading5"/>
        <w:rPr>
          <w:snapToGrid w:val="0"/>
        </w:rPr>
      </w:pPr>
      <w:bookmarkStart w:id="57" w:name="_Toc177881124"/>
      <w:bookmarkStart w:id="58" w:name="_Toc265661902"/>
      <w:r>
        <w:rPr>
          <w:rStyle w:val="CharSectno"/>
        </w:rPr>
        <w:t>10</w:t>
      </w:r>
      <w:r>
        <w:t>.</w:t>
      </w:r>
      <w:r>
        <w:tab/>
        <w:t>Requirements for persons in bona fide control (sections 28 and 29)</w:t>
      </w:r>
      <w:bookmarkEnd w:id="55"/>
      <w:bookmarkEnd w:id="56"/>
      <w:bookmarkEnd w:id="57"/>
      <w:bookmarkEnd w:id="58"/>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59" w:name="_Toc114030354"/>
      <w:bookmarkStart w:id="60" w:name="_Toc115759613"/>
      <w:bookmarkStart w:id="61" w:name="_Toc177881125"/>
      <w:bookmarkStart w:id="62" w:name="_Toc265661903"/>
      <w:r>
        <w:rPr>
          <w:rStyle w:val="CharSectno"/>
        </w:rPr>
        <w:t>11</w:t>
      </w:r>
      <w:r>
        <w:t>.</w:t>
      </w:r>
      <w:r>
        <w:tab/>
        <w:t>Renewal of licence (section 32)</w:t>
      </w:r>
      <w:bookmarkEnd w:id="59"/>
      <w:bookmarkEnd w:id="60"/>
      <w:bookmarkEnd w:id="61"/>
      <w:bookmarkEnd w:id="62"/>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3" w:name="_Toc114030355"/>
      <w:bookmarkStart w:id="64" w:name="_Toc115759614"/>
      <w:bookmarkStart w:id="65" w:name="_Toc177881126"/>
      <w:bookmarkStart w:id="66" w:name="_Toc265661904"/>
      <w:r>
        <w:rPr>
          <w:rStyle w:val="CharSectno"/>
        </w:rPr>
        <w:t>12</w:t>
      </w:r>
      <w:r>
        <w:t>.</w:t>
      </w:r>
      <w:r>
        <w:tab/>
        <w:t>Exemption from bond requirements (section 35A)</w:t>
      </w:r>
      <w:bookmarkEnd w:id="63"/>
      <w:bookmarkEnd w:id="64"/>
      <w:bookmarkEnd w:id="65"/>
      <w:bookmarkEnd w:id="66"/>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67" w:name="_Toc114030357"/>
      <w:bookmarkStart w:id="68" w:name="_Toc115759616"/>
      <w:r>
        <w:t>[</w:t>
      </w:r>
      <w:r>
        <w:rPr>
          <w:b/>
          <w:bCs/>
        </w:rPr>
        <w:t>13.</w:t>
      </w:r>
      <w:r>
        <w:tab/>
        <w:t xml:space="preserve">Deleted in Gazette 29 Jun 2007 p. 3181.] </w:t>
      </w:r>
    </w:p>
    <w:p>
      <w:pPr>
        <w:pStyle w:val="Heading5"/>
        <w:rPr>
          <w:snapToGrid w:val="0"/>
        </w:rPr>
      </w:pPr>
      <w:bookmarkStart w:id="69" w:name="_Toc177881127"/>
      <w:bookmarkStart w:id="70" w:name="_Toc265661905"/>
      <w:r>
        <w:rPr>
          <w:rStyle w:val="CharSectno"/>
        </w:rPr>
        <w:t>14</w:t>
      </w:r>
      <w:r>
        <w:t>.</w:t>
      </w:r>
      <w:r>
        <w:tab/>
        <w:t>P</w:t>
      </w:r>
      <w:bookmarkStart w:id="71" w:name="_Toc434198244"/>
      <w:bookmarkStart w:id="72" w:name="_Toc78176624"/>
      <w:r>
        <w:rPr>
          <w:snapToGrid w:val="0"/>
        </w:rPr>
        <w:t>articulars to be included in register</w:t>
      </w:r>
      <w:bookmarkEnd w:id="71"/>
      <w:bookmarkEnd w:id="72"/>
      <w:r>
        <w:rPr>
          <w:snapToGrid w:val="0"/>
        </w:rPr>
        <w:t xml:space="preserve"> (section 84(2))</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3" w:name="_Toc434198245"/>
      <w:bookmarkStart w:id="74" w:name="_Toc78176625"/>
      <w:bookmarkStart w:id="75" w:name="_Toc114030358"/>
      <w:bookmarkStart w:id="76" w:name="_Toc115759617"/>
      <w:bookmarkStart w:id="77" w:name="_Toc177881128"/>
      <w:bookmarkStart w:id="78" w:name="_Toc265661906"/>
      <w:r>
        <w:rPr>
          <w:rStyle w:val="CharSectno"/>
        </w:rPr>
        <w:t>15</w:t>
      </w:r>
      <w:r>
        <w:rPr>
          <w:snapToGrid w:val="0"/>
        </w:rPr>
        <w:t>.</w:t>
      </w:r>
      <w:r>
        <w:rPr>
          <w:snapToGrid w:val="0"/>
        </w:rPr>
        <w:tab/>
        <w:t>Notification of changes in particulars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79" w:name="_Toc114030359"/>
      <w:bookmarkStart w:id="80" w:name="_Toc115759618"/>
      <w:bookmarkStart w:id="81" w:name="_Toc177881129"/>
      <w:bookmarkStart w:id="82" w:name="_Toc265661907"/>
      <w:r>
        <w:rPr>
          <w:rStyle w:val="CharSectno"/>
        </w:rPr>
        <w:t>16</w:t>
      </w:r>
      <w:r>
        <w:t>.</w:t>
      </w:r>
      <w:r>
        <w:tab/>
        <w:t>Classes of licences (section 95(2)(b)) and transitional provisions</w:t>
      </w:r>
      <w:bookmarkEnd w:id="79"/>
      <w:bookmarkEnd w:id="80"/>
      <w:bookmarkEnd w:id="81"/>
      <w:bookmarkEnd w:id="82"/>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83" w:name="_Toc114030360"/>
      <w:bookmarkStart w:id="84" w:name="_Toc115759619"/>
      <w:bookmarkStart w:id="85" w:name="_Toc177881130"/>
      <w:bookmarkStart w:id="86" w:name="_Toc265661908"/>
      <w:r>
        <w:rPr>
          <w:rStyle w:val="CharSectno"/>
        </w:rPr>
        <w:t>17</w:t>
      </w:r>
      <w:r>
        <w:t>.</w:t>
      </w:r>
      <w:r>
        <w:tab/>
        <w:t>Qualifications required for an “A” class licence (section 95(2)(ba))</w:t>
      </w:r>
      <w:bookmarkEnd w:id="83"/>
      <w:bookmarkEnd w:id="84"/>
      <w:bookmarkEnd w:id="85"/>
      <w:bookmarkEnd w:id="86"/>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87" w:name="_Toc114030361"/>
      <w:bookmarkStart w:id="88" w:name="_Toc115759620"/>
      <w:r>
        <w:tab/>
        <w:t>[Regulation 17 amended in Gazette 5 Jan 2007 p. 9; 20 Apr 2007 p. 1738; 27 May 2008 p. 2039</w:t>
      </w:r>
      <w:r>
        <w:noBreakHyphen/>
        <w:t>40.]</w:t>
      </w:r>
    </w:p>
    <w:p>
      <w:pPr>
        <w:pStyle w:val="Heading5"/>
      </w:pPr>
      <w:bookmarkStart w:id="89" w:name="_Toc177881131"/>
      <w:bookmarkStart w:id="90" w:name="_Toc265661909"/>
      <w:r>
        <w:rPr>
          <w:rStyle w:val="CharSectno"/>
        </w:rPr>
        <w:t>18</w:t>
      </w:r>
      <w:r>
        <w:t>.</w:t>
      </w:r>
      <w:r>
        <w:tab/>
        <w:t>Qualifications required for a “B” class or “C” class licence (section 95(2)(ba))</w:t>
      </w:r>
      <w:bookmarkEnd w:id="87"/>
      <w:bookmarkEnd w:id="88"/>
      <w:bookmarkEnd w:id="89"/>
      <w:bookmarkEnd w:id="90"/>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91" w:name="_Toc114030362"/>
      <w:bookmarkStart w:id="92" w:name="_Toc115759621"/>
      <w:r>
        <w:tab/>
        <w:t>[Regulation 18 amended in Gazette 10 Feb 2006 p. 660; 5 Jan 2007 p. 9; 27 May 2008 p. 2040.]</w:t>
      </w:r>
    </w:p>
    <w:p>
      <w:pPr>
        <w:pStyle w:val="Heading5"/>
      </w:pPr>
      <w:bookmarkStart w:id="93" w:name="_Toc177881132"/>
      <w:bookmarkStart w:id="94" w:name="_Toc265661910"/>
      <w:r>
        <w:rPr>
          <w:rStyle w:val="CharSectno"/>
        </w:rPr>
        <w:t>18A</w:t>
      </w:r>
      <w:r>
        <w:t>.</w:t>
      </w:r>
      <w:r>
        <w:tab/>
        <w:t>Requirements for a “D” class licence (section 95(2)(ba))</w:t>
      </w:r>
      <w:bookmarkEnd w:id="93"/>
      <w:bookmarkEnd w:id="9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95" w:name="_Toc177881133"/>
      <w:bookmarkStart w:id="96" w:name="_Toc265661911"/>
      <w:r>
        <w:rPr>
          <w:rStyle w:val="CharSectno"/>
        </w:rPr>
        <w:t>19</w:t>
      </w:r>
      <w:r>
        <w:t>.</w:t>
      </w:r>
      <w:r>
        <w:tab/>
        <w:t>Fees</w:t>
      </w:r>
      <w:bookmarkEnd w:id="91"/>
      <w:bookmarkEnd w:id="92"/>
      <w:bookmarkEnd w:id="95"/>
      <w:bookmarkEnd w:id="9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7" w:name="_Toc434198246"/>
      <w:bookmarkStart w:id="98" w:name="_Toc78176626"/>
      <w:bookmarkStart w:id="99" w:name="_Toc114030363"/>
      <w:bookmarkStart w:id="100" w:name="_Toc115759622"/>
      <w:bookmarkStart w:id="101" w:name="_Toc177881134"/>
      <w:bookmarkStart w:id="102" w:name="_Toc265661912"/>
      <w:r>
        <w:rPr>
          <w:rStyle w:val="CharSectno"/>
        </w:rPr>
        <w:t>20</w:t>
      </w:r>
      <w:r>
        <w:rPr>
          <w:snapToGrid w:val="0"/>
        </w:rPr>
        <w:t>.</w:t>
      </w:r>
      <w:r>
        <w:rPr>
          <w:snapToGrid w:val="0"/>
        </w:rPr>
        <w:tab/>
        <w:t>Recovery of fees</w:t>
      </w:r>
      <w:bookmarkEnd w:id="97"/>
      <w:bookmarkEnd w:id="98"/>
      <w:bookmarkEnd w:id="99"/>
      <w:bookmarkEnd w:id="100"/>
      <w:bookmarkEnd w:id="101"/>
      <w:bookmarkEnd w:id="102"/>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pPr>
      <w:bookmarkStart w:id="103" w:name="_Toc265661913"/>
      <w:bookmarkStart w:id="104" w:name="_Toc114030364"/>
      <w:bookmarkStart w:id="105" w:name="_Toc115759623"/>
      <w:bookmarkStart w:id="106" w:name="_Toc177881135"/>
      <w:r>
        <w:rPr>
          <w:rStyle w:val="CharSectno"/>
        </w:rPr>
        <w:t>21A</w:t>
      </w:r>
      <w:r>
        <w:t>.</w:t>
      </w:r>
      <w:r>
        <w:tab/>
        <w:t>Refund of fees after referral day</w:t>
      </w:r>
      <w:bookmarkEnd w:id="103"/>
    </w:p>
    <w:p>
      <w:pPr>
        <w:pStyle w:val="Subsection"/>
      </w:pPr>
      <w:r>
        <w:tab/>
        <w:t>(1)</w:t>
      </w:r>
      <w:r>
        <w:tab/>
        <w:t xml:space="preserve">In this regulation — </w:t>
      </w:r>
    </w:p>
    <w:p>
      <w:pPr>
        <w:pStyle w:val="Defstart"/>
      </w:pPr>
      <w:r>
        <w:tab/>
      </w:r>
      <w:r>
        <w:rPr>
          <w:rStyle w:val="CharDefText"/>
        </w:rPr>
        <w:t xml:space="preserve">expired licence </w:t>
      </w:r>
      <w:r>
        <w:t>means a licence which expires on the referral day under section 30(1A) of the Act;</w:t>
      </w:r>
    </w:p>
    <w:p>
      <w:pPr>
        <w:pStyle w:val="Defstart"/>
      </w:pPr>
      <w:r>
        <w:tab/>
      </w:r>
      <w:r>
        <w:rPr>
          <w:rStyle w:val="CharDefText"/>
        </w:rPr>
        <w:t>last licence fee</w:t>
      </w:r>
      <w:r>
        <w:t xml:space="preserve"> means — </w:t>
      </w:r>
    </w:p>
    <w:p>
      <w:pPr>
        <w:pStyle w:val="Defpara"/>
      </w:pPr>
      <w:r>
        <w:tab/>
        <w:t>(a)</w:t>
      </w:r>
      <w:r>
        <w:tab/>
        <w:t>in the case of an expired licence which continues without expiry or renewal from the day it is first granted until the referral day, the amount of the fee paid under regulation 6, 7 or 8 on application for the grant of the licence; and</w:t>
      </w:r>
    </w:p>
    <w:p>
      <w:pPr>
        <w:pStyle w:val="Defpara"/>
      </w:pPr>
      <w:r>
        <w:tab/>
        <w:t>(b)</w:t>
      </w:r>
      <w:r>
        <w:tab/>
        <w:t>in the case of any other expired licence, the amount of the renewal fee paid under regulation 11 on application for the last renewal of the licence before the referral day, disregarding any late fee paid under regulation 11(2);</w:t>
      </w:r>
    </w:p>
    <w:p>
      <w:pPr>
        <w:pStyle w:val="Defstart"/>
      </w:pPr>
      <w:r>
        <w:tab/>
      </w:r>
      <w:r>
        <w:rPr>
          <w:rStyle w:val="CharDefText"/>
        </w:rPr>
        <w:t>refund period</w:t>
      </w:r>
      <w:r>
        <w:t xml:space="preserve">, in respect of an expired licence, means a period beginning on the referral day and ending — </w:t>
      </w:r>
    </w:p>
    <w:p>
      <w:pPr>
        <w:pStyle w:val="Defpara"/>
      </w:pPr>
      <w:r>
        <w:tab/>
        <w:t>(a)</w:t>
      </w:r>
      <w:r>
        <w:tab/>
        <w:t>in the case of an expired licence which continues without expiry or renewal from the day it is first granted until the referral day, on the last day of the licence period for which it was originally granted; and</w:t>
      </w:r>
    </w:p>
    <w:p>
      <w:pPr>
        <w:pStyle w:val="Defpara"/>
      </w:pPr>
      <w:r>
        <w:tab/>
        <w:t>(b)</w:t>
      </w:r>
      <w:r>
        <w:tab/>
        <w:t>in the case of any other expired licence, on the last day of the licence period for which it was renewed at its last renewal before the referral day.</w:t>
      </w:r>
    </w:p>
    <w:p>
      <w:pPr>
        <w:pStyle w:val="Subsection"/>
      </w:pPr>
      <w:r>
        <w:tab/>
        <w:t>(2)</w:t>
      </w:r>
      <w:r>
        <w:tab/>
        <w:t>Within 3 months after the expiry of an expired licence, the former licensee may apply in writing in a form acceptable to the Commissioner for a proportionate refund of the last licence fee.</w:t>
      </w:r>
    </w:p>
    <w:p>
      <w:pPr>
        <w:pStyle w:val="Subsection"/>
      </w:pPr>
      <w:r>
        <w:tab/>
        <w:t>(3)</w:t>
      </w:r>
      <w:r>
        <w:tab/>
        <w:t xml:space="preserve">As soon as is reasonably practicable after receiving an application under subregulation (2), the Commissioner is to pay to the former licensee an amount by way of proportionate refund of the last licence fee calculated in accordance with the following formula — </w:t>
      </w:r>
    </w:p>
    <w:p>
      <w:pPr>
        <w:pStyle w:val="Subsection"/>
      </w:pPr>
      <w:r>
        <w:tab/>
      </w:r>
      <w:r>
        <w:tab/>
        <w:t>$R = $F x (D/1095)</w:t>
      </w:r>
    </w:p>
    <w:p>
      <w:pPr>
        <w:pStyle w:val="Subsection"/>
      </w:pPr>
      <w:r>
        <w:tab/>
      </w:r>
      <w:r>
        <w:tab/>
        <w:t xml:space="preserve">where — </w:t>
      </w:r>
    </w:p>
    <w:p>
      <w:pPr>
        <w:pStyle w:val="Indenta"/>
      </w:pPr>
      <w:r>
        <w:tab/>
      </w:r>
      <w:r>
        <w:tab/>
        <w:t>$R</w:t>
      </w:r>
      <w:r>
        <w:tab/>
        <w:t>=</w:t>
      </w:r>
      <w:r>
        <w:tab/>
        <w:t>the amount to be paid by way of proportionate refund;</w:t>
      </w:r>
    </w:p>
    <w:p>
      <w:pPr>
        <w:pStyle w:val="Indenta"/>
      </w:pPr>
      <w:r>
        <w:tab/>
      </w:r>
      <w:r>
        <w:tab/>
        <w:t>$F</w:t>
      </w:r>
      <w:r>
        <w:tab/>
        <w:t>=</w:t>
      </w:r>
      <w:r>
        <w:tab/>
        <w:t>the amount of the last licence fee;</w:t>
      </w:r>
    </w:p>
    <w:p>
      <w:pPr>
        <w:pStyle w:val="Indenta"/>
      </w:pPr>
      <w:r>
        <w:tab/>
      </w:r>
      <w:r>
        <w:tab/>
        <w:t>D</w:t>
      </w:r>
      <w:r>
        <w:tab/>
        <w:t>=</w:t>
      </w:r>
      <w:r>
        <w:tab/>
        <w:t>the number of days in the refund period.</w:t>
      </w:r>
    </w:p>
    <w:p>
      <w:pPr>
        <w:pStyle w:val="Footnotesection"/>
      </w:pPr>
      <w:r>
        <w:tab/>
        <w:t>[Regulation 21A inserted in Gazette 30 Jun 2010 p. 3182-3.]</w:t>
      </w:r>
    </w:p>
    <w:p>
      <w:pPr>
        <w:pStyle w:val="Heading5"/>
      </w:pPr>
      <w:bookmarkStart w:id="107" w:name="_Toc265661914"/>
      <w:r>
        <w:rPr>
          <w:rStyle w:val="CharSectno"/>
        </w:rPr>
        <w:t>21B</w:t>
      </w:r>
      <w:r>
        <w:t>.</w:t>
      </w:r>
      <w:r>
        <w:tab/>
        <w:t>Reimbursement of fees after referral day</w:t>
      </w:r>
      <w:bookmarkEnd w:id="107"/>
    </w:p>
    <w:p>
      <w:pPr>
        <w:pStyle w:val="Subsection"/>
      </w:pPr>
      <w:r>
        <w:tab/>
        <w:t>(1)</w:t>
      </w:r>
      <w:r>
        <w:tab/>
        <w:t xml:space="preserve">Where — </w:t>
      </w:r>
    </w:p>
    <w:p>
      <w:pPr>
        <w:pStyle w:val="Indenta"/>
      </w:pPr>
      <w:r>
        <w:tab/>
        <w:t>(a)</w:t>
      </w:r>
      <w:r>
        <w:tab/>
        <w:t>a person applies for a licence and pays the fee required under regulation 6, 7 or 8;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Subsection"/>
      </w:pPr>
      <w:r>
        <w:tab/>
        <w:t>(2)</w:t>
      </w:r>
      <w:r>
        <w:tab/>
        <w:t xml:space="preserve">Where — </w:t>
      </w:r>
    </w:p>
    <w:p>
      <w:pPr>
        <w:pStyle w:val="Indenta"/>
      </w:pPr>
      <w:r>
        <w:tab/>
        <w:t>(a)</w:t>
      </w:r>
      <w:r>
        <w:tab/>
        <w:t>a person applies for the renewal of a licence and pays the renewal fee required under regulation 11; and</w:t>
      </w:r>
    </w:p>
    <w:p>
      <w:pPr>
        <w:pStyle w:val="Indenta"/>
      </w:pPr>
      <w:r>
        <w:tab/>
        <w:t>(b)</w:t>
      </w:r>
      <w:r>
        <w:tab/>
        <w:t>on the referral day, the Commissioner has neither renewed the licence pursuant to the application nor refused to renew it,</w:t>
      </w:r>
    </w:p>
    <w:p>
      <w:pPr>
        <w:pStyle w:val="Subsection"/>
      </w:pPr>
      <w:r>
        <w:tab/>
      </w:r>
      <w:r>
        <w:tab/>
        <w:t>as soon as is reasonably practicable after the referral day the Commissioner is to repay to the applicant the amount of the renewal fee.</w:t>
      </w:r>
    </w:p>
    <w:p>
      <w:pPr>
        <w:pStyle w:val="Footnotesection"/>
      </w:pPr>
      <w:r>
        <w:tab/>
        <w:t>[Regulation 21B inserted in Gazette 30 Jun 2010 p. 3183-4.]</w:t>
      </w:r>
    </w:p>
    <w:p>
      <w:pPr>
        <w:pStyle w:val="Heading5"/>
        <w:rPr>
          <w:snapToGrid w:val="0"/>
        </w:rPr>
      </w:pPr>
      <w:bookmarkStart w:id="108" w:name="_Toc265661915"/>
      <w:r>
        <w:rPr>
          <w:rStyle w:val="CharSectno"/>
        </w:rPr>
        <w:t>21</w:t>
      </w:r>
      <w:r>
        <w:rPr>
          <w:snapToGrid w:val="0"/>
        </w:rPr>
        <w:t>.</w:t>
      </w:r>
      <w:r>
        <w:rPr>
          <w:snapToGrid w:val="0"/>
        </w:rPr>
        <w:tab/>
        <w:t>Modified penalties</w:t>
      </w:r>
      <w:bookmarkEnd w:id="104"/>
      <w:bookmarkEnd w:id="105"/>
      <w:bookmarkEnd w:id="106"/>
      <w:bookmarkEnd w:id="108"/>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9" w:name="_Toc114030365"/>
      <w:bookmarkStart w:id="110" w:name="_Toc115759624"/>
      <w:bookmarkStart w:id="111" w:name="_Toc177881136"/>
      <w:bookmarkStart w:id="112" w:name="_Toc265661916"/>
      <w:r>
        <w:rPr>
          <w:snapToGrid w:val="0"/>
        </w:rPr>
        <w:t>22.</w:t>
      </w:r>
      <w:r>
        <w:rPr>
          <w:snapToGrid w:val="0"/>
        </w:rPr>
        <w:tab/>
        <w:t>Infringement notice</w:t>
      </w:r>
      <w:bookmarkEnd w:id="109"/>
      <w:bookmarkEnd w:id="110"/>
      <w:bookmarkEnd w:id="111"/>
      <w:bookmarkEnd w:id="112"/>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3" w:name="_Toc114030366"/>
      <w:bookmarkStart w:id="114" w:name="_Toc115759625"/>
      <w:bookmarkStart w:id="115" w:name="_Toc177881137"/>
      <w:bookmarkStart w:id="116" w:name="_Toc265661917"/>
      <w:r>
        <w:rPr>
          <w:snapToGrid w:val="0"/>
        </w:rPr>
        <w:t>23.</w:t>
      </w:r>
      <w:r>
        <w:rPr>
          <w:snapToGrid w:val="0"/>
        </w:rPr>
        <w:tab/>
        <w:t>Withdrawal of infringement notice</w:t>
      </w:r>
      <w:bookmarkEnd w:id="113"/>
      <w:bookmarkEnd w:id="114"/>
      <w:bookmarkEnd w:id="115"/>
      <w:bookmarkEnd w:id="116"/>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7" w:name="_Toc114376579"/>
      <w:bookmarkStart w:id="118" w:name="_Toc114386710"/>
      <w:bookmarkStart w:id="119" w:name="_Toc114387002"/>
      <w:bookmarkStart w:id="120" w:name="_Toc114388165"/>
      <w:bookmarkStart w:id="121" w:name="_Toc115076536"/>
      <w:bookmarkStart w:id="122" w:name="_Toc115078381"/>
      <w:bookmarkStart w:id="123" w:name="_Toc115149746"/>
      <w:bookmarkStart w:id="124" w:name="_Toc115149776"/>
      <w:bookmarkStart w:id="125" w:name="_Toc115238109"/>
      <w:bookmarkStart w:id="126" w:name="_Toc115238156"/>
      <w:bookmarkStart w:id="127" w:name="_Toc115238186"/>
      <w:bookmarkStart w:id="128" w:name="_Toc115238216"/>
      <w:bookmarkStart w:id="129" w:name="_Toc115594242"/>
      <w:bookmarkStart w:id="130" w:name="_Toc115601815"/>
      <w:bookmarkStart w:id="131" w:name="_Toc115601896"/>
      <w:bookmarkStart w:id="132" w:name="_Toc115750291"/>
      <w:bookmarkStart w:id="133" w:name="_Toc115750368"/>
      <w:bookmarkStart w:id="134" w:name="_Toc115750404"/>
      <w:bookmarkStart w:id="135" w:name="_Toc115759593"/>
      <w:bookmarkStart w:id="136" w:name="_Toc115759627"/>
      <w:bookmarkStart w:id="137" w:name="_Toc117063054"/>
    </w:p>
    <w:p>
      <w:pPr>
        <w:pStyle w:val="yScheduleHeading"/>
      </w:pPr>
      <w:bookmarkStart w:id="138" w:name="_Toc117064301"/>
      <w:bookmarkStart w:id="139" w:name="_Toc117064504"/>
      <w:bookmarkStart w:id="140" w:name="_Toc127256362"/>
      <w:bookmarkStart w:id="141" w:name="_Toc127333145"/>
      <w:bookmarkStart w:id="142" w:name="_Toc134518549"/>
      <w:bookmarkStart w:id="143" w:name="_Toc139259972"/>
      <w:bookmarkStart w:id="144" w:name="_Toc155675747"/>
      <w:bookmarkStart w:id="145" w:name="_Toc155683831"/>
      <w:bookmarkStart w:id="146" w:name="_Toc158111600"/>
      <w:bookmarkStart w:id="147" w:name="_Toc164746867"/>
      <w:bookmarkStart w:id="148" w:name="_Toc164747137"/>
      <w:bookmarkStart w:id="149" w:name="_Toc164755422"/>
      <w:bookmarkStart w:id="150" w:name="_Toc170722677"/>
      <w:bookmarkStart w:id="151" w:name="_Toc173301343"/>
      <w:bookmarkStart w:id="152" w:name="_Toc175546977"/>
      <w:bookmarkStart w:id="153" w:name="_Toc175547125"/>
      <w:bookmarkStart w:id="154" w:name="_Toc177880656"/>
      <w:bookmarkStart w:id="155" w:name="_Toc177881104"/>
      <w:bookmarkStart w:id="156" w:name="_Toc177881138"/>
      <w:bookmarkStart w:id="157" w:name="_Toc184114217"/>
      <w:bookmarkStart w:id="158" w:name="_Toc184181361"/>
      <w:bookmarkStart w:id="159" w:name="_Toc265661860"/>
      <w:bookmarkStart w:id="160" w:name="_Toc265661918"/>
      <w:r>
        <w:rPr>
          <w:rStyle w:val="CharSchNo"/>
        </w:rPr>
        <w:t>Schedule 1</w:t>
      </w:r>
      <w:r>
        <w:rPr>
          <w:rStyle w:val="CharSDivNo"/>
        </w:rPr>
        <w:t> </w:t>
      </w:r>
      <w:r>
        <w:t>—</w:t>
      </w:r>
      <w:r>
        <w:rPr>
          <w:rStyle w:val="CharSDivText"/>
        </w:rPr>
        <w:t> </w:t>
      </w:r>
      <w:r>
        <w:rPr>
          <w:rStyle w:val="CharSchText"/>
        </w:rPr>
        <w:t>Fees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spacing w:after="60"/>
      </w:pPr>
      <w:r>
        <w:t>[r. 6, 7, 8, 11 &amp; 19]</w:t>
      </w:r>
    </w:p>
    <w:tbl>
      <w:tblPr>
        <w:tblW w:w="6956" w:type="dxa"/>
        <w:tblInd w:w="232" w:type="dxa"/>
        <w:tblLayout w:type="fixed"/>
        <w:tblLook w:val="0000" w:firstRow="0" w:lastRow="0" w:firstColumn="0" w:lastColumn="0" w:noHBand="0" w:noVBand="0"/>
      </w:tblPr>
      <w:tblGrid>
        <w:gridCol w:w="585"/>
        <w:gridCol w:w="5051"/>
        <w:gridCol w:w="1320"/>
      </w:tblGrid>
      <w:tr>
        <w:trPr>
          <w:cantSplit/>
        </w:trPr>
        <w:tc>
          <w:tcPr>
            <w:tcW w:w="585" w:type="dxa"/>
          </w:tcPr>
          <w:p>
            <w:pPr>
              <w:pStyle w:val="yTable"/>
            </w:pPr>
          </w:p>
        </w:tc>
        <w:tc>
          <w:tcPr>
            <w:tcW w:w="5051" w:type="dxa"/>
          </w:tcPr>
          <w:p>
            <w:pPr>
              <w:pStyle w:val="yTable"/>
            </w:pPr>
          </w:p>
        </w:tc>
        <w:tc>
          <w:tcPr>
            <w:tcW w:w="1320" w:type="dxa"/>
          </w:tcPr>
          <w:p>
            <w:pPr>
              <w:pStyle w:val="yTable"/>
              <w:tabs>
                <w:tab w:val="right" w:pos="972"/>
              </w:tabs>
              <w:rPr>
                <w:b/>
                <w:bCs/>
              </w:rPr>
            </w:pPr>
            <w:r>
              <w:rPr>
                <w:b/>
                <w:bCs/>
              </w:rPr>
              <w:t xml:space="preserve">    $</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320" w:type="dxa"/>
          </w:tcPr>
          <w:p>
            <w:pPr>
              <w:pStyle w:val="yTable"/>
              <w:ind w:right="132"/>
              <w:jc w:val="right"/>
            </w:pPr>
            <w:r>
              <w:t>1 000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320" w:type="dxa"/>
          </w:tcPr>
          <w:p>
            <w:pPr>
              <w:pStyle w:val="yTable"/>
              <w:ind w:right="132"/>
              <w:jc w:val="right"/>
            </w:pPr>
            <w:r>
              <w:t>1 000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320" w:type="dxa"/>
          </w:tcPr>
          <w:p>
            <w:pPr>
              <w:pStyle w:val="yTable"/>
              <w:ind w:right="132"/>
              <w:jc w:val="right"/>
            </w:pPr>
            <w:r>
              <w:t>1 000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320" w:type="dxa"/>
          </w:tcPr>
          <w:p>
            <w:pPr>
              <w:pStyle w:val="yTable"/>
              <w:ind w:right="132"/>
              <w:jc w:val="right"/>
            </w:pPr>
            <w:r>
              <w:t>1 000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320" w:type="dxa"/>
          </w:tcPr>
          <w:p>
            <w:pPr>
              <w:pStyle w:val="yTable"/>
              <w:ind w:right="132"/>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320" w:type="dxa"/>
          </w:tcPr>
          <w:p>
            <w:pPr>
              <w:pStyle w:val="yTable"/>
              <w:ind w:right="132"/>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320" w:type="dxa"/>
          </w:tcPr>
          <w:p>
            <w:pPr>
              <w:pStyle w:val="yTable"/>
              <w:ind w:right="132"/>
              <w:jc w:val="right"/>
            </w:pPr>
            <w:r>
              <w:t>10</w:t>
            </w:r>
          </w:p>
          <w:p>
            <w:pPr>
              <w:pStyle w:val="yTable"/>
              <w:ind w:right="132"/>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320" w:type="dxa"/>
          </w:tcPr>
          <w:p>
            <w:pPr>
              <w:pStyle w:val="yTable"/>
              <w:ind w:right="132"/>
              <w:jc w:val="right"/>
            </w:pPr>
            <w:r>
              <w:t>122</w:t>
            </w:r>
          </w:p>
        </w:tc>
      </w:tr>
    </w:tbl>
    <w:p>
      <w:pPr>
        <w:pStyle w:val="yFootnotesection"/>
      </w:pPr>
      <w:bookmarkStart w:id="161" w:name="_Toc114376580"/>
      <w:bookmarkStart w:id="162" w:name="_Toc114386711"/>
      <w:bookmarkStart w:id="163" w:name="_Toc114387003"/>
      <w:bookmarkStart w:id="164" w:name="_Toc114388166"/>
      <w:bookmarkStart w:id="165" w:name="_Toc115076537"/>
      <w:bookmarkStart w:id="166" w:name="_Toc115078382"/>
      <w:bookmarkStart w:id="167" w:name="_Toc115149747"/>
      <w:bookmarkStart w:id="168" w:name="_Toc115149777"/>
      <w:bookmarkStart w:id="169" w:name="_Toc115238110"/>
      <w:bookmarkStart w:id="170" w:name="_Toc115238157"/>
      <w:bookmarkStart w:id="171" w:name="_Toc115238187"/>
      <w:bookmarkStart w:id="172" w:name="_Toc115238217"/>
      <w:bookmarkStart w:id="173" w:name="_Toc115594243"/>
      <w:bookmarkStart w:id="174" w:name="_Toc115601816"/>
      <w:bookmarkStart w:id="175" w:name="_Toc115601897"/>
      <w:bookmarkStart w:id="176" w:name="_Toc115750292"/>
      <w:bookmarkStart w:id="177" w:name="_Toc115750369"/>
      <w:bookmarkStart w:id="178" w:name="_Toc115750405"/>
      <w:bookmarkStart w:id="179" w:name="_Toc115759594"/>
      <w:bookmarkStart w:id="180" w:name="_Toc115759628"/>
      <w:bookmarkStart w:id="181" w:name="_Toc117063055"/>
      <w:bookmarkStart w:id="182" w:name="_Toc117064302"/>
      <w:bookmarkStart w:id="183" w:name="_Toc117064505"/>
      <w:bookmarkStart w:id="184" w:name="_Toc127256363"/>
      <w:bookmarkStart w:id="185" w:name="_Toc127333146"/>
      <w:bookmarkStart w:id="186" w:name="_Toc134518550"/>
      <w:bookmarkStart w:id="187" w:name="_Toc114030369"/>
      <w:r>
        <w:tab/>
        <w:t>[Schedule 1 amended in Gazette 27 Jun 2006 p. 2255; 15 Jun 2007 p. 2774; 17 Jun 2008 p. 2551</w:t>
      </w:r>
      <w:r>
        <w:noBreakHyphen/>
        <w:t>2.]</w:t>
      </w:r>
    </w:p>
    <w:p>
      <w:pPr>
        <w:pStyle w:val="yScheduleHeading"/>
      </w:pPr>
      <w:bookmarkStart w:id="188" w:name="_Toc139259973"/>
      <w:bookmarkStart w:id="189" w:name="_Toc155675748"/>
      <w:bookmarkStart w:id="190" w:name="_Toc155683832"/>
      <w:bookmarkStart w:id="191" w:name="_Toc158111601"/>
      <w:bookmarkStart w:id="192" w:name="_Toc164746868"/>
      <w:bookmarkStart w:id="193" w:name="_Toc164747138"/>
      <w:bookmarkStart w:id="194" w:name="_Toc164755423"/>
      <w:bookmarkStart w:id="195" w:name="_Toc170722678"/>
      <w:bookmarkStart w:id="196" w:name="_Toc173301344"/>
      <w:bookmarkStart w:id="197" w:name="_Toc175546978"/>
      <w:bookmarkStart w:id="198" w:name="_Toc175547126"/>
      <w:bookmarkStart w:id="199" w:name="_Toc177880657"/>
      <w:bookmarkStart w:id="200" w:name="_Toc177881105"/>
      <w:bookmarkStart w:id="201" w:name="_Toc177881139"/>
      <w:bookmarkStart w:id="202" w:name="_Toc184114218"/>
      <w:bookmarkStart w:id="203" w:name="_Toc184181362"/>
      <w:bookmarkStart w:id="204" w:name="_Toc265661861"/>
      <w:bookmarkStart w:id="205" w:name="_Toc265661919"/>
      <w:r>
        <w:rPr>
          <w:rStyle w:val="CharSchNo"/>
        </w:rPr>
        <w:t>Schedule 2</w:t>
      </w:r>
      <w:r>
        <w:rPr>
          <w:rStyle w:val="CharSDivNo"/>
        </w:rPr>
        <w:t> </w:t>
      </w:r>
      <w:r>
        <w:t>—</w:t>
      </w:r>
      <w:r>
        <w:rPr>
          <w:rStyle w:val="CharSDivText"/>
        </w:rPr>
        <w:t> </w:t>
      </w:r>
      <w:r>
        <w:rPr>
          <w:rStyle w:val="CharSchText"/>
        </w:rPr>
        <w:t>Modified penalties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187"/>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6" w:name="_Hlt451592855"/>
            <w:r>
              <w:t>s. 45(1)</w:t>
            </w:r>
            <w:bookmarkEnd w:id="206"/>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7" w:name="_Toc114376581"/>
      <w:bookmarkStart w:id="208" w:name="_Toc114386712"/>
      <w:bookmarkStart w:id="209" w:name="_Toc114387004"/>
      <w:bookmarkStart w:id="210" w:name="_Toc114388167"/>
      <w:bookmarkStart w:id="211" w:name="_Toc115076538"/>
      <w:bookmarkStart w:id="212" w:name="_Toc115078383"/>
      <w:bookmarkStart w:id="213" w:name="_Toc115149748"/>
      <w:bookmarkStart w:id="214" w:name="_Toc115149778"/>
      <w:bookmarkStart w:id="215" w:name="_Toc115238111"/>
      <w:bookmarkStart w:id="216" w:name="_Toc115238158"/>
      <w:bookmarkStart w:id="217" w:name="_Toc115238188"/>
      <w:bookmarkStart w:id="218" w:name="_Toc115238218"/>
      <w:bookmarkStart w:id="219" w:name="_Toc115594244"/>
      <w:bookmarkStart w:id="220" w:name="_Toc115601817"/>
      <w:bookmarkStart w:id="221" w:name="_Toc115601898"/>
      <w:bookmarkStart w:id="222" w:name="_Toc115750293"/>
      <w:bookmarkStart w:id="223" w:name="_Toc115750370"/>
      <w:bookmarkStart w:id="224" w:name="_Toc115750406"/>
      <w:bookmarkStart w:id="225" w:name="_Toc115759595"/>
      <w:bookmarkStart w:id="226" w:name="_Toc115759629"/>
      <w:bookmarkStart w:id="227" w:name="_Toc117063056"/>
      <w:bookmarkStart w:id="228" w:name="_Toc117064303"/>
      <w:bookmarkStart w:id="229" w:name="_Toc117064506"/>
      <w:bookmarkStart w:id="230" w:name="_Toc127256364"/>
      <w:bookmarkStart w:id="231" w:name="_Toc127333147"/>
      <w:bookmarkStart w:id="232" w:name="_Toc134518551"/>
      <w:bookmarkStart w:id="233" w:name="_Toc139259974"/>
      <w:bookmarkStart w:id="234" w:name="_Toc114030370"/>
      <w:r>
        <w:tab/>
        <w:t>[Schedule 2 amended in Gazette 5 Jan 2007 p. 10.]</w:t>
      </w:r>
    </w:p>
    <w:p>
      <w:pPr>
        <w:pStyle w:val="yScheduleHeading"/>
      </w:pPr>
      <w:bookmarkStart w:id="235" w:name="_Toc155675749"/>
      <w:bookmarkStart w:id="236" w:name="_Toc155683833"/>
      <w:bookmarkStart w:id="237" w:name="_Toc158111602"/>
      <w:bookmarkStart w:id="238" w:name="_Toc164746869"/>
      <w:bookmarkStart w:id="239" w:name="_Toc164747139"/>
      <w:bookmarkStart w:id="240" w:name="_Toc164755424"/>
      <w:bookmarkStart w:id="241" w:name="_Toc170722679"/>
      <w:bookmarkStart w:id="242" w:name="_Toc173301345"/>
      <w:bookmarkStart w:id="243" w:name="_Toc175546979"/>
      <w:bookmarkStart w:id="244" w:name="_Toc175547127"/>
      <w:bookmarkStart w:id="245" w:name="_Toc177880658"/>
      <w:bookmarkStart w:id="246" w:name="_Toc177881106"/>
      <w:bookmarkStart w:id="247" w:name="_Toc177881140"/>
      <w:bookmarkStart w:id="248" w:name="_Toc184114219"/>
      <w:bookmarkStart w:id="249" w:name="_Toc184181363"/>
      <w:bookmarkStart w:id="250" w:name="_Toc265661862"/>
      <w:bookmarkStart w:id="251" w:name="_Toc265661920"/>
      <w:r>
        <w:rPr>
          <w:rStyle w:val="CharSchNo"/>
        </w:rPr>
        <w:t>Schedule 3</w:t>
      </w:r>
      <w:r>
        <w:rPr>
          <w:rStyle w:val="CharSDivNo"/>
        </w:rPr>
        <w:t> </w:t>
      </w:r>
      <w:r>
        <w:t>—</w:t>
      </w:r>
      <w:r>
        <w:rPr>
          <w:rStyle w:val="CharSDivText"/>
        </w:rPr>
        <w:t> </w:t>
      </w:r>
      <w:r>
        <w:rPr>
          <w:rStyle w:val="CharSchText"/>
        </w:rPr>
        <w:t>Forms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bookmarkEnd w:id="234"/>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2" w:name="_Toc114376582"/>
      <w:bookmarkStart w:id="253" w:name="_Toc114386713"/>
      <w:bookmarkStart w:id="254" w:name="_Toc114387005"/>
      <w:bookmarkStart w:id="255" w:name="_Toc114388168"/>
      <w:bookmarkStart w:id="256" w:name="_Toc115076539"/>
      <w:bookmarkStart w:id="257" w:name="_Toc115078384"/>
      <w:bookmarkStart w:id="258" w:name="_Toc115149749"/>
      <w:bookmarkStart w:id="259" w:name="_Toc115149779"/>
      <w:bookmarkStart w:id="260" w:name="_Toc115238112"/>
      <w:bookmarkStart w:id="261" w:name="_Toc115238159"/>
      <w:bookmarkStart w:id="262" w:name="_Toc115238189"/>
      <w:bookmarkStart w:id="263" w:name="_Toc115238219"/>
      <w:bookmarkStart w:id="264" w:name="_Toc115594245"/>
      <w:bookmarkStart w:id="265" w:name="_Toc115601818"/>
      <w:bookmarkStart w:id="266" w:name="_Toc115601899"/>
      <w:bookmarkStart w:id="267" w:name="_Toc115750294"/>
      <w:bookmarkStart w:id="268" w:name="_Toc115750371"/>
      <w:bookmarkStart w:id="269" w:name="_Toc115750407"/>
      <w:bookmarkStart w:id="270" w:name="_Toc115759596"/>
      <w:bookmarkStart w:id="271" w:name="_Toc115759630"/>
      <w:bookmarkStart w:id="272" w:name="_Toc117063057"/>
      <w:bookmarkStart w:id="273" w:name="_Toc117064304"/>
      <w:bookmarkStart w:id="274" w:name="_Toc117064507"/>
      <w:bookmarkStart w:id="275" w:name="_Toc127256365"/>
      <w:bookmarkStart w:id="276" w:name="_Toc127333148"/>
      <w:bookmarkStart w:id="277" w:name="_Toc134518552"/>
      <w:bookmarkStart w:id="278" w:name="_Toc139259975"/>
      <w:bookmarkStart w:id="279" w:name="_Toc155675750"/>
      <w:bookmarkStart w:id="280" w:name="_Toc155683834"/>
      <w:bookmarkStart w:id="281" w:name="_Toc158111603"/>
      <w:bookmarkStart w:id="282" w:name="_Toc164746870"/>
      <w:bookmarkStart w:id="283" w:name="_Toc164747140"/>
      <w:bookmarkStart w:id="284" w:name="_Toc164755425"/>
      <w:bookmarkStart w:id="285" w:name="_Toc170722680"/>
      <w:bookmarkStart w:id="286" w:name="_Toc173301346"/>
      <w:bookmarkStart w:id="287" w:name="_Toc175546980"/>
      <w:bookmarkStart w:id="288" w:name="_Toc175547128"/>
      <w:bookmarkStart w:id="289" w:name="_Toc177880659"/>
      <w:bookmarkStart w:id="290" w:name="_Toc177881107"/>
      <w:bookmarkStart w:id="291" w:name="_Toc177881141"/>
      <w:bookmarkStart w:id="292" w:name="_Toc184114220"/>
      <w:bookmarkStart w:id="293" w:name="_Toc184181364"/>
      <w:bookmarkStart w:id="294" w:name="_Toc265661863"/>
      <w:bookmarkStart w:id="295" w:name="_Toc265661921"/>
      <w:bookmarkStart w:id="296" w:name="_Toc114030371"/>
      <w:r>
        <w:rPr>
          <w:rStyle w:val="CharSchNo"/>
        </w:rPr>
        <w:t>Schedule 4</w:t>
      </w:r>
      <w:r>
        <w:rPr>
          <w:rStyle w:val="CharSDivNo"/>
        </w:rPr>
        <w:t> </w:t>
      </w:r>
      <w:r>
        <w:t>—</w:t>
      </w:r>
      <w:r>
        <w:rPr>
          <w:rStyle w:val="CharSDivText"/>
        </w:rPr>
        <w:t> </w:t>
      </w:r>
      <w:r>
        <w:rPr>
          <w:rStyle w:val="CharSchText"/>
        </w:rPr>
        <w:t>Transitional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bookmarkEnd w:id="296"/>
    <w:p>
      <w:pPr>
        <w:pStyle w:val="yShoulderClause"/>
      </w:pPr>
      <w:r>
        <w:t>[r. 16]</w:t>
      </w:r>
    </w:p>
    <w:p>
      <w:pPr>
        <w:pStyle w:val="yHeading5"/>
        <w:outlineLvl w:val="9"/>
      </w:pPr>
      <w:bookmarkStart w:id="297" w:name="_Toc115759631"/>
      <w:bookmarkStart w:id="298" w:name="_Toc177881142"/>
      <w:bookmarkStart w:id="299" w:name="_Toc265661922"/>
      <w:r>
        <w:rPr>
          <w:rStyle w:val="CharSClsNo"/>
        </w:rPr>
        <w:t>1</w:t>
      </w:r>
      <w:r>
        <w:t>.</w:t>
      </w:r>
      <w:r>
        <w:tab/>
      </w:r>
      <w:bookmarkEnd w:id="297"/>
      <w:r>
        <w:t>Term used in this Schedule</w:t>
      </w:r>
      <w:bookmarkEnd w:id="298"/>
      <w:bookmarkEnd w:id="299"/>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Finance Brokers (Control) Amendment Act 2004</w:t>
      </w:r>
      <w:r>
        <w:t xml:space="preserve"> comes into operation.</w:t>
      </w:r>
    </w:p>
    <w:p>
      <w:pPr>
        <w:pStyle w:val="yHeading5"/>
      </w:pPr>
      <w:bookmarkStart w:id="300" w:name="_Toc114030373"/>
      <w:bookmarkStart w:id="301" w:name="_Toc115759632"/>
      <w:bookmarkStart w:id="302" w:name="_Toc177881143"/>
      <w:bookmarkStart w:id="303" w:name="_Toc265661923"/>
      <w:r>
        <w:rPr>
          <w:rStyle w:val="CharSClsNo"/>
        </w:rPr>
        <w:t>2</w:t>
      </w:r>
      <w:r>
        <w:t>.</w:t>
      </w:r>
      <w:r>
        <w:tab/>
        <w:t>Licences for former certificate holders after the commencement day</w:t>
      </w:r>
      <w:bookmarkEnd w:id="300"/>
      <w:bookmarkEnd w:id="301"/>
      <w:bookmarkEnd w:id="302"/>
      <w:bookmarkEnd w:id="30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04" w:name="_Toc113695922"/>
    </w:p>
    <w:p>
      <w:pPr>
        <w:pStyle w:val="nHeading2"/>
      </w:pPr>
      <w:bookmarkStart w:id="305" w:name="UpToHere"/>
      <w:bookmarkStart w:id="306" w:name="_Toc117064307"/>
      <w:bookmarkStart w:id="307" w:name="_Toc117064510"/>
      <w:bookmarkStart w:id="308" w:name="_Toc127256368"/>
      <w:bookmarkStart w:id="309" w:name="_Toc127333151"/>
      <w:bookmarkStart w:id="310" w:name="_Toc134518555"/>
      <w:bookmarkStart w:id="311" w:name="_Toc139259978"/>
      <w:bookmarkStart w:id="312" w:name="_Toc155675753"/>
      <w:bookmarkStart w:id="313" w:name="_Toc155683837"/>
      <w:bookmarkStart w:id="314" w:name="_Toc158111606"/>
      <w:bookmarkStart w:id="315" w:name="_Toc164746873"/>
      <w:bookmarkStart w:id="316" w:name="_Toc164747143"/>
      <w:bookmarkStart w:id="317" w:name="_Toc164755428"/>
      <w:bookmarkStart w:id="318" w:name="_Toc170722683"/>
      <w:bookmarkStart w:id="319" w:name="_Toc173301349"/>
      <w:bookmarkStart w:id="320" w:name="_Toc175546983"/>
      <w:bookmarkStart w:id="321" w:name="_Toc175547131"/>
      <w:bookmarkStart w:id="322" w:name="_Toc177880662"/>
      <w:bookmarkStart w:id="323" w:name="_Toc177881110"/>
      <w:bookmarkStart w:id="324" w:name="_Toc177881144"/>
      <w:bookmarkStart w:id="325" w:name="_Toc184114223"/>
      <w:bookmarkStart w:id="326" w:name="_Toc184181367"/>
      <w:bookmarkStart w:id="327" w:name="_Toc265661866"/>
      <w:bookmarkStart w:id="328" w:name="_Toc265661924"/>
      <w:bookmarkEnd w:id="305"/>
      <w:r>
        <w:t>Notes</w:t>
      </w:r>
      <w:bookmarkEnd w:id="30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bookmarkStart w:id="329"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0" w:name="_Toc177881145"/>
      <w:bookmarkStart w:id="331" w:name="_Toc265661925"/>
      <w:bookmarkEnd w:id="329"/>
      <w:r>
        <w:t>Compilation table</w:t>
      </w:r>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2008</w:t>
            </w:r>
          </w:p>
        </w:tc>
        <w:tc>
          <w:tcPr>
            <w:tcW w:w="1276" w:type="dxa"/>
          </w:tcPr>
          <w:p>
            <w:pPr>
              <w:pStyle w:val="nTable"/>
              <w:spacing w:after="40"/>
              <w:rPr>
                <w:sz w:val="19"/>
              </w:rPr>
            </w:pPr>
            <w:r>
              <w:rPr>
                <w:sz w:val="19"/>
              </w:rPr>
              <w:t>27 May 2008 p. 2038</w:t>
            </w:r>
            <w:r>
              <w:rPr>
                <w:sz w:val="19"/>
              </w:rPr>
              <w:noBreakHyphen/>
              <w:t>40</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c>
          <w:tcPr>
            <w:tcW w:w="3118" w:type="dxa"/>
          </w:tcPr>
          <w:p>
            <w:pPr>
              <w:pStyle w:val="nTable"/>
              <w:keepNext/>
              <w:keepLines/>
              <w:spacing w:after="40"/>
              <w:rPr>
                <w:i/>
                <w:noProof/>
                <w:snapToGrid w:val="0"/>
                <w:sz w:val="19"/>
              </w:rPr>
            </w:pPr>
            <w:r>
              <w:rPr>
                <w:i/>
                <w:noProof/>
                <w:snapToGrid w:val="0"/>
                <w:sz w:val="19"/>
              </w:rPr>
              <w:t>Finance Brokers Control (General) Amendment Regulations (No. 2) 2008</w:t>
            </w:r>
          </w:p>
        </w:tc>
        <w:tc>
          <w:tcPr>
            <w:tcW w:w="1276" w:type="dxa"/>
          </w:tcPr>
          <w:p>
            <w:pPr>
              <w:pStyle w:val="nTable"/>
              <w:keepNext/>
              <w:keepLines/>
              <w:spacing w:after="40"/>
              <w:rPr>
                <w:sz w:val="19"/>
              </w:rPr>
            </w:pPr>
            <w:r>
              <w:rPr>
                <w:sz w:val="19"/>
              </w:rPr>
              <w:t>17 Jun 2008 p. 2551</w:t>
            </w:r>
            <w:r>
              <w:rPr>
                <w:sz w:val="19"/>
              </w:rPr>
              <w:noBreakHyphen/>
              <w:t>2</w:t>
            </w:r>
          </w:p>
        </w:tc>
        <w:tc>
          <w:tcPr>
            <w:tcW w:w="2693" w:type="dxa"/>
          </w:tcPr>
          <w:p>
            <w:pPr>
              <w:pStyle w:val="nTable"/>
              <w:keepNext/>
              <w:keepLines/>
              <w:spacing w:after="40"/>
              <w:rPr>
                <w:sz w:val="19"/>
              </w:rPr>
            </w:pPr>
            <w:r>
              <w:rPr>
                <w:sz w:val="19"/>
              </w:rPr>
              <w:t>r. 1 and 2: 17 Jun 2008 (see r. 2(a));</w:t>
            </w:r>
            <w:r>
              <w:rPr>
                <w:sz w:val="19"/>
              </w:rPr>
              <w:br/>
              <w:t>Regulations other than r. 1 and 2: 1 Jul 2008 (see r. 2(b))</w:t>
            </w:r>
          </w:p>
        </w:tc>
      </w:tr>
      <w:tr>
        <w:tc>
          <w:tcPr>
            <w:tcW w:w="3118" w:type="dxa"/>
            <w:tcBorders>
              <w:bottom w:val="single" w:sz="4" w:space="0" w:color="auto"/>
            </w:tcBorders>
          </w:tcPr>
          <w:p>
            <w:pPr>
              <w:pStyle w:val="nTable"/>
              <w:keepNext/>
              <w:keepLines/>
              <w:spacing w:after="40"/>
              <w:rPr>
                <w:i/>
                <w:noProof/>
                <w:snapToGrid w:val="0"/>
                <w:sz w:val="19"/>
              </w:rPr>
            </w:pPr>
            <w:r>
              <w:rPr>
                <w:i/>
                <w:noProof/>
                <w:snapToGrid w:val="0"/>
                <w:sz w:val="19"/>
              </w:rPr>
              <w:t>Finance Brokers Control (General) Amendment Regulations 2010</w:t>
            </w:r>
          </w:p>
        </w:tc>
        <w:tc>
          <w:tcPr>
            <w:tcW w:w="1276" w:type="dxa"/>
            <w:tcBorders>
              <w:bottom w:val="single" w:sz="4" w:space="0" w:color="auto"/>
            </w:tcBorders>
          </w:tcPr>
          <w:p>
            <w:pPr>
              <w:pStyle w:val="nTable"/>
              <w:keepNext/>
              <w:keepLines/>
              <w:spacing w:after="40"/>
              <w:rPr>
                <w:sz w:val="19"/>
              </w:rPr>
            </w:pPr>
            <w:r>
              <w:rPr>
                <w:sz w:val="19"/>
              </w:rPr>
              <w:t>30 Jun 2010 p. 3181-4</w:t>
            </w:r>
          </w:p>
        </w:tc>
        <w:tc>
          <w:tcPr>
            <w:tcW w:w="2693" w:type="dxa"/>
            <w:tcBorders>
              <w:bottom w:val="single" w:sz="4" w:space="0" w:color="auto"/>
            </w:tcBorders>
          </w:tcPr>
          <w:p>
            <w:pPr>
              <w:pStyle w:val="nTable"/>
              <w:keepNext/>
              <w:keepLines/>
              <w:spacing w:after="40"/>
              <w:rPr>
                <w:iCs/>
                <w:sz w:val="19"/>
              </w:rPr>
            </w:pPr>
            <w:r>
              <w:rPr>
                <w:sz w:val="19"/>
              </w:rPr>
              <w:t xml:space="preserve">1 Jul 2010 (see r. 2(a)(ii), (b)(ii) and </w:t>
            </w:r>
            <w:r>
              <w:rPr>
                <w:i/>
                <w:sz w:val="19"/>
              </w:rPr>
              <w:t>Gazette</w:t>
            </w:r>
            <w:r>
              <w:rPr>
                <w:iCs/>
                <w:sz w:val="19"/>
              </w:rPr>
              <w:t xml:space="preserve"> 30 Jun 2010 p. 3187)</w:t>
            </w:r>
          </w:p>
        </w:tc>
      </w:tr>
    </w:tbl>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14"/>
    <w:docVar w:name="WAFER_20151204152058" w:val="RemoveBadVanishTags"/>
    <w:docVar w:name="WAFER_20151204152058_GUID" w:val="05bcc134-efbc-462a-a4a1-776e7c4b36f1"/>
    <w:docVar w:name="WAFER_20151216141314" w:val="RemoveTrackChanges"/>
    <w:docVar w:name="WAFER_20151216141314_GUID" w:val="88edb671-ecb0-498a-9de4-f0ca6cc0f9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6690</Words>
  <Characters>34590</Characters>
  <Application>Microsoft Office Word</Application>
  <DocSecurity>0</DocSecurity>
  <Lines>1080</Lines>
  <Paragraphs>635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Finance Brokers Control (General) Regulations 2005</vt:lpstr>
      <vt:lpstr>    Schedule 1 — Fees</vt:lpstr>
      <vt:lpstr>    Schedule 2 — Modified penalties</vt:lpstr>
      <vt:lpstr>    Schedule 3 — Forms</vt:lpstr>
      <vt:lpstr>    Schedule 4 — Transitional</vt:lpstr>
      <vt:lpstr>    Notes</vt:lpstr>
    </vt:vector>
  </TitlesOfParts>
  <Manager/>
  <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2005 - 01-e0-03</dc:title>
  <dc:subject/>
  <dc:creator/>
  <cp:keywords/>
  <dc:description/>
  <cp:lastModifiedBy>svcMRProcess</cp:lastModifiedBy>
  <cp:revision>4</cp:revision>
  <cp:lastPrinted>2007-10-04T00:48:00Z</cp:lastPrinted>
  <dcterms:created xsi:type="dcterms:W3CDTF">2015-12-17T00:57:00Z</dcterms:created>
  <dcterms:modified xsi:type="dcterms:W3CDTF">2015-12-17T00:57:00Z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AsAtDate">
    <vt:lpwstr>01 Jul 2010</vt:lpwstr>
  </property>
  <property fmtid="{D5CDD505-2E9C-101B-9397-08002B2CF9AE}" pid="8" name="Suffix">
    <vt:lpwstr>01-e0-03</vt:lpwstr>
  </property>
</Properties>
</file>