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Metropolitan Water Supply, Sewerage, and Drainage Act 1909</w:t>
      </w:r>
    </w:p>
    <w:p>
      <w:pPr>
        <w:pStyle w:val="NameofActRegPage1"/>
        <w:spacing w:before="1800" w:after="4200"/>
      </w:pPr>
      <w:r>
        <w:fldChar w:fldCharType="begin"/>
      </w:r>
      <w:r>
        <w:instrText xml:space="preserve"> STYLEREF "Name Of Act/Reg"</w:instrText>
      </w:r>
      <w:r>
        <w:fldChar w:fldCharType="separate"/>
      </w:r>
      <w:r>
        <w:rPr>
          <w:noProof/>
        </w:rPr>
        <w:t>Metropolitan Water Authority (Miscellaneous) By-laws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(Miscellaneous) By-laws 1982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_Toc265679050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_Toc265679051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_Toc265679052 \h </w:instrText>
      </w:r>
      <w:r>
        <w:fldChar w:fldCharType="separate"/>
      </w:r>
      <w:r>
        <w:t>1</w:t>
      </w:r>
      <w:r>
        <w:fldChar w:fldCharType="end"/>
      </w:r>
    </w:p>
    <w:p>
      <w:pPr>
        <w:pStyle w:val="TOC8"/>
        <w:rPr>
          <w:sz w:val="24"/>
          <w:szCs w:val="24"/>
        </w:rPr>
      </w:pPr>
      <w:r>
        <w:rPr>
          <w:szCs w:val="24"/>
        </w:rPr>
        <w:t>9.</w:t>
      </w:r>
      <w:r>
        <w:rPr>
          <w:szCs w:val="24"/>
        </w:rPr>
        <w:tab/>
        <w:t>Fixing, removing or replacing meters and fittings</w:t>
      </w:r>
      <w:r>
        <w:tab/>
      </w:r>
      <w:r>
        <w:fldChar w:fldCharType="begin"/>
      </w:r>
      <w:r>
        <w:instrText xml:space="preserve"> PAGEREF _Toc265679053 \h </w:instrText>
      </w:r>
      <w:r>
        <w:fldChar w:fldCharType="separate"/>
      </w:r>
      <w:r>
        <w:t>2</w:t>
      </w:r>
      <w:r>
        <w:fldChar w:fldCharType="end"/>
      </w:r>
    </w:p>
    <w:p>
      <w:pPr>
        <w:pStyle w:val="TOC8"/>
        <w:rPr>
          <w:sz w:val="24"/>
          <w:szCs w:val="24"/>
        </w:rPr>
      </w:pPr>
      <w:r>
        <w:rPr>
          <w:szCs w:val="24"/>
        </w:rPr>
        <w:t>11</w:t>
      </w:r>
      <w:r>
        <w:rPr>
          <w:snapToGrid w:val="0"/>
          <w:szCs w:val="24"/>
        </w:rPr>
        <w:t>.</w:t>
      </w:r>
      <w:r>
        <w:rPr>
          <w:snapToGrid w:val="0"/>
          <w:szCs w:val="24"/>
        </w:rPr>
        <w:tab/>
        <w:t>Testing of meters</w:t>
      </w:r>
      <w:r>
        <w:tab/>
      </w:r>
      <w:r>
        <w:fldChar w:fldCharType="begin"/>
      </w:r>
      <w:r>
        <w:instrText xml:space="preserve"> PAGEREF _Toc265679054 \h </w:instrText>
      </w:r>
      <w:r>
        <w:fldChar w:fldCharType="separate"/>
      </w:r>
      <w:r>
        <w:t>3</w:t>
      </w:r>
      <w:r>
        <w:fldChar w:fldCharType="end"/>
      </w:r>
    </w:p>
    <w:p>
      <w:pPr>
        <w:pStyle w:val="TOC8"/>
        <w:rPr>
          <w:sz w:val="24"/>
          <w:szCs w:val="24"/>
        </w:rPr>
      </w:pPr>
      <w:r>
        <w:rPr>
          <w:szCs w:val="24"/>
        </w:rPr>
        <w:t>17</w:t>
      </w:r>
      <w:r>
        <w:rPr>
          <w:snapToGrid w:val="0"/>
          <w:szCs w:val="24"/>
        </w:rPr>
        <w:t>.</w:t>
      </w:r>
      <w:r>
        <w:rPr>
          <w:snapToGrid w:val="0"/>
          <w:szCs w:val="24"/>
        </w:rPr>
        <w:tab/>
        <w:t>Notice of intention to build</w:t>
      </w:r>
      <w:r>
        <w:tab/>
      </w:r>
      <w:r>
        <w:fldChar w:fldCharType="begin"/>
      </w:r>
      <w:r>
        <w:instrText xml:space="preserve"> PAGEREF _Toc265679055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Water for shipping</w:t>
      </w:r>
      <w:r>
        <w:tab/>
      </w:r>
      <w:r>
        <w:fldChar w:fldCharType="begin"/>
      </w:r>
      <w:r>
        <w:instrText xml:space="preserve"> PAGEREF _Toc265679056 \h </w:instrText>
      </w:r>
      <w:r>
        <w:fldChar w:fldCharType="separate"/>
      </w:r>
      <w:r>
        <w:t>4</w:t>
      </w:r>
      <w:r>
        <w:fldChar w:fldCharType="end"/>
      </w:r>
    </w:p>
    <w:p>
      <w:pPr>
        <w:pStyle w:val="TOC8"/>
        <w:rPr>
          <w:sz w:val="24"/>
          <w:szCs w:val="24"/>
        </w:rPr>
      </w:pPr>
      <w:r>
        <w:rPr>
          <w:szCs w:val="24"/>
        </w:rPr>
        <w:t>20</w:t>
      </w:r>
      <w:r>
        <w:rPr>
          <w:snapToGrid w:val="0"/>
          <w:szCs w:val="24"/>
        </w:rPr>
        <w:t>.</w:t>
      </w:r>
      <w:r>
        <w:rPr>
          <w:snapToGrid w:val="0"/>
          <w:szCs w:val="24"/>
        </w:rPr>
        <w:tab/>
        <w:t>Notice of arrears of rates</w:t>
      </w:r>
      <w:r>
        <w:tab/>
      </w:r>
      <w:r>
        <w:fldChar w:fldCharType="begin"/>
      </w:r>
      <w:r>
        <w:instrText xml:space="preserve"> PAGEREF _Toc265679057 \h </w:instrText>
      </w:r>
      <w:r>
        <w:fldChar w:fldCharType="separate"/>
      </w:r>
      <w:r>
        <w:t>5</w:t>
      </w:r>
      <w:r>
        <w:fldChar w:fldCharType="end"/>
      </w:r>
    </w:p>
    <w:p>
      <w:pPr>
        <w:pStyle w:val="TOC8"/>
        <w:rPr>
          <w:sz w:val="24"/>
          <w:szCs w:val="24"/>
        </w:rPr>
      </w:pPr>
      <w:r>
        <w:rPr>
          <w:szCs w:val="24"/>
        </w:rPr>
        <w:t>21</w:t>
      </w:r>
      <w:r>
        <w:rPr>
          <w:snapToGrid w:val="0"/>
          <w:szCs w:val="24"/>
        </w:rPr>
        <w:t>.</w:t>
      </w:r>
      <w:r>
        <w:rPr>
          <w:snapToGrid w:val="0"/>
          <w:szCs w:val="24"/>
        </w:rPr>
        <w:tab/>
        <w:t>Fees — statements</w:t>
      </w:r>
      <w:r>
        <w:tab/>
      </w:r>
      <w:r>
        <w:fldChar w:fldCharType="begin"/>
      </w:r>
      <w:r>
        <w:instrText xml:space="preserve"> PAGEREF _Toc265679058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Fees for records, plans and diagrams</w:t>
      </w:r>
      <w:r>
        <w:tab/>
      </w:r>
      <w:r>
        <w:fldChar w:fldCharType="begin"/>
      </w:r>
      <w:r>
        <w:instrText xml:space="preserve"> PAGEREF _Toc265679059 \h </w:instrText>
      </w:r>
      <w:r>
        <w:fldChar w:fldCharType="separate"/>
      </w:r>
      <w:r>
        <w:t>5</w:t>
      </w:r>
      <w:r>
        <w:fldChar w:fldCharType="end"/>
      </w:r>
    </w:p>
    <w:p>
      <w:pPr>
        <w:pStyle w:val="TOC8"/>
        <w:rPr>
          <w:sz w:val="24"/>
          <w:szCs w:val="24"/>
        </w:rPr>
      </w:pPr>
      <w:r>
        <w:rPr>
          <w:szCs w:val="24"/>
        </w:rPr>
        <w:t>24</w:t>
      </w:r>
      <w:r>
        <w:rPr>
          <w:snapToGrid w:val="0"/>
          <w:szCs w:val="24"/>
        </w:rPr>
        <w:t>.</w:t>
      </w:r>
      <w:r>
        <w:rPr>
          <w:snapToGrid w:val="0"/>
          <w:szCs w:val="24"/>
        </w:rPr>
        <w:tab/>
        <w:t>Fees for standpipes</w:t>
      </w:r>
      <w:r>
        <w:tab/>
      </w:r>
      <w:r>
        <w:fldChar w:fldCharType="begin"/>
      </w:r>
      <w:r>
        <w:instrText xml:space="preserve"> PAGEREF _Toc265679060 \h </w:instrText>
      </w:r>
      <w:r>
        <w:fldChar w:fldCharType="separate"/>
      </w:r>
      <w:r>
        <w:t>6</w:t>
      </w:r>
      <w:r>
        <w:fldChar w:fldCharType="end"/>
      </w:r>
    </w:p>
    <w:p>
      <w:pPr>
        <w:pStyle w:val="TOC8"/>
        <w:rPr>
          <w:sz w:val="24"/>
          <w:szCs w:val="24"/>
        </w:rPr>
      </w:pPr>
      <w:r>
        <w:rPr>
          <w:szCs w:val="24"/>
        </w:rPr>
        <w:t>25</w:t>
      </w:r>
      <w:r>
        <w:rPr>
          <w:snapToGrid w:val="0"/>
          <w:szCs w:val="24"/>
        </w:rPr>
        <w:t>.</w:t>
      </w:r>
      <w:r>
        <w:rPr>
          <w:snapToGrid w:val="0"/>
          <w:szCs w:val="24"/>
        </w:rPr>
        <w:tab/>
        <w:t>Amounts rounded</w:t>
      </w:r>
      <w:r>
        <w:tab/>
      </w:r>
      <w:r>
        <w:fldChar w:fldCharType="begin"/>
      </w:r>
      <w:r>
        <w:instrText xml:space="preserve"> PAGEREF _Toc265679061 \h </w:instrText>
      </w:r>
      <w:r>
        <w:fldChar w:fldCharType="separate"/>
      </w:r>
      <w:r>
        <w:t>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Charges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_Toc265679068 \h </w:instrText>
      </w:r>
      <w:r>
        <w:fldChar w:fldCharType="separate"/>
      </w:r>
      <w:r>
        <w:t>15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1" w:name="_Toc2675612"/>
      <w:bookmarkStart w:id="2" w:name="_Toc7929790"/>
      <w:bookmarkStart w:id="3" w:name="_Toc139696379"/>
      <w:bookmarkStart w:id="4" w:name="_Toc154210764"/>
      <w:bookmarkStart w:id="5" w:name="_Toc26567905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6" w:name="_Toc2675613"/>
      <w:bookmarkStart w:id="7" w:name="_Toc7929791"/>
      <w:bookmarkStart w:id="8" w:name="_Toc139696380"/>
      <w:bookmarkStart w:id="9" w:name="_Toc154210765"/>
      <w:bookmarkStart w:id="10" w:name="_Toc265679051"/>
      <w:r>
        <w:rPr>
          <w:snapToGrid w:val="0"/>
        </w:rPr>
        <w:t>2.</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1" w:name="_Toc2675614"/>
      <w:bookmarkStart w:id="12" w:name="_Toc7929792"/>
      <w:bookmarkStart w:id="13" w:name="_Toc139696381"/>
      <w:bookmarkStart w:id="14" w:name="_Toc154210766"/>
      <w:bookmarkStart w:id="15" w:name="_Toc26567905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bookmarkStart w:id="16" w:name="endcomma"/>
      <w:bookmarkEnd w:id="16"/>
      <w:r>
        <w:rPr>
          <w:rStyle w:val="CharDefText"/>
        </w:rPr>
        <w:t>service</w:t>
      </w:r>
      <w:r>
        <w:t xml:space="preserve"> </w:t>
      </w:r>
      <w:bookmarkStart w:id="17" w:name="comma"/>
      <w:bookmarkEnd w:id="17"/>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Deleted in Gazette 27 Jun 1986 p. 2129.]</w:t>
      </w:r>
    </w:p>
    <w:p>
      <w:pPr>
        <w:pStyle w:val="Ednotesection"/>
      </w:pPr>
      <w:r>
        <w:t>[</w:t>
      </w:r>
      <w:r>
        <w:rPr>
          <w:b/>
        </w:rPr>
        <w:t>5</w:t>
      </w:r>
      <w:r>
        <w:rPr>
          <w:b/>
        </w:rPr>
        <w:noBreakHyphen/>
        <w:t>7.</w:t>
      </w:r>
      <w:r>
        <w:tab/>
        <w:t>Deleted in Gazette 14 Jul 1987 p. 2658.]</w:t>
      </w:r>
    </w:p>
    <w:p>
      <w:pPr>
        <w:pStyle w:val="Ednotesection"/>
      </w:pPr>
      <w:r>
        <w:t>[</w:t>
      </w:r>
      <w:r>
        <w:rPr>
          <w:b/>
        </w:rPr>
        <w:t>8.</w:t>
      </w:r>
      <w:r>
        <w:tab/>
        <w:t>Deleted in Gazette 27 Jun 1986 p. 2130.]</w:t>
      </w:r>
    </w:p>
    <w:p>
      <w:pPr>
        <w:pStyle w:val="Heading5"/>
      </w:pPr>
      <w:bookmarkStart w:id="18" w:name="_Toc2675615"/>
      <w:bookmarkStart w:id="19" w:name="_Toc7929793"/>
      <w:bookmarkStart w:id="20" w:name="_Toc139696382"/>
      <w:bookmarkStart w:id="21" w:name="_Toc154210767"/>
      <w:bookmarkStart w:id="22" w:name="_Toc265679053"/>
      <w:r>
        <w:rPr>
          <w:rStyle w:val="CharSectno"/>
        </w:rPr>
        <w:t>9</w:t>
      </w:r>
      <w:r>
        <w:t>.</w:t>
      </w:r>
      <w:r>
        <w:tab/>
        <w:t>Fixing, removing or replacing meters and fittings</w:t>
      </w:r>
      <w:bookmarkEnd w:id="18"/>
      <w:bookmarkEnd w:id="19"/>
      <w:bookmarkEnd w:id="20"/>
      <w:bookmarkEnd w:id="21"/>
      <w:bookmarkEnd w:id="22"/>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Deleted in Gazette 14 Jul 1987 p. 2658.]</w:t>
      </w:r>
    </w:p>
    <w:p>
      <w:pPr>
        <w:pStyle w:val="Heading5"/>
        <w:rPr>
          <w:snapToGrid w:val="0"/>
        </w:rPr>
      </w:pPr>
      <w:bookmarkStart w:id="23" w:name="_Toc2675616"/>
      <w:bookmarkStart w:id="24" w:name="_Toc7929794"/>
      <w:bookmarkStart w:id="25" w:name="_Toc139696383"/>
      <w:bookmarkStart w:id="26" w:name="_Toc154210768"/>
      <w:bookmarkStart w:id="27" w:name="_Toc265679054"/>
      <w:r>
        <w:rPr>
          <w:rStyle w:val="CharSectno"/>
        </w:rPr>
        <w:t>11</w:t>
      </w:r>
      <w:r>
        <w:rPr>
          <w:snapToGrid w:val="0"/>
        </w:rPr>
        <w:t>.</w:t>
      </w:r>
      <w:r>
        <w:rPr>
          <w:snapToGrid w:val="0"/>
        </w:rPr>
        <w:tab/>
        <w:t>Testing of meters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28" w:name="_Toc2675617"/>
      <w:bookmarkStart w:id="29" w:name="_Toc7929795"/>
      <w:bookmarkStart w:id="30" w:name="_Toc139696384"/>
      <w:bookmarkStart w:id="31" w:name="_Toc154210769"/>
      <w:bookmarkStart w:id="32" w:name="_Toc265679055"/>
      <w:r>
        <w:rPr>
          <w:rStyle w:val="CharSectno"/>
        </w:rPr>
        <w:t>17</w:t>
      </w:r>
      <w:r>
        <w:rPr>
          <w:snapToGrid w:val="0"/>
        </w:rPr>
        <w:t>.</w:t>
      </w:r>
      <w:r>
        <w:rPr>
          <w:snapToGrid w:val="0"/>
        </w:rPr>
        <w:tab/>
        <w:t>Notice of intention to build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33" w:name="_Toc2675618"/>
      <w:bookmarkStart w:id="34" w:name="_Toc7929796"/>
      <w:bookmarkStart w:id="35" w:name="_Toc139696385"/>
      <w:bookmarkStart w:id="36" w:name="_Toc154210770"/>
      <w:bookmarkStart w:id="37" w:name="_Toc265679056"/>
      <w:r>
        <w:rPr>
          <w:rStyle w:val="CharSectno"/>
        </w:rPr>
        <w:t>18</w:t>
      </w:r>
      <w:r>
        <w:rPr>
          <w:snapToGrid w:val="0"/>
        </w:rPr>
        <w:t>.</w:t>
      </w:r>
      <w:r>
        <w:rPr>
          <w:snapToGrid w:val="0"/>
        </w:rPr>
        <w:tab/>
        <w:t>Water for shipping</w:t>
      </w:r>
      <w:bookmarkEnd w:id="33"/>
      <w:bookmarkEnd w:id="34"/>
      <w:bookmarkEnd w:id="35"/>
      <w:bookmarkEnd w:id="36"/>
      <w:bookmarkEnd w:id="37"/>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spacing w:before="180"/>
        <w:rPr>
          <w:snapToGrid w:val="0"/>
        </w:rPr>
      </w:pPr>
      <w:bookmarkStart w:id="38" w:name="_Toc2675619"/>
      <w:bookmarkStart w:id="39" w:name="_Toc7929797"/>
      <w:bookmarkStart w:id="40" w:name="_Toc139696386"/>
      <w:bookmarkStart w:id="41" w:name="_Toc154210771"/>
      <w:bookmarkStart w:id="42" w:name="_Toc265679057"/>
      <w:r>
        <w:rPr>
          <w:rStyle w:val="CharSectno"/>
        </w:rPr>
        <w:t>20</w:t>
      </w:r>
      <w:r>
        <w:rPr>
          <w:snapToGrid w:val="0"/>
        </w:rPr>
        <w:t>.</w:t>
      </w:r>
      <w:r>
        <w:rPr>
          <w:snapToGrid w:val="0"/>
        </w:rPr>
        <w:tab/>
        <w:t>Notice of arrears of rates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43" w:name="_Toc2675620"/>
      <w:bookmarkStart w:id="44" w:name="_Toc7929798"/>
      <w:bookmarkStart w:id="45" w:name="_Toc139696387"/>
      <w:bookmarkStart w:id="46" w:name="_Toc154210772"/>
      <w:bookmarkStart w:id="47" w:name="_Toc265679058"/>
      <w:r>
        <w:rPr>
          <w:rStyle w:val="CharSectno"/>
        </w:rPr>
        <w:t>21</w:t>
      </w:r>
      <w:r>
        <w:rPr>
          <w:snapToGrid w:val="0"/>
        </w:rPr>
        <w:t>.</w:t>
      </w:r>
      <w:r>
        <w:rPr>
          <w:snapToGrid w:val="0"/>
        </w:rPr>
        <w:tab/>
        <w:t>Fees — statements</w:t>
      </w:r>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48" w:name="_Toc2675621"/>
      <w:bookmarkStart w:id="49" w:name="_Toc7929799"/>
      <w:bookmarkStart w:id="50" w:name="_Toc139696388"/>
      <w:bookmarkStart w:id="51" w:name="_Toc154210773"/>
      <w:bookmarkStart w:id="52" w:name="_Toc265679059"/>
      <w:r>
        <w:rPr>
          <w:rStyle w:val="CharSectno"/>
        </w:rPr>
        <w:t>22</w:t>
      </w:r>
      <w:r>
        <w:rPr>
          <w:snapToGrid w:val="0"/>
        </w:rPr>
        <w:t>.</w:t>
      </w:r>
      <w:r>
        <w:rPr>
          <w:snapToGrid w:val="0"/>
        </w:rPr>
        <w:tab/>
        <w:t>Fees for records, plans and diagrams</w:t>
      </w:r>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spacing w:before="180"/>
        <w:rPr>
          <w:snapToGrid w:val="0"/>
        </w:rPr>
      </w:pPr>
      <w:bookmarkStart w:id="53" w:name="_Toc2675622"/>
      <w:bookmarkStart w:id="54" w:name="_Toc7929800"/>
      <w:bookmarkStart w:id="55" w:name="_Toc139696389"/>
      <w:bookmarkStart w:id="56" w:name="_Toc154210774"/>
      <w:bookmarkStart w:id="57" w:name="_Toc265679060"/>
      <w:r>
        <w:rPr>
          <w:rStyle w:val="CharSectno"/>
        </w:rPr>
        <w:t>24</w:t>
      </w:r>
      <w:r>
        <w:rPr>
          <w:snapToGrid w:val="0"/>
        </w:rPr>
        <w:t>.</w:t>
      </w:r>
      <w:r>
        <w:rPr>
          <w:snapToGrid w:val="0"/>
        </w:rPr>
        <w:tab/>
        <w:t>Fees for standpipes</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58" w:name="_Toc2675623"/>
      <w:bookmarkStart w:id="59" w:name="_Toc7929801"/>
      <w:bookmarkStart w:id="60" w:name="_Toc139696390"/>
      <w:bookmarkStart w:id="61" w:name="_Toc154210775"/>
      <w:bookmarkStart w:id="62" w:name="_Toc265679061"/>
      <w:r>
        <w:rPr>
          <w:rStyle w:val="CharSectno"/>
        </w:rPr>
        <w:t>25</w:t>
      </w:r>
      <w:r>
        <w:rPr>
          <w:snapToGrid w:val="0"/>
        </w:rPr>
        <w:t>.</w:t>
      </w:r>
      <w:r>
        <w:rPr>
          <w:snapToGrid w:val="0"/>
        </w:rPr>
        <w:tab/>
        <w:t>Amounts rounded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3" w:name="_Toc139696391"/>
      <w:bookmarkStart w:id="64" w:name="_Toc148856858"/>
      <w:bookmarkStart w:id="65" w:name="_Toc150235542"/>
      <w:bookmarkStart w:id="66" w:name="_Toc150244809"/>
      <w:bookmarkStart w:id="67" w:name="_Toc151802094"/>
      <w:bookmarkStart w:id="68" w:name="_Toc154210776"/>
      <w:bookmarkStart w:id="69" w:name="_Toc170801507"/>
      <w:bookmarkStart w:id="70" w:name="_Toc170885522"/>
      <w:bookmarkStart w:id="71" w:name="_Toc233692910"/>
      <w:bookmarkStart w:id="72" w:name="_Toc265679062"/>
      <w:r>
        <w:rPr>
          <w:rStyle w:val="CharSchNo"/>
        </w:rPr>
        <w:t>Schedule 1</w:t>
      </w:r>
      <w:bookmarkEnd w:id="63"/>
      <w:bookmarkEnd w:id="64"/>
      <w:bookmarkEnd w:id="65"/>
      <w:bookmarkEnd w:id="66"/>
      <w:bookmarkEnd w:id="67"/>
      <w:bookmarkEnd w:id="68"/>
      <w:bookmarkEnd w:id="69"/>
      <w:bookmarkEnd w:id="70"/>
      <w:bookmarkEnd w:id="71"/>
      <w:bookmarkEnd w:id="72"/>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73" w:name="_Toc265679063"/>
      <w:bookmarkStart w:id="74" w:name="_Toc139696393"/>
      <w:bookmarkStart w:id="75" w:name="_Toc148856860"/>
      <w:bookmarkStart w:id="76" w:name="_Toc150235544"/>
      <w:bookmarkStart w:id="77" w:name="_Toc150244811"/>
      <w:bookmarkStart w:id="78" w:name="_Toc151802096"/>
      <w:bookmarkStart w:id="79" w:name="_Toc154210778"/>
      <w:bookmarkStart w:id="80" w:name="_Toc170801509"/>
      <w:bookmarkStart w:id="81" w:name="_Toc170885524"/>
      <w:bookmarkStart w:id="82" w:name="_Toc233692912"/>
      <w:r>
        <w:rPr>
          <w:rStyle w:val="CharSchNo"/>
        </w:rPr>
        <w:t>Schedule 2</w:t>
      </w:r>
      <w:r>
        <w:rPr>
          <w:rStyle w:val="CharSDivNo"/>
        </w:rPr>
        <w:t> </w:t>
      </w:r>
      <w:r>
        <w:t>—</w:t>
      </w:r>
      <w:r>
        <w:rPr>
          <w:rStyle w:val="CharSDivText"/>
        </w:rPr>
        <w:t> </w:t>
      </w:r>
      <w:r>
        <w:rPr>
          <w:rStyle w:val="CharSchText"/>
        </w:rPr>
        <w:t>Charges</w:t>
      </w:r>
      <w:bookmarkEnd w:id="73"/>
    </w:p>
    <w:p>
      <w:pPr>
        <w:pStyle w:val="yShoulderClause"/>
      </w:pPr>
      <w:r>
        <w:t>[bl. 9(1), (2) and (6), 11(2)]</w:t>
      </w:r>
    </w:p>
    <w:p>
      <w:pPr>
        <w:pStyle w:val="yFootnoteheading"/>
        <w:spacing w:after="120"/>
      </w:pPr>
      <w:r>
        <w:tab/>
        <w:t>[Heading inserted in Gazette 25 Jun 2010 p. 2991.]</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NAm"/>
            </w:pPr>
          </w:p>
        </w:tc>
        <w:tc>
          <w:tcPr>
            <w:tcW w:w="5103" w:type="dxa"/>
          </w:tcPr>
          <w:p>
            <w:pPr>
              <w:pStyle w:val="yTableNAm"/>
            </w:pPr>
          </w:p>
        </w:tc>
        <w:tc>
          <w:tcPr>
            <w:tcW w:w="1134" w:type="dxa"/>
          </w:tcPr>
          <w:p>
            <w:pPr>
              <w:pStyle w:val="yTableNAm"/>
            </w:pPr>
            <w:r>
              <w:t>$</w:t>
            </w:r>
          </w:p>
        </w:tc>
      </w:tr>
      <w:tr>
        <w:trPr>
          <w:cantSplit/>
        </w:trPr>
        <w:tc>
          <w:tcPr>
            <w:tcW w:w="567" w:type="dxa"/>
          </w:tcPr>
          <w:p>
            <w:pPr>
              <w:pStyle w:val="yTableNAm"/>
            </w:pPr>
            <w:bookmarkStart w:id="83" w:name="UpToHere"/>
            <w:r>
              <w:t>1.</w:t>
            </w:r>
          </w:p>
        </w:tc>
        <w:tc>
          <w:tcPr>
            <w:tcW w:w="5103" w:type="dxa"/>
          </w:tcPr>
          <w:p>
            <w:pPr>
              <w:pStyle w:val="yTableNAm"/>
            </w:pPr>
            <w:r>
              <w:t>Meter testing deposit —</w:t>
            </w:r>
          </w:p>
        </w:tc>
        <w:tc>
          <w:tcPr>
            <w:tcW w:w="1134" w:type="dxa"/>
          </w:tcPr>
          <w:p>
            <w:pPr>
              <w:pStyle w:val="yTableNAm"/>
            </w:pPr>
          </w:p>
        </w:tc>
      </w:tr>
      <w:bookmarkEnd w:id="83"/>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 xml:space="preserve">where the meter size is 20 – 25 mm </w:t>
            </w:r>
            <w:r>
              <w:tab/>
            </w:r>
          </w:p>
        </w:tc>
        <w:tc>
          <w:tcPr>
            <w:tcW w:w="1134" w:type="dxa"/>
          </w:tcPr>
          <w:p>
            <w:pPr>
              <w:pStyle w:val="yTableNAm"/>
              <w:tabs>
                <w:tab w:val="clear" w:pos="567"/>
                <w:tab w:val="left" w:pos="385"/>
              </w:tabs>
            </w:pPr>
            <w:r>
              <w:t>93.50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where the meter is any greater size, an amount equal to the actual cost of testing the meter</w:t>
            </w:r>
          </w:p>
        </w:tc>
        <w:tc>
          <w:tcPr>
            <w:tcW w:w="1134" w:type="dxa"/>
          </w:tcPr>
          <w:p>
            <w:pPr>
              <w:pStyle w:val="yTableNAm"/>
            </w:pPr>
          </w:p>
        </w:tc>
      </w:tr>
      <w:tr>
        <w:trPr>
          <w:cantSplit/>
        </w:trPr>
        <w:tc>
          <w:tcPr>
            <w:tcW w:w="567" w:type="dxa"/>
          </w:tcPr>
          <w:p>
            <w:pPr>
              <w:pStyle w:val="yTableNAm"/>
            </w:pPr>
            <w:r>
              <w:t>2.</w:t>
            </w:r>
          </w:p>
        </w:tc>
        <w:tc>
          <w:tcPr>
            <w:tcW w:w="5103" w:type="dxa"/>
          </w:tcPr>
          <w:p>
            <w:pPr>
              <w:pStyle w:val="yTableNAm"/>
            </w:pPr>
            <w:r>
              <w:t>Charges for fixing water supply and fire fighting connections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except within a central business district as described in Schedule 3 where the connection size is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20 mm </w:t>
            </w:r>
            <w:r>
              <w:tab/>
            </w:r>
          </w:p>
        </w:tc>
        <w:tc>
          <w:tcPr>
            <w:tcW w:w="1134" w:type="dxa"/>
          </w:tcPr>
          <w:p>
            <w:pPr>
              <w:pStyle w:val="yTableNAm"/>
              <w:tabs>
                <w:tab w:val="clear" w:pos="567"/>
                <w:tab w:val="left" w:pos="385"/>
              </w:tabs>
            </w:pPr>
            <w:r>
              <w:t>1 045.00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25 mm </w:t>
            </w:r>
            <w:r>
              <w:tab/>
            </w:r>
          </w:p>
        </w:tc>
        <w:tc>
          <w:tcPr>
            <w:tcW w:w="1134" w:type="dxa"/>
          </w:tcPr>
          <w:p>
            <w:pPr>
              <w:pStyle w:val="yTableNAm"/>
              <w:tabs>
                <w:tab w:val="clear" w:pos="567"/>
                <w:tab w:val="left" w:pos="385"/>
              </w:tabs>
            </w:pPr>
            <w:r>
              <w:t>1 059.00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40 mm </w:t>
            </w:r>
            <w:r>
              <w:tab/>
            </w:r>
          </w:p>
        </w:tc>
        <w:tc>
          <w:tcPr>
            <w:tcW w:w="1134" w:type="dxa"/>
          </w:tcPr>
          <w:p>
            <w:pPr>
              <w:pStyle w:val="yTableNAm"/>
            </w:pPr>
            <w:r>
              <w:t>1 543.15</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50 mm </w:t>
            </w:r>
            <w:r>
              <w:tab/>
            </w:r>
          </w:p>
        </w:tc>
        <w:tc>
          <w:tcPr>
            <w:tcW w:w="1134" w:type="dxa"/>
          </w:tcPr>
          <w:p>
            <w:pPr>
              <w:pStyle w:val="yTableNAm"/>
            </w:pPr>
            <w:r>
              <w:t>1 906.60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80 – 100 mm </w:t>
            </w:r>
            <w:r>
              <w:tab/>
            </w:r>
          </w:p>
        </w:tc>
        <w:tc>
          <w:tcPr>
            <w:tcW w:w="1134" w:type="dxa"/>
          </w:tcPr>
          <w:p>
            <w:pPr>
              <w:pStyle w:val="yTableNAm"/>
            </w:pPr>
            <w:r>
              <w:t>3 693.35</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150 mm </w:t>
            </w:r>
            <w:r>
              <w:tab/>
            </w:r>
          </w:p>
        </w:tc>
        <w:tc>
          <w:tcPr>
            <w:tcW w:w="1134" w:type="dxa"/>
          </w:tcPr>
          <w:p>
            <w:pPr>
              <w:pStyle w:val="yTableNAm"/>
            </w:pPr>
            <w:r>
              <w:t>4 408.05</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otherwise, an amount equal to the actual cost of fixing the connection</w:t>
            </w:r>
          </w:p>
        </w:tc>
        <w:tc>
          <w:tcPr>
            <w:tcW w:w="1134" w:type="dxa"/>
          </w:tcPr>
          <w:p>
            <w:pPr>
              <w:pStyle w:val="yTableNAm"/>
            </w:pPr>
          </w:p>
        </w:tc>
      </w:tr>
      <w:tr>
        <w:trPr>
          <w:cantSplit/>
        </w:trPr>
        <w:tc>
          <w:tcPr>
            <w:tcW w:w="567" w:type="dxa"/>
          </w:tcPr>
          <w:p>
            <w:pPr>
              <w:pStyle w:val="yTableNAm"/>
            </w:pPr>
            <w:r>
              <w:t>3.</w:t>
            </w:r>
          </w:p>
        </w:tc>
        <w:tc>
          <w:tcPr>
            <w:tcW w:w="5103" w:type="dxa"/>
          </w:tcPr>
          <w:p>
            <w:pPr>
              <w:pStyle w:val="yTableNAm"/>
            </w:pPr>
            <w:r>
              <w:t>Charge for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disconnection </w:t>
            </w:r>
            <w:r>
              <w:tab/>
            </w:r>
          </w:p>
        </w:tc>
        <w:tc>
          <w:tcPr>
            <w:tcW w:w="1134" w:type="dxa"/>
          </w:tcPr>
          <w:p>
            <w:pPr>
              <w:pStyle w:val="yTableNAm"/>
              <w:tabs>
                <w:tab w:val="clear" w:pos="567"/>
                <w:tab w:val="left" w:pos="385"/>
              </w:tabs>
            </w:pPr>
            <w:r>
              <w:t>661.00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reconnection </w:t>
            </w:r>
            <w:r>
              <w:tab/>
            </w:r>
          </w:p>
        </w:tc>
        <w:tc>
          <w:tcPr>
            <w:tcW w:w="1134" w:type="dxa"/>
          </w:tcPr>
          <w:p>
            <w:pPr>
              <w:pStyle w:val="yTableNAm"/>
              <w:tabs>
                <w:tab w:val="clear" w:pos="567"/>
                <w:tab w:val="left" w:pos="385"/>
              </w:tabs>
            </w:pPr>
            <w:r>
              <w:t>661.00</w:t>
            </w:r>
          </w:p>
        </w:tc>
      </w:tr>
      <w:tr>
        <w:trPr>
          <w:cantSplit/>
        </w:trPr>
        <w:tc>
          <w:tcPr>
            <w:tcW w:w="567" w:type="dxa"/>
          </w:tcPr>
          <w:p>
            <w:pPr>
              <w:pStyle w:val="yTableNAm"/>
            </w:pPr>
            <w:r>
              <w:t>4.</w:t>
            </w:r>
          </w:p>
        </w:tc>
        <w:tc>
          <w:tcPr>
            <w:tcW w:w="5103" w:type="dxa"/>
          </w:tcPr>
          <w:p>
            <w:pPr>
              <w:pStyle w:val="yTableNAm"/>
            </w:pPr>
            <w:r>
              <w:t>Charge for relocation of water supply connection (less than 500 mm)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(a)</w:t>
            </w:r>
            <w:r>
              <w:tab/>
              <w:t>where the connection size is —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20 mm </w:t>
            </w:r>
            <w:r>
              <w:tab/>
            </w:r>
          </w:p>
        </w:tc>
        <w:tc>
          <w:tcPr>
            <w:tcW w:w="1134" w:type="dxa"/>
          </w:tcPr>
          <w:p>
            <w:pPr>
              <w:pStyle w:val="yTableNAm"/>
            </w:pPr>
            <w:r>
              <w:t>395.00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25 mm </w:t>
            </w:r>
            <w:r>
              <w:tab/>
            </w:r>
          </w:p>
        </w:tc>
        <w:tc>
          <w:tcPr>
            <w:tcW w:w="1134" w:type="dxa"/>
          </w:tcPr>
          <w:p>
            <w:pPr>
              <w:pStyle w:val="yTableNAm"/>
            </w:pPr>
            <w:r>
              <w:t>451.00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40 mm </w:t>
            </w:r>
            <w:r>
              <w:tab/>
            </w:r>
          </w:p>
        </w:tc>
        <w:tc>
          <w:tcPr>
            <w:tcW w:w="1134" w:type="dxa"/>
          </w:tcPr>
          <w:p>
            <w:pPr>
              <w:pStyle w:val="yTableNAm"/>
            </w:pPr>
            <w:r>
              <w:t>643.00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r>
            <w:r>
              <w:tab/>
              <w:t xml:space="preserve">50 mm </w:t>
            </w:r>
            <w:r>
              <w:tab/>
            </w:r>
          </w:p>
        </w:tc>
        <w:tc>
          <w:tcPr>
            <w:tcW w:w="1134" w:type="dxa"/>
          </w:tcPr>
          <w:p>
            <w:pPr>
              <w:pStyle w:val="yTableNAm"/>
            </w:pPr>
            <w:r>
              <w:t>754.00</w:t>
            </w:r>
          </w:p>
        </w:tc>
      </w:tr>
      <w:tr>
        <w:trPr>
          <w:cantSplit/>
        </w:trPr>
        <w:tc>
          <w:tcPr>
            <w:tcW w:w="567" w:type="dxa"/>
          </w:tcPr>
          <w:p>
            <w:pPr>
              <w:pStyle w:val="yTableNAm"/>
            </w:pPr>
          </w:p>
        </w:tc>
        <w:tc>
          <w:tcPr>
            <w:tcW w:w="5103" w:type="dxa"/>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134" w:type="dxa"/>
          </w:tcPr>
          <w:p>
            <w:pPr>
              <w:pStyle w:val="yTableNAm"/>
            </w:pPr>
          </w:p>
        </w:tc>
      </w:tr>
    </w:tbl>
    <w:p>
      <w:pPr>
        <w:pStyle w:val="yFootnotesection"/>
      </w:pPr>
      <w:r>
        <w:tab/>
        <w:t>[Schedule 2 inserted in Gazette 25 Jun 2010 p. 2991-2.]</w:t>
      </w:r>
    </w:p>
    <w:p>
      <w:pPr>
        <w:pStyle w:val="yScheduleHeading"/>
      </w:pPr>
      <w:bookmarkStart w:id="84" w:name="_Toc265679064"/>
      <w:r>
        <w:rPr>
          <w:rStyle w:val="CharSchNo"/>
        </w:rPr>
        <w:t>Schedule 3</w:t>
      </w:r>
      <w:bookmarkEnd w:id="74"/>
      <w:bookmarkEnd w:id="75"/>
      <w:bookmarkEnd w:id="76"/>
      <w:bookmarkEnd w:id="77"/>
      <w:bookmarkEnd w:id="78"/>
      <w:bookmarkEnd w:id="79"/>
      <w:bookmarkEnd w:id="80"/>
      <w:bookmarkEnd w:id="81"/>
      <w:bookmarkEnd w:id="82"/>
      <w:bookmarkEnd w:id="84"/>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85" w:name="_Toc139696394"/>
      <w:bookmarkStart w:id="86" w:name="_Toc148856861"/>
      <w:bookmarkStart w:id="87" w:name="_Toc150235545"/>
      <w:bookmarkStart w:id="88" w:name="_Toc150244812"/>
      <w:bookmarkStart w:id="89" w:name="_Toc151802097"/>
      <w:bookmarkStart w:id="90" w:name="_Toc154210779"/>
      <w:bookmarkStart w:id="91" w:name="_Toc170801510"/>
      <w:bookmarkStart w:id="92" w:name="_Toc170885525"/>
      <w:bookmarkStart w:id="93" w:name="_Toc233692913"/>
      <w:bookmarkStart w:id="94" w:name="_Toc265679065"/>
      <w:r>
        <w:rPr>
          <w:rStyle w:val="CharSchNo"/>
        </w:rPr>
        <w:t>Schedule 5</w:t>
      </w:r>
      <w:bookmarkEnd w:id="85"/>
      <w:bookmarkEnd w:id="86"/>
      <w:bookmarkEnd w:id="87"/>
      <w:bookmarkEnd w:id="88"/>
      <w:bookmarkEnd w:id="89"/>
      <w:bookmarkEnd w:id="90"/>
      <w:bookmarkEnd w:id="91"/>
      <w:bookmarkEnd w:id="92"/>
      <w:bookmarkEnd w:id="93"/>
      <w:bookmarkEnd w:id="94"/>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95" w:name="_Toc265679066"/>
      <w:r>
        <w:rPr>
          <w:rStyle w:val="CharSchNo"/>
        </w:rPr>
        <w:t>Schedule 6</w:t>
      </w:r>
      <w:r>
        <w:rPr>
          <w:rStyle w:val="CharSDivNo"/>
        </w:rPr>
        <w:t> </w:t>
      </w:r>
      <w:r>
        <w:t>—</w:t>
      </w:r>
      <w:r>
        <w:rPr>
          <w:rStyle w:val="CharSDivText"/>
        </w:rPr>
        <w:t> </w:t>
      </w:r>
      <w:r>
        <w:rPr>
          <w:rStyle w:val="CharSchText"/>
        </w:rPr>
        <w:t>Fees</w:t>
      </w:r>
      <w:bookmarkEnd w:id="95"/>
    </w:p>
    <w:p>
      <w:pPr>
        <w:pStyle w:val="yShoulderClause"/>
      </w:pPr>
      <w:r>
        <w:t>[bl. 9(5) and (5a), 17(2), 21, 22, 24(1) and (2)]</w:t>
      </w:r>
    </w:p>
    <w:p>
      <w:pPr>
        <w:pStyle w:val="yFootnoteheading"/>
        <w:spacing w:after="120"/>
      </w:pPr>
      <w:r>
        <w:tab/>
        <w:t>[Heading inserted in Gazette 25 Jun 2010 p. 2992.]</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Pr>
          <w:p>
            <w:pPr>
              <w:pStyle w:val="yTableNAm"/>
            </w:pPr>
          </w:p>
        </w:tc>
        <w:tc>
          <w:tcPr>
            <w:tcW w:w="4961" w:type="dxa"/>
          </w:tcPr>
          <w:p>
            <w:pPr>
              <w:pStyle w:val="yTableNAm"/>
            </w:pPr>
          </w:p>
        </w:tc>
        <w:tc>
          <w:tcPr>
            <w:tcW w:w="1276" w:type="dxa"/>
          </w:tcPr>
          <w:p>
            <w:pPr>
              <w:pStyle w:val="yTableNAm"/>
              <w:ind w:right="238"/>
              <w:jc w:val="center"/>
              <w:rPr>
                <w:b/>
              </w:rPr>
            </w:pPr>
            <w:r>
              <w:rPr>
                <w:b/>
              </w:rPr>
              <w:t>$</w:t>
            </w:r>
          </w:p>
        </w:tc>
      </w:tr>
      <w:tr>
        <w:trPr>
          <w:cantSplit/>
        </w:trPr>
        <w:tc>
          <w:tcPr>
            <w:tcW w:w="709" w:type="dxa"/>
          </w:tcPr>
          <w:p>
            <w:pPr>
              <w:pStyle w:val="yTableNAm"/>
            </w:pPr>
            <w:r>
              <w:t>1.</w:t>
            </w:r>
          </w:p>
        </w:tc>
        <w:tc>
          <w:tcPr>
            <w:tcW w:w="4961" w:type="dxa"/>
          </w:tcPr>
          <w:p>
            <w:pPr>
              <w:pStyle w:val="yTableNAm"/>
              <w:tabs>
                <w:tab w:val="clear" w:pos="567"/>
                <w:tab w:val="left" w:pos="382"/>
                <w:tab w:val="left" w:pos="862"/>
                <w:tab w:val="left" w:leader="dot" w:pos="5103"/>
              </w:tabs>
              <w:ind w:left="862" w:hanging="862"/>
            </w:pPr>
            <w:r>
              <w:tab/>
              <w:t>(a)</w:t>
            </w:r>
            <w:r>
              <w:tab/>
              <w:t xml:space="preserve">Reading of meter </w:t>
            </w:r>
            <w:r>
              <w:tab/>
            </w:r>
          </w:p>
        </w:tc>
        <w:tc>
          <w:tcPr>
            <w:tcW w:w="1276" w:type="dxa"/>
          </w:tcPr>
          <w:p>
            <w:pPr>
              <w:pStyle w:val="yTableNAm"/>
              <w:ind w:right="238"/>
              <w:jc w:val="right"/>
            </w:pPr>
            <w:r>
              <w:t>14.60</w:t>
            </w:r>
          </w:p>
        </w:tc>
      </w:tr>
      <w:tr>
        <w:trPr>
          <w:cantSplit/>
        </w:trPr>
        <w:tc>
          <w:tcPr>
            <w:tcW w:w="709" w:type="dxa"/>
          </w:tcPr>
          <w:p>
            <w:pPr>
              <w:pStyle w:val="yTableNAm"/>
              <w:rPr>
                <w:bCs/>
              </w:rPr>
            </w:pPr>
          </w:p>
        </w:tc>
        <w:tc>
          <w:tcPr>
            <w:tcW w:w="4961" w:type="dxa"/>
          </w:tcPr>
          <w:p>
            <w:pPr>
              <w:pStyle w:val="yTableNAm"/>
              <w:tabs>
                <w:tab w:val="clear" w:pos="567"/>
                <w:tab w:val="left" w:pos="382"/>
                <w:tab w:val="left" w:pos="862"/>
                <w:tab w:val="left" w:leader="dot" w:pos="5103"/>
              </w:tabs>
              <w:ind w:left="862" w:hanging="862"/>
              <w:rPr>
                <w:b/>
              </w:rPr>
            </w:pPr>
            <w:r>
              <w:tab/>
              <w:t>(b)</w:t>
            </w:r>
            <w:r>
              <w:tab/>
              <w:t xml:space="preserve">Urgent reading of meter </w:t>
            </w:r>
            <w:r>
              <w:tab/>
            </w:r>
          </w:p>
        </w:tc>
        <w:tc>
          <w:tcPr>
            <w:tcW w:w="1276" w:type="dxa"/>
          </w:tcPr>
          <w:p>
            <w:pPr>
              <w:pStyle w:val="yTableNAm"/>
              <w:ind w:right="238"/>
              <w:jc w:val="right"/>
            </w:pPr>
            <w:r>
              <w:t>49.10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r>
              <w:tab/>
            </w:r>
          </w:p>
        </w:tc>
        <w:tc>
          <w:tcPr>
            <w:tcW w:w="1276" w:type="dxa"/>
          </w:tcPr>
          <w:p>
            <w:pPr>
              <w:pStyle w:val="yTableNAm"/>
              <w:ind w:right="238"/>
              <w:jc w:val="right"/>
            </w:pPr>
            <w:r>
              <w:br/>
            </w:r>
            <w:r>
              <w:br/>
              <w:t>38.75</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r>
              <w:tab/>
            </w:r>
          </w:p>
        </w:tc>
        <w:tc>
          <w:tcPr>
            <w:tcW w:w="1276" w:type="dxa"/>
          </w:tcPr>
          <w:p>
            <w:pPr>
              <w:pStyle w:val="yTableNAm"/>
              <w:ind w:right="238"/>
              <w:jc w:val="right"/>
            </w:pPr>
            <w:r>
              <w:br/>
            </w:r>
            <w:r>
              <w:br/>
              <w:t>73.15</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r>
              <w:tab/>
            </w:r>
          </w:p>
        </w:tc>
        <w:tc>
          <w:tcPr>
            <w:tcW w:w="1276" w:type="dxa"/>
          </w:tcPr>
          <w:p>
            <w:pPr>
              <w:pStyle w:val="yTableNAm"/>
              <w:ind w:right="238"/>
              <w:jc w:val="right"/>
            </w:pPr>
            <w:r>
              <w:br/>
            </w:r>
            <w:r>
              <w:br/>
            </w:r>
            <w:r>
              <w:br/>
              <w:t>66.55</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r>
              <w:tab/>
            </w:r>
          </w:p>
        </w:tc>
        <w:tc>
          <w:tcPr>
            <w:tcW w:w="1276" w:type="dxa"/>
          </w:tcPr>
          <w:p>
            <w:pPr>
              <w:pStyle w:val="yTableNAm"/>
              <w:ind w:right="238"/>
              <w:jc w:val="right"/>
            </w:pPr>
            <w:r>
              <w:br/>
            </w:r>
            <w:r>
              <w:br/>
            </w:r>
            <w:r>
              <w:br/>
              <w:t>100.60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r>
              <w:tab/>
            </w:r>
          </w:p>
        </w:tc>
        <w:tc>
          <w:tcPr>
            <w:tcW w:w="1276" w:type="dxa"/>
          </w:tcPr>
          <w:p>
            <w:pPr>
              <w:pStyle w:val="yTableNAm"/>
              <w:ind w:right="238"/>
              <w:jc w:val="right"/>
            </w:pPr>
            <w:r>
              <w:br/>
            </w:r>
            <w:r>
              <w:br/>
            </w:r>
            <w:r>
              <w:br/>
              <w:t>73.50</w:t>
            </w:r>
          </w:p>
        </w:tc>
      </w:tr>
      <w:tr>
        <w:trPr>
          <w:cantSplit/>
        </w:trPr>
        <w:tc>
          <w:tcPr>
            <w:tcW w:w="709" w:type="dxa"/>
          </w:tcPr>
          <w:p>
            <w:pPr>
              <w:pStyle w:val="yTableNAm"/>
            </w:pPr>
            <w:r>
              <w:t>2.</w:t>
            </w:r>
          </w:p>
        </w:tc>
        <w:tc>
          <w:tcPr>
            <w:tcW w:w="4961" w:type="dxa"/>
          </w:tcPr>
          <w:p>
            <w:pPr>
              <w:pStyle w:val="yTableNAm"/>
              <w:tabs>
                <w:tab w:val="clear" w:pos="567"/>
                <w:tab w:val="left" w:pos="382"/>
                <w:tab w:val="left" w:pos="862"/>
                <w:tab w:val="left" w:leader="dot" w:pos="5103"/>
              </w:tabs>
              <w:ind w:left="862" w:hanging="862"/>
            </w:pPr>
            <w:r>
              <w:tab/>
              <w:t>(a)</w:t>
            </w:r>
            <w:r>
              <w:tab/>
              <w:t xml:space="preserve">Supply of copy of, or extract from, records or plans (other than those stored in digital format) under the </w:t>
            </w:r>
            <w:r>
              <w:rPr>
                <w:i/>
              </w:rPr>
              <w:t>Water Agencies (Powers) Act 1984</w:t>
            </w:r>
            <w:r>
              <w:t xml:space="preserve"> section 102(3) (provided on A4 paper) </w:t>
            </w:r>
            <w:r>
              <w:tab/>
            </w:r>
          </w:p>
        </w:tc>
        <w:tc>
          <w:tcPr>
            <w:tcW w:w="1276" w:type="dxa"/>
          </w:tcPr>
          <w:p>
            <w:pPr>
              <w:pStyle w:val="yTableNAm"/>
              <w:ind w:right="238"/>
              <w:jc w:val="right"/>
            </w:pPr>
            <w:r>
              <w:br/>
            </w:r>
            <w:r>
              <w:br/>
            </w:r>
            <w:r>
              <w:br/>
            </w:r>
            <w:r>
              <w:br/>
              <w:t>14.85</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Property sewer diagram (per A4 copy) ......</w:t>
            </w:r>
          </w:p>
        </w:tc>
        <w:tc>
          <w:tcPr>
            <w:tcW w:w="1276" w:type="dxa"/>
          </w:tcPr>
          <w:p>
            <w:pPr>
              <w:pStyle w:val="yTableNAm"/>
              <w:ind w:right="238"/>
              <w:jc w:val="right"/>
            </w:pPr>
            <w:r>
              <w:t>14.85</w:t>
            </w:r>
          </w:p>
        </w:tc>
      </w:tr>
      <w:tr>
        <w:trPr>
          <w:cantSplit/>
        </w:trPr>
        <w:tc>
          <w:tcPr>
            <w:tcW w:w="709" w:type="dxa"/>
          </w:tcPr>
          <w:p>
            <w:pPr>
              <w:pStyle w:val="yTableNAm"/>
            </w:pPr>
            <w:r>
              <w:t>3.</w:t>
            </w:r>
          </w:p>
        </w:tc>
        <w:tc>
          <w:tcPr>
            <w:tcW w:w="4961" w:type="dxa"/>
          </w:tcPr>
          <w:p>
            <w:pPr>
              <w:pStyle w:val="yTableNAm"/>
            </w:pPr>
            <w:r>
              <w:t>Hydrant standpipes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(a)</w:t>
            </w:r>
            <w:r>
              <w:tab/>
              <w:t xml:space="preserve">application fee </w:t>
            </w:r>
            <w:r>
              <w:tab/>
            </w:r>
            <w:r>
              <w:tab/>
            </w:r>
          </w:p>
        </w:tc>
        <w:tc>
          <w:tcPr>
            <w:tcW w:w="1276" w:type="dxa"/>
          </w:tcPr>
          <w:p>
            <w:pPr>
              <w:pStyle w:val="yTableNAm"/>
              <w:ind w:right="238"/>
              <w:jc w:val="right"/>
            </w:pPr>
            <w:r>
              <w:t>98.00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hire fee for a month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small metered standpipe </w:t>
            </w:r>
            <w:r>
              <w:tab/>
            </w:r>
          </w:p>
        </w:tc>
        <w:tc>
          <w:tcPr>
            <w:tcW w:w="1276" w:type="dxa"/>
          </w:tcPr>
          <w:p>
            <w:pPr>
              <w:pStyle w:val="yTableNAm"/>
              <w:ind w:right="238"/>
              <w:jc w:val="right"/>
            </w:pPr>
            <w:r>
              <w:t>201.00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large metered standpipe </w:t>
            </w:r>
            <w:r>
              <w:tab/>
            </w:r>
          </w:p>
        </w:tc>
        <w:tc>
          <w:tcPr>
            <w:tcW w:w="1276" w:type="dxa"/>
          </w:tcPr>
          <w:p>
            <w:pPr>
              <w:pStyle w:val="yTableNAm"/>
              <w:ind w:right="238"/>
              <w:jc w:val="right"/>
            </w:pPr>
            <w:r>
              <w:t>337.00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hire fee for part of a month is as for a month apportioned to reflect the number of days hiring</w:t>
            </w:r>
          </w:p>
        </w:tc>
        <w:tc>
          <w:tcPr>
            <w:tcW w:w="1276" w:type="dxa"/>
          </w:tcPr>
          <w:p>
            <w:pPr>
              <w:pStyle w:val="yTableNAm"/>
              <w:ind w:right="238"/>
              <w:jc w:val="right"/>
            </w:pPr>
          </w:p>
        </w:tc>
      </w:tr>
      <w:tr>
        <w:trPr>
          <w:cantSplit/>
        </w:trPr>
        <w:tc>
          <w:tcPr>
            <w:tcW w:w="709" w:type="dxa"/>
          </w:tcPr>
          <w:p>
            <w:pPr>
              <w:pStyle w:val="yTableNAm"/>
            </w:pPr>
            <w:r>
              <w:t>4.</w:t>
            </w:r>
          </w:p>
        </w:tc>
        <w:tc>
          <w:tcPr>
            <w:tcW w:w="4961" w:type="dxa"/>
          </w:tcPr>
          <w:p>
            <w:pPr>
              <w:pStyle w:val="yTableNAm"/>
              <w:tabs>
                <w:tab w:val="clear" w:pos="567"/>
                <w:tab w:val="left" w:pos="382"/>
                <w:tab w:val="left" w:pos="862"/>
                <w:tab w:val="left" w:leader="dot" w:pos="5103"/>
              </w:tabs>
              <w:ind w:left="862" w:hanging="862"/>
            </w:pPr>
            <w:r>
              <w:tab/>
              <w:t>(a)</w:t>
            </w:r>
            <w:r>
              <w:tab/>
              <w:t xml:space="preserve">Reconnection </w:t>
            </w:r>
            <w:r>
              <w:tab/>
            </w:r>
          </w:p>
        </w:tc>
        <w:tc>
          <w:tcPr>
            <w:tcW w:w="1276" w:type="dxa"/>
          </w:tcPr>
          <w:p>
            <w:pPr>
              <w:pStyle w:val="yTableNAm"/>
              <w:ind w:right="238"/>
              <w:jc w:val="right"/>
            </w:pPr>
            <w:r>
              <w:t>134.00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Restoration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862"/>
                <w:tab w:val="left" w:pos="1343"/>
                <w:tab w:val="left" w:leader="dot" w:pos="5103"/>
              </w:tabs>
              <w:ind w:left="1343" w:hanging="1343"/>
            </w:pPr>
            <w:r>
              <w:tab/>
              <w:t>(i)</w:t>
            </w:r>
            <w:r>
              <w:tab/>
              <w:t xml:space="preserve">between 7.00 a.m. and 4.00 p.m. any day except Saturdays, Sundays and public holidays </w:t>
            </w:r>
            <w:r>
              <w:tab/>
            </w:r>
          </w:p>
        </w:tc>
        <w:tc>
          <w:tcPr>
            <w:tcW w:w="1276" w:type="dxa"/>
          </w:tcPr>
          <w:p>
            <w:pPr>
              <w:pStyle w:val="yTableNAm"/>
              <w:ind w:right="238"/>
              <w:jc w:val="right"/>
            </w:pPr>
            <w:r>
              <w:br/>
            </w:r>
            <w:r>
              <w:br/>
              <w:t>134.00</w:t>
            </w:r>
          </w:p>
        </w:tc>
      </w:tr>
      <w:tr>
        <w:trPr>
          <w:cantSplit/>
        </w:trPr>
        <w:tc>
          <w:tcPr>
            <w:tcW w:w="709" w:type="dxa"/>
          </w:tcPr>
          <w:p>
            <w:pPr>
              <w:pStyle w:val="yTableNAm"/>
            </w:pPr>
          </w:p>
        </w:tc>
        <w:tc>
          <w:tcPr>
            <w:tcW w:w="4961" w:type="dxa"/>
          </w:tcPr>
          <w:p>
            <w:pPr>
              <w:pStyle w:val="yTableNAm"/>
              <w:tabs>
                <w:tab w:val="clear" w:pos="567"/>
                <w:tab w:val="left" w:pos="862"/>
                <w:tab w:val="left" w:pos="1343"/>
                <w:tab w:val="left" w:leader="dot" w:pos="5103"/>
              </w:tabs>
              <w:ind w:left="1343" w:hanging="1343"/>
            </w:pPr>
            <w:r>
              <w:tab/>
              <w:t>(ii)</w:t>
            </w:r>
            <w:r>
              <w:tab/>
              <w:t xml:space="preserve">at any other time </w:t>
            </w:r>
            <w:r>
              <w:tab/>
            </w:r>
          </w:p>
        </w:tc>
        <w:tc>
          <w:tcPr>
            <w:tcW w:w="1276" w:type="dxa"/>
          </w:tcPr>
          <w:p>
            <w:pPr>
              <w:pStyle w:val="yTableNAm"/>
              <w:ind w:right="238"/>
              <w:jc w:val="right"/>
            </w:pPr>
            <w:r>
              <w:t>212.40</w:t>
            </w:r>
          </w:p>
        </w:tc>
      </w:tr>
      <w:tr>
        <w:trPr>
          <w:cantSplit/>
        </w:trPr>
        <w:tc>
          <w:tcPr>
            <w:tcW w:w="709" w:type="dxa"/>
          </w:tcPr>
          <w:p>
            <w:pPr>
              <w:pStyle w:val="yTableNAm"/>
            </w:pPr>
            <w:r>
              <w:t>5.</w:t>
            </w:r>
          </w:p>
        </w:tc>
        <w:tc>
          <w:tcPr>
            <w:tcW w:w="4961" w:type="dxa"/>
          </w:tcPr>
          <w:p>
            <w:pPr>
              <w:pStyle w:val="yTableNAm"/>
            </w:pPr>
            <w:r>
              <w:t xml:space="preserve">Fee under the </w:t>
            </w:r>
            <w:r>
              <w:rPr>
                <w:i/>
              </w:rPr>
              <w:t>Metropolitan Water Supply, Sewerage, and Drainage Act 1909</w:t>
            </w:r>
            <w:r>
              <w:t xml:space="preserve"> section 148 in respect of land on which it is proposed to —</w:t>
            </w:r>
          </w:p>
        </w:tc>
        <w:tc>
          <w:tcPr>
            <w:tcW w:w="1276" w:type="dxa"/>
          </w:tcPr>
          <w:p>
            <w:pPr>
              <w:pStyle w:val="yTableNAm"/>
              <w:ind w:right="238"/>
              <w:jc w:val="right"/>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(a)</w:t>
            </w:r>
            <w:r>
              <w:tab/>
              <w:t>construct</w:t>
            </w:r>
            <w:r>
              <w:rPr>
                <w:spacing w:val="-4"/>
              </w:rPr>
              <w:t xml:space="preserve"> a new residential building or </w:t>
            </w:r>
            <w:r>
              <w:t xml:space="preserve">alter an existing residential building </w:t>
            </w:r>
            <w:r>
              <w:tab/>
            </w:r>
          </w:p>
        </w:tc>
        <w:tc>
          <w:tcPr>
            <w:tcW w:w="1276" w:type="dxa"/>
          </w:tcPr>
          <w:p>
            <w:pPr>
              <w:pStyle w:val="yTableNAm"/>
              <w:ind w:right="238"/>
              <w:jc w:val="right"/>
              <w:rPr>
                <w:spacing w:val="-1"/>
              </w:rPr>
            </w:pPr>
            <w:r>
              <w:rPr>
                <w:spacing w:val="-1"/>
              </w:rPr>
              <w:br/>
            </w:r>
            <w:r>
              <w:t>108</w:t>
            </w:r>
            <w:r>
              <w:rPr>
                <w:spacing w:val="-1"/>
              </w:rPr>
              <w:t>.25</w:t>
            </w:r>
          </w:p>
          <w:p>
            <w:pPr>
              <w:pStyle w:val="yTableNAm"/>
              <w:spacing w:before="0"/>
              <w:rPr>
                <w:spacing w:val="-1"/>
              </w:rPr>
            </w:pP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(b)</w:t>
            </w:r>
            <w:r>
              <w:tab/>
              <w:t>construct</w:t>
            </w:r>
            <w:r>
              <w:rPr>
                <w:spacing w:val="-4"/>
              </w:rPr>
              <w:t xml:space="preserve"> an outbuilding to a residential building located in a sewered area (including a pool, garage or pergola) </w:t>
            </w:r>
            <w:r>
              <w:t>.............................</w:t>
            </w:r>
          </w:p>
        </w:tc>
        <w:tc>
          <w:tcPr>
            <w:tcW w:w="1276" w:type="dxa"/>
          </w:tcPr>
          <w:p>
            <w:pPr>
              <w:pStyle w:val="yTableNAm"/>
              <w:ind w:right="238"/>
              <w:jc w:val="right"/>
              <w:rPr>
                <w:spacing w:val="-1"/>
              </w:rPr>
            </w:pPr>
            <w:r>
              <w:rPr>
                <w:spacing w:val="-1"/>
              </w:rPr>
              <w:br/>
            </w:r>
            <w:r>
              <w:rPr>
                <w:spacing w:val="-1"/>
              </w:rPr>
              <w:br/>
              <w:t>31.65</w:t>
            </w:r>
          </w:p>
          <w:p>
            <w:pPr>
              <w:pStyle w:val="yTableNAm"/>
              <w:spacing w:before="0"/>
              <w:rPr>
                <w:i/>
                <w:iCs/>
                <w:spacing w:val="-1"/>
              </w:rPr>
            </w:pP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t>(c)</w:t>
            </w:r>
            <w:r>
              <w:tab/>
              <w:t>construct or alter a building other than a residential building — an amount based on the cost of the construction or alteration as assessed by the Corporation, of —</w:t>
            </w:r>
          </w:p>
        </w:tc>
        <w:tc>
          <w:tcPr>
            <w:tcW w:w="1276" w:type="dxa"/>
          </w:tcPr>
          <w:p>
            <w:pPr>
              <w:pStyle w:val="yTableNAm"/>
              <w:ind w:right="238"/>
              <w:jc w:val="right"/>
              <w:rPr>
                <w:spacing w:val="-1"/>
              </w:rPr>
            </w:pP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up to $22 500 (in a sewered area) </w:t>
            </w:r>
            <w:r>
              <w:tab/>
            </w:r>
          </w:p>
        </w:tc>
        <w:tc>
          <w:tcPr>
            <w:tcW w:w="1276" w:type="dxa"/>
          </w:tcPr>
          <w:p>
            <w:pPr>
              <w:pStyle w:val="yTableNAm"/>
              <w:ind w:right="238"/>
              <w:jc w:val="right"/>
              <w:rPr>
                <w:spacing w:val="-1"/>
              </w:rPr>
            </w:pPr>
            <w:r>
              <w:rPr>
                <w:spacing w:val="-1"/>
              </w:rPr>
              <w:t>31.</w:t>
            </w:r>
            <w:r>
              <w:t>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r>
              <w:tab/>
            </w:r>
            <w:r>
              <w:tab/>
            </w:r>
            <w:r>
              <w:rPr>
                <w:spacing w:val="-4"/>
              </w:rPr>
              <w:t xml:space="preserve">over $22 500 but not over $200 000 </w:t>
            </w:r>
            <w:r>
              <w:rPr>
                <w:spacing w:val="-4"/>
              </w:rPr>
              <w:tab/>
            </w:r>
          </w:p>
        </w:tc>
        <w:tc>
          <w:tcPr>
            <w:tcW w:w="1276" w:type="dxa"/>
          </w:tcPr>
          <w:p>
            <w:pPr>
              <w:pStyle w:val="yTableNAm"/>
              <w:ind w:right="238"/>
              <w:jc w:val="right"/>
              <w:rPr>
                <w:spacing w:val="-1"/>
              </w:rPr>
            </w:pPr>
            <w:r>
              <w:rPr>
                <w:spacing w:val="-1"/>
              </w:rPr>
              <w:t>106.00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r>
              <w:tab/>
            </w:r>
            <w:r>
              <w:tab/>
            </w:r>
            <w:r>
              <w:rPr>
                <w:spacing w:val="-4"/>
              </w:rPr>
              <w:t xml:space="preserve">over $200 000 but not over $500 000 </w:t>
            </w:r>
            <w:r>
              <w:rPr>
                <w:spacing w:val="-4"/>
              </w:rPr>
              <w:tab/>
            </w:r>
          </w:p>
        </w:tc>
        <w:tc>
          <w:tcPr>
            <w:tcW w:w="1276" w:type="dxa"/>
          </w:tcPr>
          <w:p>
            <w:pPr>
              <w:pStyle w:val="yTableNAm"/>
              <w:ind w:right="238"/>
              <w:jc w:val="right"/>
              <w:rPr>
                <w:spacing w:val="-1"/>
              </w:rPr>
            </w:pPr>
            <w:r>
              <w:rPr>
                <w:spacing w:val="-1"/>
              </w:rPr>
              <w:t>420.00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r>
              <w:tab/>
            </w:r>
            <w:r>
              <w:tab/>
            </w:r>
            <w:r>
              <w:rPr>
                <w:spacing w:val="-4"/>
              </w:rPr>
              <w:t>over $</w:t>
            </w:r>
            <w:r>
              <w:t>500</w:t>
            </w:r>
            <w:r>
              <w:rPr>
                <w:spacing w:val="-4"/>
              </w:rPr>
              <w:t xml:space="preserve"> 000 but not over $1 000 000 </w:t>
            </w:r>
            <w:r>
              <w:rPr>
                <w:spacing w:val="-4"/>
              </w:rPr>
              <w:tab/>
            </w:r>
          </w:p>
        </w:tc>
        <w:tc>
          <w:tcPr>
            <w:tcW w:w="1276" w:type="dxa"/>
          </w:tcPr>
          <w:p>
            <w:pPr>
              <w:pStyle w:val="yTableNAm"/>
              <w:ind w:right="238"/>
              <w:jc w:val="right"/>
              <w:rPr>
                <w:spacing w:val="-1"/>
              </w:rPr>
            </w:pPr>
            <w:r>
              <w:rPr>
                <w:spacing w:val="-1"/>
              </w:rPr>
              <w:t>680.00</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rPr>
                <w:spacing w:val="-4"/>
              </w:rPr>
            </w:pPr>
            <w:r>
              <w:tab/>
            </w:r>
            <w:r>
              <w:tab/>
            </w:r>
            <w:r>
              <w:rPr>
                <w:spacing w:val="-4"/>
              </w:rPr>
              <w:t>over $</w:t>
            </w:r>
            <w:r>
              <w:t>1</w:t>
            </w:r>
            <w:r>
              <w:rPr>
                <w:spacing w:val="-4"/>
              </w:rPr>
              <w:t xml:space="preserve"> 000 000 but not over $10 000 000 </w:t>
            </w:r>
            <w:r>
              <w:rPr>
                <w:spacing w:val="-4"/>
              </w:rPr>
              <w:tab/>
            </w:r>
          </w:p>
        </w:tc>
        <w:tc>
          <w:tcPr>
            <w:tcW w:w="1276" w:type="dxa"/>
          </w:tcPr>
          <w:p>
            <w:pPr>
              <w:pStyle w:val="yTableNAm"/>
              <w:jc w:val="center"/>
              <w:rPr>
                <w:spacing w:val="-1"/>
              </w:rPr>
            </w:pPr>
            <w:r>
              <w:rPr>
                <w:spacing w:val="-1"/>
              </w:rPr>
              <w:t xml:space="preserve">    1.10</w:t>
            </w:r>
          </w:p>
          <w:p>
            <w:pPr>
              <w:pStyle w:val="yTableNAm"/>
              <w:spacing w:before="0"/>
              <w:rPr>
                <w:spacing w:val="-1"/>
              </w:rPr>
            </w:pPr>
            <w:r>
              <w:rPr>
                <w:i/>
                <w:iCs/>
                <w:spacing w:val="-4"/>
                <w:sz w:val="18"/>
              </w:rPr>
              <w:t>per $1 000 or part of $1 000  of construction cost</w:t>
            </w:r>
          </w:p>
        </w:tc>
      </w:tr>
      <w:tr>
        <w:trPr>
          <w:cantSplit/>
        </w:trPr>
        <w:tc>
          <w:tcPr>
            <w:tcW w:w="709" w:type="dxa"/>
          </w:tcPr>
          <w:p>
            <w:pPr>
              <w:pStyle w:val="yTableNAm"/>
            </w:pPr>
          </w:p>
        </w:tc>
        <w:tc>
          <w:tcPr>
            <w:tcW w:w="4961" w:type="dxa"/>
          </w:tcPr>
          <w:p>
            <w:pPr>
              <w:pStyle w:val="yTableNAm"/>
              <w:tabs>
                <w:tab w:val="clear" w:pos="567"/>
                <w:tab w:val="left" w:pos="382"/>
                <w:tab w:val="left" w:pos="862"/>
                <w:tab w:val="left" w:leader="dot" w:pos="5103"/>
              </w:tabs>
              <w:ind w:left="862" w:hanging="862"/>
            </w:pPr>
            <w:r>
              <w:tab/>
            </w:r>
            <w:r>
              <w:tab/>
              <w:t xml:space="preserve">over $10 000 000 </w:t>
            </w:r>
            <w:r>
              <w:tab/>
            </w:r>
          </w:p>
        </w:tc>
        <w:tc>
          <w:tcPr>
            <w:tcW w:w="1276" w:type="dxa"/>
          </w:tcPr>
          <w:p>
            <w:pPr>
              <w:pStyle w:val="yTableNAm"/>
              <w:ind w:right="238"/>
              <w:jc w:val="right"/>
            </w:pPr>
            <w:r>
              <w:rPr>
                <w:spacing w:val="-1"/>
              </w:rPr>
              <w:t>11 000</w:t>
            </w:r>
            <w:r>
              <w:rPr>
                <w:spacing w:val="-1"/>
              </w:rPr>
              <w:br/>
              <w:t>+ 0.</w:t>
            </w:r>
            <w:r>
              <w:t>30</w:t>
            </w:r>
          </w:p>
          <w:p>
            <w:pPr>
              <w:pStyle w:val="yTableNAm"/>
              <w:spacing w:before="0"/>
              <w:rPr>
                <w:spacing w:val="-1"/>
              </w:rPr>
            </w:pPr>
            <w:r>
              <w:rPr>
                <w:i/>
                <w:iCs/>
                <w:spacing w:val="-4"/>
                <w:sz w:val="18"/>
              </w:rPr>
              <w:t>per $1 000 or part of $1 000 of construction cost above $10 000 000</w:t>
            </w:r>
          </w:p>
        </w:tc>
      </w:tr>
      <w:tr>
        <w:trPr>
          <w:cantSplit/>
        </w:trPr>
        <w:tc>
          <w:tcPr>
            <w:tcW w:w="709" w:type="dxa"/>
          </w:tcPr>
          <w:p>
            <w:pPr>
              <w:pStyle w:val="yTableNAm"/>
            </w:pPr>
            <w:r>
              <w:t>6.</w:t>
            </w:r>
          </w:p>
        </w:tc>
        <w:tc>
          <w:tcPr>
            <w:tcW w:w="4961" w:type="dxa"/>
          </w:tcPr>
          <w:p>
            <w:pPr>
              <w:pStyle w:val="yTableNAm"/>
              <w:tabs>
                <w:tab w:val="clear" w:pos="567"/>
                <w:tab w:val="left" w:leader="dot" w:pos="5103"/>
              </w:tabs>
              <w:ind w:left="-5" w:firstLine="6"/>
            </w:pPr>
            <w:r>
              <w:t>Fee for application for disconnection or reconnection of water supply under by</w:t>
            </w:r>
            <w:r>
              <w:noBreakHyphen/>
              <w:t xml:space="preserve">law 9(5a) — on redevelopment or subdivision </w:t>
            </w:r>
            <w:r>
              <w:tab/>
            </w:r>
          </w:p>
        </w:tc>
        <w:tc>
          <w:tcPr>
            <w:tcW w:w="1276" w:type="dxa"/>
          </w:tcPr>
          <w:p>
            <w:pPr>
              <w:pStyle w:val="yTableNAm"/>
              <w:ind w:right="238"/>
              <w:jc w:val="right"/>
            </w:pPr>
            <w:r>
              <w:br/>
            </w:r>
            <w:r>
              <w:br/>
              <w:t>661.00</w:t>
            </w:r>
          </w:p>
        </w:tc>
      </w:tr>
    </w:tbl>
    <w:p>
      <w:pPr>
        <w:pStyle w:val="yFootnotesection"/>
      </w:pPr>
      <w:r>
        <w:tab/>
        <w:t>[Schedule 6 inserted in Gazette 25 Jun 2010 p. 2992-4.]</w:t>
      </w:r>
    </w:p>
    <w:p>
      <w:pPr>
        <w:pStyle w:val="yFootnotesection"/>
        <w:keepLines w:val="0"/>
        <w:tabs>
          <w:tab w:val="left" w:pos="863"/>
        </w:tabs>
        <w:spacing w:before="80"/>
        <w:ind w:right="98"/>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6" w:name="_Toc73408355"/>
      <w:bookmarkStart w:id="97" w:name="_Toc76870269"/>
      <w:bookmarkStart w:id="98" w:name="_Toc107976563"/>
      <w:bookmarkStart w:id="99" w:name="_Toc122422642"/>
      <w:bookmarkStart w:id="100" w:name="_Toc139696396"/>
      <w:bookmarkStart w:id="101" w:name="_Toc148856863"/>
      <w:bookmarkStart w:id="102" w:name="_Toc150235547"/>
      <w:bookmarkStart w:id="103" w:name="_Toc150244814"/>
      <w:bookmarkStart w:id="104" w:name="_Toc151802099"/>
      <w:bookmarkStart w:id="105" w:name="_Toc154210781"/>
      <w:bookmarkStart w:id="106" w:name="_Toc170801512"/>
      <w:bookmarkStart w:id="107" w:name="_Toc170885527"/>
      <w:bookmarkStart w:id="108" w:name="_Toc233692915"/>
      <w:bookmarkStart w:id="109" w:name="_Toc265679067"/>
      <w:r>
        <w:t>Notes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 w:name="_Toc154210782"/>
      <w:bookmarkStart w:id="111" w:name="_Toc265679068"/>
      <w:r>
        <w:rPr>
          <w:snapToGrid w:val="0"/>
        </w:rPr>
        <w:t>Compilation table</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700"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10</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2393-406</w:t>
            </w:r>
          </w:p>
        </w:tc>
        <w:tc>
          <w:tcPr>
            <w:tcW w:w="2684"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cantSplit/>
          <w:trHeight w:val="40"/>
        </w:trPr>
        <w:tc>
          <w:tcPr>
            <w:tcW w:w="3136" w:type="dxa"/>
            <w:gridSpan w:val="2"/>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5</w:t>
            </w:r>
          </w:p>
        </w:tc>
        <w:tc>
          <w:tcPr>
            <w:tcW w:w="1277" w:type="dxa"/>
            <w:gridSpan w:val="2"/>
            <w:tcBorders>
              <w:bottom w:val="single" w:sz="4" w:space="0" w:color="auto"/>
            </w:tcBorders>
          </w:tcPr>
          <w:p>
            <w:pPr>
              <w:pStyle w:val="nTable"/>
              <w:spacing w:before="60" w:after="40"/>
              <w:ind w:right="113"/>
              <w:rPr>
                <w:bCs/>
                <w:sz w:val="19"/>
              </w:rPr>
            </w:pPr>
            <w:r>
              <w:rPr>
                <w:bCs/>
                <w:sz w:val="19"/>
              </w:rPr>
              <w:t>25 Jun 2010 p. 2983-96</w:t>
            </w:r>
          </w:p>
        </w:tc>
        <w:tc>
          <w:tcPr>
            <w:tcW w:w="2687"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2010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12" w:name="_Toc423332724"/>
      <w:bookmarkStart w:id="113" w:name="_Toc425219443"/>
      <w:bookmarkStart w:id="114" w:name="_Toc426249310"/>
      <w:bookmarkStart w:id="115" w:name="_Toc449924706"/>
      <w:bookmarkStart w:id="116" w:name="_Toc449947724"/>
      <w:bookmarkStart w:id="117" w:name="_Toc454185715"/>
      <w:bookmarkStart w:id="118" w:name="_Toc515958688"/>
      <w:r>
        <w:rPr>
          <w:rStyle w:val="CharSectno"/>
        </w:rPr>
        <w:t>3</w:t>
      </w:r>
      <w:r>
        <w:rPr>
          <w:snapToGrid w:val="0"/>
        </w:rPr>
        <w:t>.</w:t>
      </w:r>
      <w:r>
        <w:rPr>
          <w:snapToGrid w:val="0"/>
        </w:rPr>
        <w:tab/>
      </w:r>
      <w:bookmarkEnd w:id="112"/>
      <w:bookmarkEnd w:id="113"/>
      <w:bookmarkEnd w:id="114"/>
      <w:bookmarkEnd w:id="115"/>
      <w:bookmarkEnd w:id="116"/>
      <w:bookmarkEnd w:id="117"/>
      <w:bookmarkEnd w:id="11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(Miscellaneous) By-laws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43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7AB4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485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AAC5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B61E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0EA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C8B2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F84E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7C50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C5F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402B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FD455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254"/>
    <w:docVar w:name="WAFER_20151208132254" w:val="RemoveTrackChanges"/>
    <w:docVar w:name="WAFER_20151208132254_GUID" w:val="82d4c163-b4ee-4788-830c-e91073f248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4200</Words>
  <Characters>20498</Characters>
  <Application>Microsoft Office Word</Application>
  <DocSecurity>0</DocSecurity>
  <Lines>854</Lines>
  <Paragraphs>504</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1982 - 03-e0-02</dc:title>
  <dc:subject/>
  <dc:creator/>
  <cp:keywords/>
  <dc:description/>
  <cp:lastModifiedBy>svcMRProcess</cp:lastModifiedBy>
  <cp:revision>4</cp:revision>
  <cp:lastPrinted>2006-11-21T02:04:00Z</cp:lastPrinted>
  <dcterms:created xsi:type="dcterms:W3CDTF">2015-12-10T12:20:00Z</dcterms:created>
  <dcterms:modified xsi:type="dcterms:W3CDTF">2015-12-10T12:20:00Z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03-e0-02</vt:lpwstr>
  </property>
</Properties>
</file>