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Suitors’ Fund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Suitors’ Fund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_Toc434855363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_Toc434855364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_Toc434855365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Suitors’ Fund established</w:t>
      </w:r>
      <w:r>
        <w:tab/>
      </w:r>
      <w:r>
        <w:fldChar w:fldCharType="begin"/>
      </w:r>
      <w:r>
        <w:instrText xml:space="preserve"> PAGEREF _Toc434855366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Application of</w:t>
      </w:r>
      <w:r>
        <w:rPr>
          <w:i/>
        </w:rPr>
        <w:t xml:space="preserve"> Financial Management Act 2006</w:t>
      </w:r>
      <w:r>
        <w:t xml:space="preserve"> and </w:t>
      </w:r>
      <w:r>
        <w:rPr>
          <w:i/>
        </w:rPr>
        <w:t>Auditor General Act 2006</w:t>
      </w:r>
      <w:r>
        <w:tab/>
      </w:r>
      <w:r>
        <w:fldChar w:fldCharType="begin"/>
      </w:r>
      <w:r>
        <w:instrText xml:space="preserve"> PAGEREF _Toc434855367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 to be paid to courts on issue of writs etc.</w:t>
      </w:r>
      <w:r>
        <w:tab/>
      </w:r>
      <w:r>
        <w:fldChar w:fldCharType="begin"/>
      </w:r>
      <w:r>
        <w:instrText xml:space="preserve"> PAGEREF _Toc434855368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Department to advise Treasurer of number of writs etc. issued</w:t>
      </w:r>
      <w:r>
        <w:tab/>
      </w:r>
      <w:r>
        <w:fldChar w:fldCharType="begin"/>
      </w:r>
      <w:r>
        <w:instrText xml:space="preserve"> PAGEREF _Toc434855369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from Fund only on direction of Board</w:t>
      </w:r>
      <w:r>
        <w:tab/>
      </w:r>
      <w:r>
        <w:fldChar w:fldCharType="begin"/>
      </w:r>
      <w:r>
        <w:instrText xml:space="preserve"> PAGEREF _Toc434855370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Appeal Costs Board, constitution</w:t>
      </w:r>
      <w:r>
        <w:tab/>
      </w:r>
      <w:r>
        <w:fldChar w:fldCharType="begin"/>
      </w:r>
      <w:r>
        <w:instrText xml:space="preserve"> PAGEREF _Toc434855371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 meetings</w:t>
      </w:r>
      <w:r>
        <w:tab/>
      </w:r>
      <w:r>
        <w:fldChar w:fldCharType="begin"/>
      </w:r>
      <w:r>
        <w:instrText xml:space="preserve"> PAGEREF _Toc434855372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Successful appeal on question of law, indemnity certificate may be granted</w:t>
      </w:r>
      <w:r>
        <w:tab/>
      </w:r>
      <w:r>
        <w:fldChar w:fldCharType="begin"/>
      </w:r>
      <w:r>
        <w:instrText xml:space="preserve"> PAGEREF _Toc434855373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Indemnity certificate entitles respondent to costs from the Fund</w:t>
      </w:r>
      <w:r>
        <w:tab/>
      </w:r>
      <w:r>
        <w:fldChar w:fldCharType="begin"/>
      </w:r>
      <w:r>
        <w:instrText xml:space="preserve"> PAGEREF _Toc434855374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Indemnity certificate vacated or inoperative in certain circumstances</w:t>
      </w:r>
      <w:r>
        <w:tab/>
      </w:r>
      <w:r>
        <w:fldChar w:fldCharType="begin"/>
      </w:r>
      <w:r>
        <w:instrText xml:space="preserve"> PAGEREF _Toc434855375 \h </w:instrText>
      </w:r>
      <w:r>
        <w:fldChar w:fldCharType="separate"/>
      </w:r>
      <w:r>
        <w:t>10</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Costs of trial where conviction quashed without new trial may be met from Fund; cost certificates</w:t>
      </w:r>
      <w:r>
        <w:tab/>
      </w:r>
      <w:r>
        <w:fldChar w:fldCharType="begin"/>
      </w:r>
      <w:r>
        <w:instrText xml:space="preserve"> PAGEREF _Toc434855376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appeal lies against grant or refusal of certificate</w:t>
      </w:r>
      <w:r>
        <w:tab/>
      </w:r>
      <w:r>
        <w:fldChar w:fldCharType="begin"/>
      </w:r>
      <w:r>
        <w:instrText xml:space="preserve"> PAGEREF _Toc434855377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Costs of new trial etc. where proceedings aborted etc. due to no fault of party may be met from Fund</w:t>
      </w:r>
      <w:r>
        <w:tab/>
      </w:r>
      <w:r>
        <w:fldChar w:fldCharType="begin"/>
      </w:r>
      <w:r>
        <w:instrText xml:space="preserve"> PAGEREF _Toc434855378 \h </w:instrText>
      </w:r>
      <w:r>
        <w:fldChar w:fldCharType="separate"/>
      </w:r>
      <w:r>
        <w:t>14</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Costs of legal representation of infant may be met from Fund</w:t>
      </w:r>
      <w:r>
        <w:tab/>
      </w:r>
      <w:r>
        <w:fldChar w:fldCharType="begin"/>
      </w:r>
      <w:r>
        <w:instrText xml:space="preserve"> PAGEREF _Toc434855379 \h </w:instrText>
      </w:r>
      <w:r>
        <w:fldChar w:fldCharType="separate"/>
      </w:r>
      <w:r>
        <w:t>16</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Costs of trial etc. where court refuses to approve settlement may be met from Fund</w:t>
      </w:r>
      <w:r>
        <w:tab/>
      </w:r>
      <w:r>
        <w:fldChar w:fldCharType="begin"/>
      </w:r>
      <w:r>
        <w:instrText xml:space="preserve"> PAGEREF _Toc434855380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Costs of appeal etc. where award of damages overturned on appeal may be met from Fund</w:t>
      </w:r>
      <w:r>
        <w:tab/>
      </w:r>
      <w:r>
        <w:fldChar w:fldCharType="begin"/>
      </w:r>
      <w:r>
        <w:instrText xml:space="preserve"> PAGEREF _Toc434855381 \h </w:instrText>
      </w:r>
      <w:r>
        <w:fldChar w:fldCharType="separate"/>
      </w:r>
      <w:r>
        <w:t>19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Subsidiary and related corporations</w:t>
      </w:r>
      <w:r>
        <w:tab/>
      </w:r>
      <w:r>
        <w:fldChar w:fldCharType="begin"/>
      </w:r>
      <w:r>
        <w:instrText xml:space="preserve"> PAGEREF _Toc434855382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from personal liability</w:t>
      </w:r>
      <w:r>
        <w:tab/>
      </w:r>
      <w:r>
        <w:fldChar w:fldCharType="begin"/>
      </w:r>
      <w:r>
        <w:instrText xml:space="preserve"> PAGEREF _Toc434855383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_Toc434855384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_Toc434855386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40"/>
      </w:pPr>
      <w:r>
        <w:t>Suitors’ Fund Act 1964</w:t>
      </w:r>
    </w:p>
    <w:p>
      <w:pPr>
        <w:pStyle w:val="LongTitle"/>
        <w:rPr>
          <w:snapToGrid w:val="0"/>
        </w:rPr>
      </w:pPr>
      <w:r>
        <w:rPr>
          <w:snapToGrid w:val="0"/>
        </w:rPr>
        <w:t>An Act to make provision in respect of the liability for costs of certain litigation; to establish a Suitors’ Fund to meet that liability; and for incidental and other purposes.</w:t>
      </w:r>
    </w:p>
    <w:p>
      <w:pPr>
        <w:pStyle w:val="Heading5"/>
        <w:rPr>
          <w:snapToGrid w:val="0"/>
        </w:rPr>
      </w:pPr>
      <w:bookmarkStart w:id="3" w:name="_Toc379203085"/>
      <w:bookmarkStart w:id="4" w:name="_Toc434855363"/>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pPr>
        <w:pStyle w:val="Heading5"/>
        <w:rPr>
          <w:snapToGrid w:val="0"/>
        </w:rPr>
      </w:pPr>
      <w:bookmarkStart w:id="5" w:name="_Toc379203086"/>
      <w:bookmarkStart w:id="6" w:name="_Toc434855364"/>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7" w:name="_Toc379203087"/>
      <w:bookmarkStart w:id="8" w:name="_Toc434855365"/>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rStyle w:val="CharDefText"/>
        </w:rPr>
        <w:t>company</w:t>
      </w:r>
      <w:r>
        <w:t xml:space="preserve"> has the same meaning as it has in the </w:t>
      </w:r>
      <w:r>
        <w:rPr>
          <w:i/>
        </w:rPr>
        <w:t>Corporations Act 2001</w:t>
      </w:r>
      <w:r>
        <w:t xml:space="preserve"> of the Commonwealth;</w:t>
      </w:r>
    </w:p>
    <w:p>
      <w:pPr>
        <w:pStyle w:val="Defstart"/>
        <w:spacing w:before="70"/>
      </w:pPr>
      <w:r>
        <w:rPr>
          <w:b/>
        </w:rPr>
        <w:tab/>
      </w:r>
      <w:r>
        <w:rPr>
          <w:rStyle w:val="CharDefText"/>
        </w:rPr>
        <w:t>costs</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pPr>
        <w:pStyle w:val="Defstart"/>
        <w:spacing w:before="70"/>
      </w:pPr>
      <w:r>
        <w:rPr>
          <w:b/>
        </w:rPr>
        <w:tab/>
      </w:r>
      <w:r>
        <w:rPr>
          <w:rStyle w:val="CharDefText"/>
        </w:rPr>
        <w:t>costs certificate</w:t>
      </w:r>
      <w:r>
        <w:t xml:space="preserve"> means a costs certificate granted under section 12A;</w:t>
      </w:r>
    </w:p>
    <w:p>
      <w:pPr>
        <w:pStyle w:val="Defstart"/>
        <w:spacing w:before="70"/>
      </w:pPr>
      <w:r>
        <w:rPr>
          <w:b/>
        </w:rPr>
        <w:tab/>
      </w:r>
      <w:r>
        <w:rPr>
          <w:rStyle w:val="CharDefText"/>
        </w:rPr>
        <w:t>Department</w:t>
      </w:r>
      <w:r>
        <w:t xml:space="preserve"> means the department of the Public Service principally assisting the Minister in the administration of this Act;</w:t>
      </w:r>
    </w:p>
    <w:p>
      <w:pPr>
        <w:pStyle w:val="Defstart"/>
        <w:spacing w:before="70"/>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spacing w:before="70"/>
      </w:pPr>
      <w:r>
        <w:rPr>
          <w:b/>
        </w:rPr>
        <w:tab/>
      </w:r>
      <w:r>
        <w:rPr>
          <w:rStyle w:val="CharDefText"/>
        </w:rPr>
        <w:t>indemnity certificate</w:t>
      </w:r>
      <w:r>
        <w:t xml:space="preserve"> means an indemnity certificate granted under section 10;</w:t>
      </w:r>
    </w:p>
    <w:p>
      <w:pPr>
        <w:pStyle w:val="Defstart"/>
        <w:spacing w:before="70"/>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pPr>
        <w:pStyle w:val="Defstart"/>
        <w:spacing w:before="70"/>
      </w:pPr>
      <w:r>
        <w:rPr>
          <w:b/>
        </w:rPr>
        <w:tab/>
      </w:r>
      <w:r>
        <w:rPr>
          <w:rStyle w:val="CharDefText"/>
        </w:rPr>
        <w:t>the Board</w:t>
      </w:r>
      <w:r>
        <w:t xml:space="preserve"> means the Appeal Costs Board constituted under this Act;</w:t>
      </w:r>
    </w:p>
    <w:p>
      <w:pPr>
        <w:pStyle w:val="Defstart"/>
        <w:spacing w:before="70"/>
      </w:pPr>
      <w:r>
        <w:rPr>
          <w:b/>
        </w:rPr>
        <w:tab/>
      </w:r>
      <w:r>
        <w:rPr>
          <w:rStyle w:val="CharDefText"/>
        </w:rPr>
        <w:t>the Fund</w:t>
      </w:r>
      <w:r>
        <w:t xml:space="preserve"> means the Suitors’ Fund established under this Act.</w:t>
      </w:r>
    </w:p>
    <w:p>
      <w:pPr>
        <w:pStyle w:val="Footnotesection"/>
        <w:spacing w:before="100"/>
        <w:ind w:left="890" w:hanging="890"/>
      </w:pPr>
      <w:r>
        <w:tab/>
        <w:t>[Section 3 amended: No. 72 of 1969 s. 2; No. 57 of 1971 s. 3; No. 10 of 1982 s. 28; No. 58 of 1984 s. 2; No. 31 of 1993 s. 65; No. 34 of 1999 s. 61; No. 20 of 2003 s. 46; No. 59 of 2004 s. 141; No. 84 of 2004 s. 78.]</w:t>
      </w:r>
    </w:p>
    <w:p>
      <w:pPr>
        <w:pStyle w:val="Heading5"/>
        <w:spacing w:before="200"/>
        <w:rPr>
          <w:snapToGrid w:val="0"/>
        </w:rPr>
      </w:pPr>
      <w:bookmarkStart w:id="9" w:name="_Toc379203088"/>
      <w:bookmarkStart w:id="10" w:name="_Toc434855366"/>
      <w:r>
        <w:rPr>
          <w:rStyle w:val="CharSectno"/>
        </w:rPr>
        <w:t>4</w:t>
      </w:r>
      <w:r>
        <w:rPr>
          <w:snapToGrid w:val="0"/>
        </w:rPr>
        <w:t>.</w:t>
      </w:r>
      <w:r>
        <w:rPr>
          <w:snapToGrid w:val="0"/>
        </w:rPr>
        <w:tab/>
        <w:t>Suitors’ Fund established</w:t>
      </w:r>
      <w:bookmarkEnd w:id="9"/>
      <w:bookmarkEnd w:id="10"/>
    </w:p>
    <w:p>
      <w:pPr>
        <w:pStyle w:val="Subsection"/>
        <w:spacing w:before="140"/>
      </w:pPr>
      <w:r>
        <w:tab/>
        <w:t>(1)</w:t>
      </w:r>
      <w:r>
        <w:tab/>
        <w:t xml:space="preserve">An agency special purpose account called the Suitors’ Fund is established under section 16 of the </w:t>
      </w:r>
      <w:r>
        <w:rPr>
          <w:i/>
        </w:rPr>
        <w:t>Financial Management Act 2006</w:t>
      </w:r>
      <w:r>
        <w:t>.</w:t>
      </w:r>
    </w:p>
    <w:p>
      <w:pPr>
        <w:pStyle w:val="Subsection"/>
        <w:spacing w:before="140"/>
      </w:pPr>
      <w:r>
        <w:tab/>
        <w:t>(2)</w:t>
      </w:r>
      <w:r>
        <w:tab/>
        <w:t>The following shall be credited to the Fund —</w:t>
      </w:r>
    </w:p>
    <w:p>
      <w:pPr>
        <w:pStyle w:val="Indenta"/>
        <w:spacing w:before="60"/>
      </w:pPr>
      <w:r>
        <w:tab/>
        <w:t>(a)</w:t>
      </w:r>
      <w:r>
        <w:tab/>
        <w:t>the amounts referred to in section 6(2);</w:t>
      </w:r>
    </w:p>
    <w:p>
      <w:pPr>
        <w:pStyle w:val="Indenta"/>
      </w:pPr>
      <w:r>
        <w:tab/>
        <w:t>(b)</w:t>
      </w:r>
      <w:r>
        <w:tab/>
        <w:t>any other moneys lawfully received by, made available to, or payable to the Board.</w:t>
      </w:r>
    </w:p>
    <w:p>
      <w:pPr>
        <w:pStyle w:val="Subsection"/>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rPr>
          <w:snapToGrid w:val="0"/>
        </w:rPr>
      </w:pPr>
      <w:r>
        <w:rPr>
          <w:snapToGrid w:val="0"/>
        </w:rPr>
        <w:tab/>
        <w:t>(4)</w:t>
      </w:r>
      <w:r>
        <w:rPr>
          <w:snapToGrid w:val="0"/>
        </w:rPr>
        <w:tab/>
        <w:t>All interest derived from the investment of the Fund forms part of the Fund.</w:t>
      </w:r>
    </w:p>
    <w:p>
      <w:pPr>
        <w:pStyle w:val="Subsection"/>
        <w:rPr>
          <w:snapToGrid w:val="0"/>
        </w:rPr>
      </w:pPr>
      <w:r>
        <w:rPr>
          <w:snapToGrid w:val="0"/>
        </w:rPr>
        <w:tab/>
        <w:t>(5)</w:t>
      </w:r>
      <w:r>
        <w:rPr>
          <w:snapToGrid w:val="0"/>
        </w:rPr>
        <w:tab/>
        <w:t>The Fund is, subject to this Act, under the direction, control and management of the Board.</w:t>
      </w:r>
    </w:p>
    <w:p>
      <w:pPr>
        <w:pStyle w:val="Subsection"/>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Subsection"/>
        <w:rPr>
          <w:snapToGrid w:val="0"/>
        </w:rPr>
      </w:pPr>
      <w:r>
        <w:rPr>
          <w:snapToGrid w:val="0"/>
        </w:rPr>
        <w:tab/>
        <w:t>(7)(a)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Subsection"/>
        <w:rPr>
          <w:snapToGrid w:val="0"/>
        </w:rPr>
      </w:pPr>
      <w:r>
        <w:rPr>
          <w:snapToGrid w:val="0"/>
        </w:rPr>
        <w:tab/>
        <w:t>(b)</w:t>
      </w:r>
      <w:r>
        <w:rPr>
          <w:snapToGrid w:val="0"/>
        </w:rPr>
        <w:tab/>
        <w:t>The amount of any money so advanced by the Treasurer to the Fund is, while the money remains unpaid, a charge on the Fund.</w:t>
      </w:r>
    </w:p>
    <w:p>
      <w:pPr>
        <w:pStyle w:val="Subsection"/>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 No. 44 of 1977 s. 3; No. 58 of 1984 s. 3; No. 98 of 1985 s. 3; No. 49 of 1996 s. 64; No. 1 of 1997 s. 18; No. 28 of 2006 s. 47; No. 77 of 2006 Sch. 1 cl. 164(1) and (2).]</w:t>
      </w:r>
    </w:p>
    <w:p>
      <w:pPr>
        <w:pStyle w:val="Heading5"/>
        <w:rPr>
          <w:snapToGrid w:val="0"/>
        </w:rPr>
      </w:pPr>
      <w:bookmarkStart w:id="11" w:name="_Toc379203089"/>
      <w:bookmarkStart w:id="12" w:name="_Toc434855367"/>
      <w:r>
        <w:rPr>
          <w:rStyle w:val="CharSectno"/>
        </w:rPr>
        <w:t>4A</w:t>
      </w:r>
      <w:r>
        <w:rPr>
          <w:snapToGrid w:val="0"/>
        </w:rPr>
        <w:t>.</w:t>
      </w:r>
      <w:r>
        <w:rPr>
          <w:snapToGrid w:val="0"/>
        </w:rPr>
        <w:tab/>
        <w:t>Application of</w:t>
      </w:r>
      <w:r>
        <w:rPr>
          <w:i/>
        </w:rPr>
        <w:t xml:space="preserve"> Financial Management Act 2006</w:t>
      </w:r>
      <w:r>
        <w:t xml:space="preserve"> and </w:t>
      </w:r>
      <w:r>
        <w:rPr>
          <w:i/>
        </w:rPr>
        <w:t>Auditor General Act 2006</w:t>
      </w:r>
      <w:bookmarkEnd w:id="11"/>
      <w:bookmarkEnd w:id="12"/>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 No. 98 of 1985 s. 3; amended: No. 31 of 1993 s. 66; No. 77 of 2006 Sch. 1 cl. 164(3).]</w:t>
      </w:r>
    </w:p>
    <w:p>
      <w:pPr>
        <w:pStyle w:val="Heading5"/>
        <w:rPr>
          <w:snapToGrid w:val="0"/>
        </w:rPr>
      </w:pPr>
      <w:bookmarkStart w:id="13" w:name="_Toc379203090"/>
      <w:bookmarkStart w:id="14" w:name="_Toc434855368"/>
      <w:r>
        <w:rPr>
          <w:rStyle w:val="CharSectno"/>
        </w:rPr>
        <w:t>5</w:t>
      </w:r>
      <w:r>
        <w:rPr>
          <w:snapToGrid w:val="0"/>
        </w:rPr>
        <w:t>.</w:t>
      </w:r>
      <w:r>
        <w:rPr>
          <w:snapToGrid w:val="0"/>
        </w:rPr>
        <w:tab/>
        <w:t>Fees to be paid to courts on issue of writs etc.</w:t>
      </w:r>
      <w:bookmarkEnd w:id="13"/>
      <w:bookmarkEnd w:id="14"/>
    </w:p>
    <w:p>
      <w:pPr>
        <w:pStyle w:val="Subsection"/>
        <w:rPr>
          <w:snapToGrid w:val="0"/>
        </w:rPr>
      </w:pPr>
      <w:r>
        <w:rPr>
          <w:snapToGrid w:val="0"/>
        </w:rPr>
        <w:tab/>
        <w:t>(1)</w:t>
      </w:r>
      <w:r>
        <w:rPr>
          <w:snapToGrid w:val="0"/>
        </w:rPr>
        <w:tab/>
        <w:t>There shall be paid to the proper officer of the appropriate court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Footnotesection"/>
        <w:keepLines w:val="0"/>
      </w:pPr>
      <w:r>
        <w:tab/>
        <w:t>[Section 5 amended: No. 113 of 1965 s. 8; No. 57 of 1971 s. 4; No. 59 of 2004 s. 141; No. 84 of 2004 s. 78.]</w:t>
      </w:r>
    </w:p>
    <w:p>
      <w:pPr>
        <w:pStyle w:val="Heading5"/>
        <w:rPr>
          <w:snapToGrid w:val="0"/>
        </w:rPr>
      </w:pPr>
      <w:bookmarkStart w:id="15" w:name="_Toc379203091"/>
      <w:bookmarkStart w:id="16" w:name="_Toc434855369"/>
      <w:r>
        <w:rPr>
          <w:rStyle w:val="CharSectno"/>
        </w:rPr>
        <w:t>6</w:t>
      </w:r>
      <w:r>
        <w:rPr>
          <w:snapToGrid w:val="0"/>
        </w:rPr>
        <w:t>.</w:t>
      </w:r>
      <w:r>
        <w:rPr>
          <w:snapToGrid w:val="0"/>
        </w:rPr>
        <w:tab/>
        <w:t>Department to advise Treasurer of number of writs etc. issued</w:t>
      </w:r>
      <w:bookmarkEnd w:id="15"/>
      <w:bookmarkEnd w:id="16"/>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pPr>
        <w:pStyle w:val="Footnotesection"/>
      </w:pPr>
      <w:r>
        <w:tab/>
        <w:t>[Section 6 amended: No. 58 of 1978 s. 2; No. 98 of 1985 s. 3; No. 6 of 1993 s. 11; No. 31 of 1993 s. 67; No. 49 of 1996 s. 64; No. 59 of 2004 s. 141; No. 77 of 2006 s. 4.]</w:t>
      </w:r>
    </w:p>
    <w:p>
      <w:pPr>
        <w:pStyle w:val="Heading5"/>
        <w:rPr>
          <w:snapToGrid w:val="0"/>
        </w:rPr>
      </w:pPr>
      <w:bookmarkStart w:id="17" w:name="_Toc379203092"/>
      <w:bookmarkStart w:id="18" w:name="_Toc434855370"/>
      <w:r>
        <w:rPr>
          <w:rStyle w:val="CharSectno"/>
        </w:rPr>
        <w:t>7</w:t>
      </w:r>
      <w:r>
        <w:rPr>
          <w:snapToGrid w:val="0"/>
        </w:rPr>
        <w:t>.</w:t>
      </w:r>
      <w:r>
        <w:rPr>
          <w:snapToGrid w:val="0"/>
        </w:rPr>
        <w:tab/>
        <w:t>Payment from Fund only on direction of Board</w:t>
      </w:r>
      <w:bookmarkEnd w:id="17"/>
      <w:bookmarkEnd w:id="18"/>
    </w:p>
    <w:p>
      <w:pPr>
        <w:pStyle w:val="Subsection"/>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No. 49 of 1996 s. 64.]</w:t>
      </w:r>
    </w:p>
    <w:p>
      <w:pPr>
        <w:pStyle w:val="Heading5"/>
        <w:rPr>
          <w:snapToGrid w:val="0"/>
        </w:rPr>
      </w:pPr>
      <w:bookmarkStart w:id="19" w:name="_Toc379203093"/>
      <w:bookmarkStart w:id="20" w:name="_Toc434855371"/>
      <w:r>
        <w:rPr>
          <w:rStyle w:val="CharSectno"/>
        </w:rPr>
        <w:t>8</w:t>
      </w:r>
      <w:r>
        <w:rPr>
          <w:snapToGrid w:val="0"/>
        </w:rPr>
        <w:t>.</w:t>
      </w:r>
      <w:r>
        <w:rPr>
          <w:snapToGrid w:val="0"/>
        </w:rPr>
        <w:tab/>
        <w:t>Appeal Costs Board, constitution</w:t>
      </w:r>
      <w:bookmarkEnd w:id="19"/>
      <w:bookmarkEnd w:id="20"/>
    </w:p>
    <w:p>
      <w:pPr>
        <w:pStyle w:val="Subsection"/>
        <w:rPr>
          <w:snapToGrid w:val="0"/>
        </w:rPr>
      </w:pPr>
      <w:r>
        <w:rPr>
          <w:snapToGrid w:val="0"/>
        </w:rPr>
        <w:tab/>
        <w:t>(1)</w:t>
      </w:r>
      <w:r>
        <w:rPr>
          <w:snapToGrid w:val="0"/>
        </w:rPr>
        <w:tab/>
        <w:t>For the purposes of this Act there shall be a Board to be called the “Appeal Costs Board”.</w:t>
      </w:r>
    </w:p>
    <w:p>
      <w:pPr>
        <w:pStyle w:val="Subsection"/>
        <w:keepNext/>
        <w:rPr>
          <w:snapToGrid w:val="0"/>
        </w:rPr>
      </w:pPr>
      <w:r>
        <w:rPr>
          <w:snapToGrid w:val="0"/>
        </w:rPr>
        <w:tab/>
        <w:t>(2)</w:t>
      </w:r>
      <w:r>
        <w:rPr>
          <w:snapToGrid w:val="0"/>
        </w:rPr>
        <w:tab/>
        <w:t>The Board shall consist of 3 members appointed by the Governor of whom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 xml:space="preserve">the Legal Practice Board established by the </w:t>
      </w:r>
      <w:r>
        <w:rPr>
          <w:i/>
          <w:iCs/>
        </w:rPr>
        <w:t xml:space="preserve">Legal Profession Act 2008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No. 65 of 2003 s. 68(2); No. 74 of 2003 s. 114; No. 21 of 2008 s. 708.]</w:t>
      </w:r>
    </w:p>
    <w:p>
      <w:pPr>
        <w:pStyle w:val="Heading5"/>
        <w:rPr>
          <w:snapToGrid w:val="0"/>
        </w:rPr>
      </w:pPr>
      <w:bookmarkStart w:id="21" w:name="_Toc379203094"/>
      <w:bookmarkStart w:id="22" w:name="_Toc434855372"/>
      <w:r>
        <w:rPr>
          <w:rStyle w:val="CharSectno"/>
        </w:rPr>
        <w:t>9</w:t>
      </w:r>
      <w:r>
        <w:rPr>
          <w:snapToGrid w:val="0"/>
        </w:rPr>
        <w:t>.</w:t>
      </w:r>
      <w:r>
        <w:rPr>
          <w:snapToGrid w:val="0"/>
        </w:rPr>
        <w:tab/>
        <w:t>Board meetings</w:t>
      </w:r>
      <w:bookmarkEnd w:id="21"/>
      <w:bookmarkEnd w:id="22"/>
    </w:p>
    <w:p>
      <w:pPr>
        <w:pStyle w:val="Subsection"/>
        <w:spacing w:before="140"/>
        <w:rPr>
          <w:snapToGrid w:val="0"/>
        </w:rPr>
      </w:pPr>
      <w:r>
        <w:rPr>
          <w:snapToGrid w:val="0"/>
        </w:rPr>
        <w:tab/>
        <w:t>(1)</w:t>
      </w:r>
      <w:r>
        <w:rPr>
          <w:snapToGrid w:val="0"/>
        </w:rPr>
        <w:tab/>
        <w:t>The Chairman shall preside at all meetings of the Board at which he is present.</w:t>
      </w:r>
    </w:p>
    <w:p>
      <w:pPr>
        <w:pStyle w:val="Subsection"/>
        <w:spacing w:before="140"/>
        <w:rPr>
          <w:snapToGrid w:val="0"/>
        </w:rPr>
      </w:pPr>
      <w:r>
        <w:rPr>
          <w:snapToGrid w:val="0"/>
        </w:rPr>
        <w:tab/>
        <w:t>(2)</w:t>
      </w:r>
      <w:r>
        <w:rPr>
          <w:snapToGrid w:val="0"/>
        </w:rPr>
        <w:tab/>
        <w:t>At a meeting of the Board 2 members constitute a quorum.</w:t>
      </w:r>
    </w:p>
    <w:p>
      <w:pPr>
        <w:pStyle w:val="Subsection"/>
        <w:spacing w:before="14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4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40"/>
        <w:rPr>
          <w:snapToGrid w:val="0"/>
        </w:rPr>
      </w:pPr>
      <w:r>
        <w:rPr>
          <w:snapToGrid w:val="0"/>
        </w:rPr>
        <w:tab/>
        <w:t>(5)</w:t>
      </w:r>
      <w:r>
        <w:rPr>
          <w:snapToGrid w:val="0"/>
        </w:rPr>
        <w:tab/>
        <w:t>Subject to this Act the Board may regulate its own proceedings.</w:t>
      </w:r>
    </w:p>
    <w:p>
      <w:pPr>
        <w:pStyle w:val="Subsection"/>
        <w:spacing w:before="140"/>
        <w:rPr>
          <w:snapToGrid w:val="0"/>
        </w:rPr>
      </w:pPr>
      <w:r>
        <w:rPr>
          <w:snapToGrid w:val="0"/>
        </w:rPr>
        <w:tab/>
        <w:t>(6)</w:t>
      </w:r>
      <w:r>
        <w:rPr>
          <w:snapToGrid w:val="0"/>
        </w:rPr>
        <w:tab/>
        <w:t>The functions of the Board are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4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23" w:name="_Toc379203095"/>
      <w:bookmarkStart w:id="24" w:name="_Toc434855373"/>
      <w:r>
        <w:rPr>
          <w:rStyle w:val="CharSectno"/>
        </w:rPr>
        <w:t>10</w:t>
      </w:r>
      <w:r>
        <w:rPr>
          <w:snapToGrid w:val="0"/>
        </w:rPr>
        <w:t>.</w:t>
      </w:r>
      <w:r>
        <w:rPr>
          <w:snapToGrid w:val="0"/>
        </w:rPr>
        <w:tab/>
        <w:t>Successful appeal on question of law, indemnity certificate may be granted</w:t>
      </w:r>
      <w:bookmarkEnd w:id="23"/>
      <w:bookmarkEnd w:id="24"/>
    </w:p>
    <w:p>
      <w:pPr>
        <w:pStyle w:val="Subsection"/>
        <w:spacing w:before="140"/>
        <w:rPr>
          <w:snapToGrid w:val="0"/>
        </w:rPr>
      </w:pPr>
      <w:r>
        <w:rPr>
          <w:snapToGrid w:val="0"/>
        </w:rPr>
        <w:tab/>
        <w:t>(1)</w:t>
      </w:r>
      <w:r>
        <w:rPr>
          <w:snapToGrid w:val="0"/>
        </w:rPr>
        <w:tab/>
        <w:t>Where an appeal against the decision of a court in any proceedings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0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No. 72 of 1969 s. 3; No. 58 of 1978 s. 3.]</w:t>
      </w:r>
    </w:p>
    <w:p>
      <w:pPr>
        <w:pStyle w:val="Heading5"/>
        <w:rPr>
          <w:snapToGrid w:val="0"/>
        </w:rPr>
      </w:pPr>
      <w:bookmarkStart w:id="25" w:name="_Toc379203096"/>
      <w:bookmarkStart w:id="26" w:name="_Toc434855374"/>
      <w:r>
        <w:rPr>
          <w:rStyle w:val="CharSectno"/>
        </w:rPr>
        <w:t>11</w:t>
      </w:r>
      <w:r>
        <w:rPr>
          <w:snapToGrid w:val="0"/>
        </w:rPr>
        <w:t>.</w:t>
      </w:r>
      <w:r>
        <w:rPr>
          <w:snapToGrid w:val="0"/>
        </w:rPr>
        <w:tab/>
        <w:t>Indemnity certificate entitles respondent to costs from the Fund</w:t>
      </w:r>
      <w:bookmarkEnd w:id="25"/>
      <w:bookmarkEnd w:id="26"/>
    </w:p>
    <w:p>
      <w:pPr>
        <w:pStyle w:val="Subsection"/>
        <w:spacing w:before="10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w:t>
      </w:r>
    </w:p>
    <w:p>
      <w:pPr>
        <w:pStyle w:val="Indenta"/>
        <w:spacing w:before="60"/>
        <w:rPr>
          <w:snapToGrid w:val="0"/>
        </w:rPr>
      </w:pPr>
      <w:r>
        <w:rPr>
          <w:snapToGrid w:val="0"/>
        </w:rPr>
        <w:tab/>
        <w:t>(a)</w:t>
      </w:r>
      <w:r>
        <w:rPr>
          <w:snapToGrid w:val="0"/>
        </w:rPr>
        <w:tab/>
        <w:t>an amount equal to the appellant’s costs —</w:t>
      </w:r>
    </w:p>
    <w:p>
      <w:pPr>
        <w:pStyle w:val="Indenti"/>
        <w:spacing w:before="60"/>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spacing w:before="60"/>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an amount equal to the respondent’s costs —</w:t>
      </w:r>
    </w:p>
    <w:p>
      <w:pPr>
        <w:pStyle w:val="Indenti"/>
        <w:spacing w:before="70"/>
        <w:rPr>
          <w:snapToGrid w:val="0"/>
        </w:rPr>
      </w:pPr>
      <w:r>
        <w:rPr>
          <w:snapToGrid w:val="0"/>
        </w:rPr>
        <w:tab/>
        <w:t>(i)</w:t>
      </w:r>
      <w:r>
        <w:rPr>
          <w:snapToGrid w:val="0"/>
        </w:rPr>
        <w:tab/>
        <w:t>of the appeal in respect of which the certificate was granted; and also</w:t>
      </w:r>
    </w:p>
    <w:p>
      <w:pPr>
        <w:pStyle w:val="Indenti"/>
        <w:spacing w:before="70"/>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spacing w:before="70"/>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spacing w:before="70"/>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spacing w:before="140"/>
        <w:rPr>
          <w:snapToGrid w:val="0"/>
        </w:rPr>
      </w:pPr>
      <w:r>
        <w:rPr>
          <w:snapToGrid w:val="0"/>
        </w:rPr>
        <w:tab/>
        <w:t>(2)</w:t>
      </w:r>
      <w:r>
        <w:rPr>
          <w:snapToGrid w:val="0"/>
        </w:rPr>
        <w:tab/>
        <w:t>Where an indemnity certificate has been granted, and the Board is satisfied —</w:t>
      </w:r>
    </w:p>
    <w:p>
      <w:pPr>
        <w:pStyle w:val="Indenta"/>
        <w:spacing w:before="70"/>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spacing w:before="70"/>
        <w:rPr>
          <w:snapToGrid w:val="0"/>
        </w:rPr>
      </w:pPr>
      <w:r>
        <w:rPr>
          <w:snapToGrid w:val="0"/>
        </w:rPr>
        <w:tab/>
        <w:t>(b)</w:t>
      </w:r>
      <w:r>
        <w:rPr>
          <w:snapToGrid w:val="0"/>
        </w:rPr>
        <w:tab/>
        <w:t>that payment of those costs or part of those costs would cause the respondent, undue hardship; or</w:t>
      </w:r>
    </w:p>
    <w:p>
      <w:pPr>
        <w:pStyle w:val="Indenta"/>
        <w:spacing w:before="70"/>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spacing w:before="80"/>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w:t>
      </w:r>
    </w:p>
    <w:p>
      <w:pPr>
        <w:pStyle w:val="Indenta"/>
        <w:rPr>
          <w:snapToGrid w:val="0"/>
        </w:rPr>
      </w:pPr>
      <w:r>
        <w:rPr>
          <w:snapToGrid w:val="0"/>
          <w:spacing w:val="-4"/>
        </w:rPr>
        <w:tab/>
        <w:t>(a)</w:t>
      </w:r>
      <w:r>
        <w:rPr>
          <w:snapToGrid w:val="0"/>
          <w:spacing w:val="-4"/>
        </w:rPr>
        <w:tab/>
      </w:r>
      <w:r>
        <w:rPr>
          <w:snapToGrid w:val="0"/>
        </w:rPr>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No. 113 of 1965 s. 8; No. 49 of 1996 s. 64.]</w:t>
      </w:r>
    </w:p>
    <w:p>
      <w:pPr>
        <w:pStyle w:val="Heading5"/>
        <w:spacing w:before="120"/>
        <w:rPr>
          <w:snapToGrid w:val="0"/>
        </w:rPr>
      </w:pPr>
      <w:bookmarkStart w:id="27" w:name="_Toc379203097"/>
      <w:bookmarkStart w:id="28" w:name="_Toc434855375"/>
      <w:r>
        <w:rPr>
          <w:rStyle w:val="CharSectno"/>
        </w:rPr>
        <w:t>12</w:t>
      </w:r>
      <w:r>
        <w:rPr>
          <w:snapToGrid w:val="0"/>
        </w:rPr>
        <w:t>.</w:t>
      </w:r>
      <w:r>
        <w:rPr>
          <w:snapToGrid w:val="0"/>
        </w:rPr>
        <w:tab/>
        <w:t>Indemnity certificate vacated or inoperative in certain circumstances</w:t>
      </w:r>
      <w:bookmarkEnd w:id="27"/>
      <w:bookmarkEnd w:id="28"/>
    </w:p>
    <w:p>
      <w:pPr>
        <w:pStyle w:val="Subsection"/>
        <w:rPr>
          <w:snapToGrid w:val="0"/>
        </w:rPr>
      </w:pPr>
      <w:r>
        <w:rPr>
          <w:snapToGrid w:val="0"/>
        </w:rPr>
        <w:tab/>
        <w:t>(1)</w:t>
      </w:r>
      <w:r>
        <w:rPr>
          <w:snapToGrid w:val="0"/>
        </w:rPr>
        <w:tab/>
        <w:t>An indemnity certificate granted to a respondent in respect of an appeal, being an appeal in a sequence of appeals, is vacated if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Subsection"/>
        <w:rPr>
          <w:snapToGrid w:val="0"/>
        </w:rPr>
      </w:pPr>
      <w:r>
        <w:rPr>
          <w:snapToGrid w:val="0"/>
        </w:rPr>
        <w:tab/>
        <w:t>(4)(a)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Subsection"/>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No. 49 of 1996 s. 64.]</w:t>
      </w:r>
    </w:p>
    <w:p>
      <w:pPr>
        <w:pStyle w:val="Heading5"/>
        <w:rPr>
          <w:snapToGrid w:val="0"/>
        </w:rPr>
      </w:pPr>
      <w:bookmarkStart w:id="29" w:name="_Toc379203098"/>
      <w:bookmarkStart w:id="30" w:name="_Toc434855376"/>
      <w:r>
        <w:rPr>
          <w:rStyle w:val="CharSectno"/>
        </w:rPr>
        <w:t>12A</w:t>
      </w:r>
      <w:r>
        <w:rPr>
          <w:snapToGrid w:val="0"/>
        </w:rPr>
        <w:t>.</w:t>
      </w:r>
      <w:r>
        <w:rPr>
          <w:snapToGrid w:val="0"/>
        </w:rPr>
        <w:tab/>
        <w:t>Costs of trial where conviction quashed without new trial may be met from Fund; cost certificates</w:t>
      </w:r>
      <w:bookmarkEnd w:id="29"/>
      <w:bookmarkEnd w:id="30"/>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w:t>
      </w:r>
    </w:p>
    <w:p>
      <w:pPr>
        <w:pStyle w:val="Indenta"/>
        <w:rPr>
          <w:snapToGrid w:val="0"/>
        </w:rPr>
      </w:pPr>
      <w:r>
        <w:rPr>
          <w:snapToGrid w:val="0"/>
        </w:rPr>
        <w:tab/>
        <w:t>(a)</w:t>
      </w:r>
      <w:r>
        <w:rPr>
          <w:snapToGrid w:val="0"/>
        </w:rPr>
        <w:tab/>
        <w:t>if the certificate was granted under subsection (1)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where the costs referred to in subparagraph (i) are taxed, an amount equal to the costs incurred by the appellant in having those costs taxed;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pPr>
      <w:r>
        <w:tab/>
        <w:t>[Section 12A inserted: No. 57 of 1971 s. 5; amended: No. 49 of 1996 s. 64.]</w:t>
      </w:r>
    </w:p>
    <w:p>
      <w:pPr>
        <w:pStyle w:val="Heading5"/>
        <w:rPr>
          <w:snapToGrid w:val="0"/>
        </w:rPr>
      </w:pPr>
      <w:bookmarkStart w:id="31" w:name="_Toc379203099"/>
      <w:bookmarkStart w:id="32" w:name="_Toc434855377"/>
      <w:r>
        <w:rPr>
          <w:rStyle w:val="CharSectno"/>
        </w:rPr>
        <w:t>13</w:t>
      </w:r>
      <w:r>
        <w:rPr>
          <w:snapToGrid w:val="0"/>
        </w:rPr>
        <w:t>.</w:t>
      </w:r>
      <w:r>
        <w:rPr>
          <w:snapToGrid w:val="0"/>
        </w:rPr>
        <w:tab/>
        <w:t>No appeal lies against grant or refusal of certificate</w:t>
      </w:r>
      <w:bookmarkEnd w:id="31"/>
      <w:bookmarkEnd w:id="32"/>
    </w:p>
    <w:p>
      <w:pPr>
        <w:pStyle w:val="Subsection"/>
        <w:rPr>
          <w:snapToGrid w:val="0"/>
        </w:rPr>
      </w:pPr>
      <w:r>
        <w:rPr>
          <w:snapToGrid w:val="0"/>
        </w:rPr>
        <w:tab/>
        <w:t>(1)</w:t>
      </w:r>
      <w:r>
        <w:rPr>
          <w:snapToGrid w:val="0"/>
        </w:rPr>
        <w:tab/>
        <w:t>In the case of an application for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No. 113 of 1965 s. 8; No. 57 of 1971 s. 6; No. 58 of 1978 s. 4.]</w:t>
      </w:r>
    </w:p>
    <w:p>
      <w:pPr>
        <w:pStyle w:val="Heading5"/>
        <w:rPr>
          <w:snapToGrid w:val="0"/>
        </w:rPr>
      </w:pPr>
      <w:bookmarkStart w:id="33" w:name="_Toc379203100"/>
      <w:bookmarkStart w:id="34" w:name="_Toc434855378"/>
      <w:r>
        <w:rPr>
          <w:rStyle w:val="CharSectno"/>
        </w:rPr>
        <w:t>14</w:t>
      </w:r>
      <w:r>
        <w:rPr>
          <w:snapToGrid w:val="0"/>
        </w:rPr>
        <w:t>.</w:t>
      </w:r>
      <w:r>
        <w:rPr>
          <w:snapToGrid w:val="0"/>
        </w:rPr>
        <w:tab/>
        <w:t>Costs of new trial etc. where proceedings aborted etc. due to no fault of party may be met from Fund</w:t>
      </w:r>
      <w:bookmarkEnd w:id="33"/>
      <w:bookmarkEnd w:id="34"/>
    </w:p>
    <w:p>
      <w:pPr>
        <w:pStyle w:val="Subsection"/>
        <w:rPr>
          <w:snapToGrid w:val="0"/>
        </w:rPr>
      </w:pPr>
      <w:r>
        <w:rPr>
          <w:snapToGrid w:val="0"/>
        </w:rPr>
        <w:tab/>
        <w:t>(1)</w:t>
      </w:r>
      <w:r>
        <w:rPr>
          <w:snapToGrid w:val="0"/>
        </w:rPr>
        <w:tab/>
        <w:t>Where after the coming into operation of this Act —</w:t>
      </w:r>
    </w:p>
    <w:p>
      <w:pPr>
        <w:pStyle w:val="Indenta"/>
        <w:spacing w:before="90"/>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pPr>
        <w:pStyle w:val="Indenta"/>
        <w:spacing w:before="90"/>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 convicted on indictment or summarily is upheld and a new trial is ordered; or</w:t>
      </w:r>
    </w:p>
    <w:p>
      <w:pPr>
        <w:pStyle w:val="Indenta"/>
        <w:spacing w:before="90"/>
      </w:pPr>
      <w:r>
        <w:tab/>
        <w:t>(ba)</w:t>
      </w:r>
      <w:r>
        <w:tab/>
        <w:t xml:space="preserve">an appeal commenced by a prosecutor under section 24(2)(da) or 25(3)(aa) of the </w:t>
      </w:r>
      <w:r>
        <w:rPr>
          <w:i/>
        </w:rPr>
        <w:t>Criminal Appeals Act 2004</w:t>
      </w:r>
      <w:r>
        <w:t xml:space="preserve"> is upheld and a new trial is ordered; or</w:t>
      </w:r>
    </w:p>
    <w:p>
      <w:pPr>
        <w:pStyle w:val="Indenta"/>
        <w:spacing w:before="90"/>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w:t>
      </w:r>
    </w:p>
    <w:p>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spacing w:before="140"/>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spacing w:before="140"/>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spacing w:before="140"/>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No. 113 of 1965 s. 8; No. 72 of 1969 s. 4; No. 57 of 1971 s. 7; No. 49 of 1996 s. 64; No. 84 of 2004 s. 80; No. 2 of 2008 s. 71.]</w:t>
      </w:r>
    </w:p>
    <w:p>
      <w:pPr>
        <w:pStyle w:val="Heading5"/>
        <w:rPr>
          <w:snapToGrid w:val="0"/>
        </w:rPr>
      </w:pPr>
      <w:bookmarkStart w:id="35" w:name="_Toc379203101"/>
      <w:bookmarkStart w:id="36" w:name="_Toc434855379"/>
      <w:r>
        <w:rPr>
          <w:rStyle w:val="CharSectno"/>
        </w:rPr>
        <w:t>14A</w:t>
      </w:r>
      <w:r>
        <w:rPr>
          <w:snapToGrid w:val="0"/>
        </w:rPr>
        <w:t>.</w:t>
      </w:r>
      <w:r>
        <w:rPr>
          <w:snapToGrid w:val="0"/>
        </w:rPr>
        <w:tab/>
        <w:t>Costs of legal representation of infant may be met from Fund</w:t>
      </w:r>
      <w:bookmarkEnd w:id="35"/>
      <w:bookmarkEnd w:id="36"/>
    </w:p>
    <w:p>
      <w:pPr>
        <w:pStyle w:val="Subsection"/>
        <w:spacing w:before="140"/>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No. 44 of 1977 s. 4; amended: No. 49 of 1996 s. 64.]</w:t>
      </w:r>
    </w:p>
    <w:p>
      <w:pPr>
        <w:pStyle w:val="Heading5"/>
        <w:rPr>
          <w:snapToGrid w:val="0"/>
        </w:rPr>
      </w:pPr>
      <w:bookmarkStart w:id="37" w:name="_Toc379203102"/>
      <w:bookmarkStart w:id="38" w:name="_Toc434855380"/>
      <w:r>
        <w:rPr>
          <w:rStyle w:val="CharSectno"/>
        </w:rPr>
        <w:t>14B</w:t>
      </w:r>
      <w:r>
        <w:rPr>
          <w:snapToGrid w:val="0"/>
        </w:rPr>
        <w:t>.</w:t>
      </w:r>
      <w:r>
        <w:rPr>
          <w:snapToGrid w:val="0"/>
        </w:rPr>
        <w:tab/>
        <w:t>Costs of trial etc. where court refuses to approve settlement may be met from Fund</w:t>
      </w:r>
      <w:bookmarkEnd w:id="37"/>
      <w:bookmarkEnd w:id="38"/>
    </w:p>
    <w:p>
      <w:pPr>
        <w:pStyle w:val="Subsection"/>
        <w:rPr>
          <w:snapToGrid w:val="0"/>
        </w:rPr>
      </w:pPr>
      <w:r>
        <w:rPr>
          <w:snapToGrid w:val="0"/>
        </w:rPr>
        <w:tab/>
        <w:t>(1)</w:t>
      </w:r>
      <w:r>
        <w:rPr>
          <w:snapToGrid w:val="0"/>
        </w:rPr>
        <w:tab/>
        <w:t>In this section —</w:t>
      </w:r>
    </w:p>
    <w:p>
      <w:pPr>
        <w:pStyle w:val="Defstart"/>
      </w:pPr>
      <w:r>
        <w:rPr>
          <w:b/>
        </w:rPr>
        <w:tab/>
      </w:r>
      <w:r>
        <w:rPr>
          <w:rStyle w:val="CharDefText"/>
        </w:rPr>
        <w:t>person under a disability</w:t>
      </w:r>
      <w:r>
        <w:t xml:space="preserve"> means —</w:t>
      </w:r>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settlement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No. 37 of 1978 s. 2; amended: No. 24 of 1990 s. 123; No. 49 of 1996 s. 64.]</w:t>
      </w:r>
    </w:p>
    <w:p>
      <w:pPr>
        <w:pStyle w:val="Heading5"/>
        <w:rPr>
          <w:snapToGrid w:val="0"/>
        </w:rPr>
      </w:pPr>
      <w:bookmarkStart w:id="39" w:name="_Toc379203103"/>
      <w:bookmarkStart w:id="40" w:name="_Toc434855381"/>
      <w:r>
        <w:rPr>
          <w:rStyle w:val="CharSectno"/>
        </w:rPr>
        <w:t>15</w:t>
      </w:r>
      <w:r>
        <w:rPr>
          <w:snapToGrid w:val="0"/>
        </w:rPr>
        <w:t>.</w:t>
      </w:r>
      <w:r>
        <w:rPr>
          <w:snapToGrid w:val="0"/>
        </w:rPr>
        <w:tab/>
        <w:t>Costs of appeal etc. where award of damages overturned on appeal may be met from Fund</w:t>
      </w:r>
      <w:bookmarkEnd w:id="39"/>
      <w:bookmarkEnd w:id="40"/>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rPr>
          <w:snapToGrid w:val="0"/>
        </w:rPr>
      </w:pPr>
      <w:r>
        <w:rPr>
          <w:snapToGrid w:val="0"/>
        </w:rPr>
        <w:tab/>
        <w:t>(2)</w:t>
      </w:r>
      <w:r>
        <w:rPr>
          <w:snapToGrid w:val="0"/>
        </w:rPr>
        <w:tab/>
        <w:t>Notwithstanding the provisions of subsection (1) —</w:t>
      </w:r>
    </w:p>
    <w:p>
      <w:pPr>
        <w:pStyle w:val="Indenta"/>
        <w:rPr>
          <w:snapToGrid w:val="0"/>
        </w:rPr>
      </w:pPr>
      <w:r>
        <w:rPr>
          <w:snapToGrid w:val="0"/>
        </w:rPr>
        <w:tab/>
        <w:t>(a)</w:t>
      </w:r>
      <w:r>
        <w:rPr>
          <w:snapToGrid w:val="0"/>
        </w:rPr>
        <w:tab/>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pPr>
        <w:pStyle w:val="Subsection"/>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ind w:left="890" w:hanging="890"/>
      </w:pPr>
      <w:r>
        <w:tab/>
        <w:t>[Section 15 amended: No. 113 of 1965 s. 8; No. 72 of 1969 s. 5; No. 57 of 1971 s. 8; No. 49 of 1996 s. 64.]</w:t>
      </w:r>
    </w:p>
    <w:p>
      <w:pPr>
        <w:pStyle w:val="Heading5"/>
        <w:rPr>
          <w:snapToGrid w:val="0"/>
        </w:rPr>
      </w:pPr>
      <w:bookmarkStart w:id="41" w:name="_Toc379203104"/>
      <w:bookmarkStart w:id="42" w:name="_Toc434855382"/>
      <w:r>
        <w:rPr>
          <w:rStyle w:val="CharSectno"/>
        </w:rPr>
        <w:t>15A</w:t>
      </w:r>
      <w:r>
        <w:rPr>
          <w:snapToGrid w:val="0"/>
        </w:rPr>
        <w:t>.</w:t>
      </w:r>
      <w:r>
        <w:rPr>
          <w:snapToGrid w:val="0"/>
        </w:rPr>
        <w:tab/>
        <w:t>Subsidiary and related corporations</w:t>
      </w:r>
      <w:bookmarkEnd w:id="41"/>
      <w:bookmarkEnd w:id="42"/>
    </w:p>
    <w:p>
      <w:pPr>
        <w:pStyle w:val="Subsection"/>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No. 57 of 1971 s. 9; amended: No. 10 of 1982 s. 28; No. 49 of 1996 s. 64; No. 20 of 2003 s. 47.]</w:t>
      </w:r>
    </w:p>
    <w:p>
      <w:pPr>
        <w:pStyle w:val="Heading5"/>
        <w:rPr>
          <w:snapToGrid w:val="0"/>
        </w:rPr>
      </w:pPr>
      <w:bookmarkStart w:id="43" w:name="_Toc379203105"/>
      <w:bookmarkStart w:id="44" w:name="_Toc434855383"/>
      <w:r>
        <w:rPr>
          <w:rStyle w:val="CharSectno"/>
        </w:rPr>
        <w:t>16</w:t>
      </w:r>
      <w:r>
        <w:rPr>
          <w:snapToGrid w:val="0"/>
        </w:rPr>
        <w:t>.</w:t>
      </w:r>
      <w:r>
        <w:rPr>
          <w:snapToGrid w:val="0"/>
        </w:rPr>
        <w:tab/>
        <w:t>Protection from personal liability</w:t>
      </w:r>
      <w:bookmarkEnd w:id="43"/>
      <w:bookmarkEnd w:id="44"/>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45" w:name="_Toc379203106"/>
      <w:bookmarkStart w:id="46" w:name="_Toc434855384"/>
      <w:r>
        <w:rPr>
          <w:rStyle w:val="CharSectno"/>
        </w:rPr>
        <w:t>17</w:t>
      </w:r>
      <w:r>
        <w:rPr>
          <w:snapToGrid w:val="0"/>
        </w:rPr>
        <w:t>.</w:t>
      </w:r>
      <w:r>
        <w:rPr>
          <w:snapToGrid w:val="0"/>
        </w:rPr>
        <w:tab/>
        <w:t>Regulations</w:t>
      </w:r>
      <w:bookmarkEnd w:id="45"/>
      <w:bookmarkEnd w:id="46"/>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CentredBaseLine"/>
        <w:jc w:val="center"/>
      </w:pPr>
      <w:r>
        <w:rPr>
          <w:noProof/>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CentredBaseLine"/>
        <w:jc w:val="cente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7" w:name="_Toc379202971"/>
      <w:bookmarkStart w:id="48" w:name="_Toc379203107"/>
      <w:bookmarkStart w:id="49" w:name="_Toc425252933"/>
      <w:bookmarkStart w:id="50" w:name="_Toc434855385"/>
      <w:r>
        <w:t>Notes</w:t>
      </w:r>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  The table also contains information about any reprint.</w:t>
      </w:r>
    </w:p>
    <w:p>
      <w:pPr>
        <w:pStyle w:val="nHeading3"/>
      </w:pPr>
      <w:bookmarkStart w:id="51" w:name="_Toc379203108"/>
      <w:bookmarkStart w:id="52" w:name="_Toc434855386"/>
      <w:r>
        <w:t>Compilation table</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Suitors’ Fund Act 1964</w:t>
            </w:r>
          </w:p>
        </w:tc>
        <w:tc>
          <w:tcPr>
            <w:tcW w:w="1134" w:type="dxa"/>
          </w:tcPr>
          <w:p>
            <w:pPr>
              <w:pStyle w:val="nTable"/>
              <w:spacing w:after="40"/>
            </w:pPr>
            <w:r>
              <w:t>43 of 1964</w:t>
            </w:r>
            <w:r>
              <w:br/>
              <w:t>(13 Eliz. II No. 43)</w:t>
            </w:r>
          </w:p>
        </w:tc>
        <w:tc>
          <w:tcPr>
            <w:tcW w:w="1134" w:type="dxa"/>
          </w:tcPr>
          <w:p>
            <w:pPr>
              <w:pStyle w:val="nTable"/>
              <w:spacing w:after="40"/>
            </w:pPr>
            <w:r>
              <w:t>19 Nov 1964</w:t>
            </w:r>
          </w:p>
        </w:tc>
        <w:tc>
          <w:tcPr>
            <w:tcW w:w="2551" w:type="dxa"/>
          </w:tcPr>
          <w:p>
            <w:pPr>
              <w:pStyle w:val="nTable"/>
              <w:spacing w:after="40"/>
            </w:pPr>
            <w:r>
              <w:t xml:space="preserve">s. 1-7: 1 Jan 1965 (see s. 2 and </w:t>
            </w:r>
            <w:r>
              <w:rPr>
                <w:i/>
              </w:rPr>
              <w:t>Gazette</w:t>
            </w:r>
            <w:r>
              <w:t xml:space="preserve"> 24 Dec 1964 p. 4093);</w:t>
            </w:r>
            <w:r>
              <w:br/>
              <w:t xml:space="preserve">balance: 2 Aug 1965 (see s. 2 and </w:t>
            </w:r>
            <w:r>
              <w:rPr>
                <w:i/>
              </w:rPr>
              <w:t>Gazette</w:t>
            </w:r>
            <w:r>
              <w:t xml:space="preserve"> 16 Jul 1965 p. 2059)</w:t>
            </w:r>
          </w:p>
        </w:tc>
      </w:tr>
      <w:tr>
        <w:trPr>
          <w:cantSplit/>
        </w:trPr>
        <w:tc>
          <w:tcPr>
            <w:tcW w:w="2268" w:type="dxa"/>
          </w:tcPr>
          <w:p>
            <w:pPr>
              <w:pStyle w:val="nTable"/>
              <w:spacing w:after="40"/>
              <w:ind w:right="17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70"/>
              <w:rPr>
                <w:i/>
              </w:rPr>
            </w:pPr>
            <w:r>
              <w:rPr>
                <w:i/>
              </w:rPr>
              <w:t>Suitors’ Fund Act Amendment Act 1969</w:t>
            </w:r>
          </w:p>
        </w:tc>
        <w:tc>
          <w:tcPr>
            <w:tcW w:w="1134" w:type="dxa"/>
          </w:tcPr>
          <w:p>
            <w:pPr>
              <w:pStyle w:val="nTable"/>
              <w:spacing w:after="40"/>
            </w:pPr>
            <w:r>
              <w:t>72 of 1969</w:t>
            </w:r>
          </w:p>
        </w:tc>
        <w:tc>
          <w:tcPr>
            <w:tcW w:w="1134" w:type="dxa"/>
          </w:tcPr>
          <w:p>
            <w:pPr>
              <w:pStyle w:val="nTable"/>
              <w:spacing w:after="40"/>
            </w:pPr>
            <w:r>
              <w:t>27 Oct 1969</w:t>
            </w:r>
          </w:p>
        </w:tc>
        <w:tc>
          <w:tcPr>
            <w:tcW w:w="2551" w:type="dxa"/>
          </w:tcPr>
          <w:p>
            <w:pPr>
              <w:pStyle w:val="nTable"/>
              <w:spacing w:after="40"/>
            </w:pPr>
            <w:r>
              <w:t>27 Oct 1969</w:t>
            </w:r>
          </w:p>
        </w:tc>
      </w:tr>
      <w:tr>
        <w:trPr>
          <w:cantSplit/>
        </w:trPr>
        <w:tc>
          <w:tcPr>
            <w:tcW w:w="2268" w:type="dxa"/>
          </w:tcPr>
          <w:p>
            <w:pPr>
              <w:pStyle w:val="nTable"/>
              <w:spacing w:after="40"/>
              <w:ind w:right="170"/>
              <w:rPr>
                <w:i/>
              </w:rPr>
            </w:pPr>
            <w:r>
              <w:rPr>
                <w:i/>
              </w:rPr>
              <w:t>Suitors’ Fund Act Amendment Act 1971</w:t>
            </w:r>
          </w:p>
        </w:tc>
        <w:tc>
          <w:tcPr>
            <w:tcW w:w="1134" w:type="dxa"/>
          </w:tcPr>
          <w:p>
            <w:pPr>
              <w:pStyle w:val="nTable"/>
              <w:spacing w:after="40"/>
            </w:pPr>
            <w:r>
              <w:t>57 of 1971</w:t>
            </w:r>
          </w:p>
        </w:tc>
        <w:tc>
          <w:tcPr>
            <w:tcW w:w="1134" w:type="dxa"/>
          </w:tcPr>
          <w:p>
            <w:pPr>
              <w:pStyle w:val="nTable"/>
              <w:spacing w:after="40"/>
            </w:pPr>
            <w:r>
              <w:t>15 Dec 1971</w:t>
            </w:r>
          </w:p>
        </w:tc>
        <w:tc>
          <w:tcPr>
            <w:tcW w:w="2551" w:type="dxa"/>
          </w:tcPr>
          <w:p>
            <w:pPr>
              <w:pStyle w:val="nTable"/>
              <w:spacing w:after="40"/>
            </w:pPr>
            <w:r>
              <w:t xml:space="preserve">18 Feb 1972 (see s. 2 and </w:t>
            </w:r>
            <w:r>
              <w:rPr>
                <w:i/>
              </w:rPr>
              <w:t>Gazette</w:t>
            </w:r>
            <w:r>
              <w:t xml:space="preserve"> 18 Feb 1972 p. 355)</w:t>
            </w:r>
          </w:p>
        </w:tc>
      </w:tr>
      <w:tr>
        <w:trPr>
          <w:cantSplit/>
        </w:trPr>
        <w:tc>
          <w:tcPr>
            <w:tcW w:w="2268" w:type="dxa"/>
          </w:tcPr>
          <w:p>
            <w:pPr>
              <w:pStyle w:val="nTable"/>
              <w:spacing w:after="40"/>
              <w:ind w:right="170"/>
            </w:pPr>
            <w:r>
              <w:rPr>
                <w:i/>
              </w:rPr>
              <w:t>Suitors’ Fund Act Amendment Act 1977</w:t>
            </w:r>
          </w:p>
        </w:tc>
        <w:tc>
          <w:tcPr>
            <w:tcW w:w="1134" w:type="dxa"/>
          </w:tcPr>
          <w:p>
            <w:pPr>
              <w:pStyle w:val="nTable"/>
              <w:spacing w:after="40"/>
            </w:pPr>
            <w:r>
              <w:t>44 of 1977</w:t>
            </w:r>
          </w:p>
        </w:tc>
        <w:tc>
          <w:tcPr>
            <w:tcW w:w="1134" w:type="dxa"/>
          </w:tcPr>
          <w:p>
            <w:pPr>
              <w:pStyle w:val="nTable"/>
              <w:spacing w:after="40"/>
            </w:pPr>
            <w:r>
              <w:t>7 Nov 1977</w:t>
            </w:r>
          </w:p>
        </w:tc>
        <w:tc>
          <w:tcPr>
            <w:tcW w:w="2551" w:type="dxa"/>
          </w:tcPr>
          <w:p>
            <w:pPr>
              <w:pStyle w:val="nTable"/>
              <w:spacing w:after="40"/>
            </w:pPr>
            <w:r>
              <w:t xml:space="preserve">1 Jan 1978 (see s. 2 and </w:t>
            </w:r>
            <w:r>
              <w:rPr>
                <w:i/>
              </w:rPr>
              <w:t>Gazette</w:t>
            </w:r>
            <w:r>
              <w:t xml:space="preserve"> 30 Dec 1977 p. 4743)</w:t>
            </w:r>
          </w:p>
        </w:tc>
      </w:tr>
      <w:tr>
        <w:trPr>
          <w:cantSplit/>
        </w:trPr>
        <w:tc>
          <w:tcPr>
            <w:tcW w:w="2268" w:type="dxa"/>
          </w:tcPr>
          <w:p>
            <w:pPr>
              <w:pStyle w:val="nTable"/>
              <w:spacing w:after="40"/>
              <w:ind w:right="170"/>
            </w:pPr>
            <w:r>
              <w:rPr>
                <w:i/>
              </w:rPr>
              <w:t>Suitors’ Fund Act Amendment Act 1978</w:t>
            </w:r>
          </w:p>
        </w:tc>
        <w:tc>
          <w:tcPr>
            <w:tcW w:w="1134" w:type="dxa"/>
          </w:tcPr>
          <w:p>
            <w:pPr>
              <w:pStyle w:val="nTable"/>
              <w:spacing w:after="40"/>
            </w:pPr>
            <w:r>
              <w:t>37 of 1978</w:t>
            </w:r>
          </w:p>
        </w:tc>
        <w:tc>
          <w:tcPr>
            <w:tcW w:w="1134" w:type="dxa"/>
          </w:tcPr>
          <w:p>
            <w:pPr>
              <w:pStyle w:val="nTable"/>
              <w:spacing w:after="40"/>
            </w:pPr>
            <w:r>
              <w:t>21 Aug 1978</w:t>
            </w:r>
          </w:p>
        </w:tc>
        <w:tc>
          <w:tcPr>
            <w:tcW w:w="2551" w:type="dxa"/>
          </w:tcPr>
          <w:p>
            <w:pPr>
              <w:pStyle w:val="nTable"/>
              <w:spacing w:after="40"/>
            </w:pPr>
            <w:r>
              <w:t>21 Aug 1978</w:t>
            </w:r>
          </w:p>
        </w:tc>
      </w:tr>
      <w:tr>
        <w:trPr>
          <w:cantSplit/>
        </w:trPr>
        <w:tc>
          <w:tcPr>
            <w:tcW w:w="2268" w:type="dxa"/>
          </w:tcPr>
          <w:p>
            <w:pPr>
              <w:pStyle w:val="nTable"/>
              <w:spacing w:after="40"/>
              <w:ind w:right="170"/>
            </w:pPr>
            <w:r>
              <w:rPr>
                <w:i/>
              </w:rPr>
              <w:t>Suitors’ Fund Act Amendment Act (No. 2) 1978</w:t>
            </w:r>
          </w:p>
        </w:tc>
        <w:tc>
          <w:tcPr>
            <w:tcW w:w="1134" w:type="dxa"/>
          </w:tcPr>
          <w:p>
            <w:pPr>
              <w:pStyle w:val="nTable"/>
              <w:spacing w:after="40"/>
            </w:pPr>
            <w:r>
              <w:t>58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7087" w:type="dxa"/>
            <w:gridSpan w:val="4"/>
          </w:tcPr>
          <w:p>
            <w:pPr>
              <w:pStyle w:val="nTable"/>
              <w:spacing w:after="40"/>
            </w:pPr>
            <w:r>
              <w:rPr>
                <w:b/>
              </w:rPr>
              <w:t xml:space="preserve">Reprint of the </w:t>
            </w:r>
            <w:r>
              <w:rPr>
                <w:b/>
                <w:i/>
              </w:rPr>
              <w:t xml:space="preserve">Suitors’ Fund Act 1964 </w:t>
            </w:r>
            <w:r>
              <w:rPr>
                <w:b/>
              </w:rPr>
              <w:t>approved 21 Aug 1979</w:t>
            </w:r>
            <w:r>
              <w:t xml:space="preserve"> (includes amendments listed above)</w:t>
            </w:r>
          </w:p>
        </w:tc>
      </w:tr>
      <w:tr>
        <w:trPr>
          <w:cantSplit/>
        </w:trPr>
        <w:tc>
          <w:tcPr>
            <w:tcW w:w="2268"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70"/>
              <w:rPr>
                <w:i/>
              </w:rPr>
            </w:pPr>
            <w:r>
              <w:rPr>
                <w:i/>
              </w:rPr>
              <w:t>Suitors’ Fund Amendment Act 1984</w:t>
            </w:r>
          </w:p>
        </w:tc>
        <w:tc>
          <w:tcPr>
            <w:tcW w:w="1134" w:type="dxa"/>
          </w:tcPr>
          <w:p>
            <w:pPr>
              <w:pStyle w:val="nTable"/>
              <w:spacing w:after="40"/>
            </w:pPr>
            <w:r>
              <w:t>58 of 1984</w:t>
            </w:r>
          </w:p>
        </w:tc>
        <w:tc>
          <w:tcPr>
            <w:tcW w:w="1134" w:type="dxa"/>
          </w:tcPr>
          <w:p>
            <w:pPr>
              <w:pStyle w:val="nTable"/>
              <w:spacing w:after="40"/>
            </w:pPr>
            <w:r>
              <w:t>24 Oct 1984</w:t>
            </w:r>
          </w:p>
        </w:tc>
        <w:tc>
          <w:tcPr>
            <w:tcW w:w="2551" w:type="dxa"/>
          </w:tcPr>
          <w:p>
            <w:pPr>
              <w:pStyle w:val="nTable"/>
              <w:spacing w:after="40"/>
            </w:pPr>
            <w:r>
              <w:t>21 Nov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 xml:space="preserve">Gazette </w:t>
            </w:r>
            <w:r>
              <w:t>30 Jun 1986 p. 2255)</w:t>
            </w:r>
          </w:p>
        </w:tc>
      </w:tr>
      <w:tr>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rPr>
                <w:i/>
                <w:vertAlign w:val="superscript"/>
              </w:rPr>
            </w:pPr>
            <w:r>
              <w:rPr>
                <w:i/>
              </w:rPr>
              <w:t xml:space="preserve">Acts Amendment (Ministry of Justice) Act 1993  </w:t>
            </w:r>
            <w:r>
              <w:t>Pt. 18 </w:t>
            </w:r>
            <w:r>
              <w:rPr>
                <w:vertAlign w:val="superscript"/>
              </w:rPr>
              <w:t>3</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Workers’ Compensation and Rehabilitation Amendment Act 1999</w:t>
            </w:r>
            <w:r>
              <w:t xml:space="preserve"> s. 61</w:t>
            </w:r>
          </w:p>
        </w:tc>
        <w:tc>
          <w:tcPr>
            <w:tcW w:w="1134" w:type="dxa"/>
          </w:tcPr>
          <w:p>
            <w:pPr>
              <w:pStyle w:val="nTable"/>
              <w:spacing w:after="40"/>
            </w:pPr>
            <w:r>
              <w:t>34 of 1999</w:t>
            </w:r>
          </w:p>
        </w:tc>
        <w:tc>
          <w:tcPr>
            <w:tcW w:w="1134" w:type="dxa"/>
          </w:tcPr>
          <w:p>
            <w:pPr>
              <w:pStyle w:val="nTable"/>
              <w:spacing w:after="40"/>
            </w:pPr>
            <w:r>
              <w:t>5 Oct 1999</w:t>
            </w:r>
          </w:p>
        </w:tc>
        <w:tc>
          <w:tcPr>
            <w:tcW w:w="2551" w:type="dxa"/>
          </w:tcPr>
          <w:p>
            <w:pPr>
              <w:pStyle w:val="nTable"/>
              <w:spacing w:after="40"/>
            </w:pPr>
            <w:r>
              <w:t xml:space="preserve">15 Oct 1999 (see s. 2(2) and </w:t>
            </w:r>
            <w:r>
              <w:rPr>
                <w:i/>
              </w:rPr>
              <w:t>Gazette</w:t>
            </w:r>
            <w:r>
              <w:t xml:space="preserve"> 15 Oct 1999 p. 4889)</w:t>
            </w:r>
          </w:p>
        </w:tc>
      </w:tr>
      <w:tr>
        <w:trPr>
          <w:cantSplit/>
        </w:trPr>
        <w:tc>
          <w:tcPr>
            <w:tcW w:w="7087" w:type="dxa"/>
            <w:gridSpan w:val="4"/>
          </w:tcPr>
          <w:p>
            <w:pPr>
              <w:pStyle w:val="nTable"/>
              <w:spacing w:after="40"/>
            </w:pPr>
            <w:r>
              <w:rPr>
                <w:b/>
              </w:rPr>
              <w:t xml:space="preserve">Reprint of the </w:t>
            </w:r>
            <w:r>
              <w:rPr>
                <w:b/>
                <w:i/>
              </w:rPr>
              <w:t>Suitors’ Fund Act 1964</w:t>
            </w:r>
            <w:r>
              <w:rPr>
                <w:b/>
              </w:rPr>
              <w:t xml:space="preserve"> as at 29 Oct 1999</w:t>
            </w:r>
            <w:r>
              <w:t xml:space="preserve"> (includes amendments listed above)</w:t>
            </w:r>
          </w:p>
        </w:tc>
      </w:tr>
      <w:tr>
        <w:trPr>
          <w:cantSplit/>
        </w:trPr>
        <w:tc>
          <w:tcPr>
            <w:tcW w:w="2268" w:type="dxa"/>
          </w:tcPr>
          <w:p>
            <w:pPr>
              <w:pStyle w:val="nTable"/>
              <w:spacing w:after="40"/>
              <w:ind w:right="170"/>
              <w:rPr>
                <w:i/>
              </w:rPr>
            </w:pPr>
            <w:r>
              <w:rPr>
                <w:i/>
              </w:rPr>
              <w:t xml:space="preserve">Corporations (Consequential Amendments) Act (No. 2) 2003 </w:t>
            </w:r>
            <w:r>
              <w:t>Pt. 23</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70"/>
            </w:pPr>
            <w:r>
              <w:rPr>
                <w:i/>
              </w:rPr>
              <w:t xml:space="preserve">Acts Amendment and Repeal (Courts and Legal Practice) Act 2003 </w:t>
            </w:r>
            <w:r>
              <w:t>s. 68</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114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Suitors’ Fund Act 1964</w:t>
            </w:r>
            <w:r>
              <w:rPr>
                <w:b/>
              </w:rPr>
              <w:t xml:space="preserve"> as at 22 Jul 2005</w:t>
            </w:r>
            <w:r>
              <w:t xml:space="preserve"> (includes amendments listed above)</w:t>
            </w:r>
          </w:p>
        </w:tc>
      </w:tr>
      <w:tr>
        <w:trPr>
          <w:cantSplit/>
        </w:trPr>
        <w:tc>
          <w:tcPr>
            <w:tcW w:w="2268" w:type="dxa"/>
          </w:tcPr>
          <w:p>
            <w:pPr>
              <w:pStyle w:val="nTable"/>
              <w:spacing w:after="40"/>
              <w:ind w:right="170"/>
              <w:rPr>
                <w:i/>
                <w:snapToGrid w:val="0"/>
              </w:rPr>
            </w:pPr>
            <w:r>
              <w:rPr>
                <w:i/>
                <w:snapToGrid w:val="0"/>
              </w:rPr>
              <w:t xml:space="preserve">Machinery of Government (Miscellaneous Amendments) Act 2006 </w:t>
            </w:r>
            <w:r>
              <w:rPr>
                <w:snapToGrid w:val="0"/>
              </w:rPr>
              <w:t>Pt. 3 Div. 7</w:t>
            </w:r>
          </w:p>
        </w:tc>
        <w:tc>
          <w:tcPr>
            <w:tcW w:w="1134" w:type="dxa"/>
          </w:tcPr>
          <w:p>
            <w:pPr>
              <w:pStyle w:val="nTable"/>
              <w:spacing w:after="40"/>
              <w:rPr>
                <w:snapToGrid w:val="0"/>
              </w:rPr>
            </w:pPr>
            <w:r>
              <w:rPr>
                <w:snapToGrid w:val="0"/>
              </w:rPr>
              <w:t>28 of 2006</w:t>
            </w:r>
          </w:p>
        </w:tc>
        <w:tc>
          <w:tcPr>
            <w:tcW w:w="1134" w:type="dxa"/>
          </w:tcPr>
          <w:p>
            <w:pPr>
              <w:pStyle w:val="nTable"/>
              <w:spacing w:after="40"/>
              <w:rPr>
                <w:snapToGrid w:val="0"/>
              </w:rPr>
            </w:pPr>
            <w:r>
              <w:rPr>
                <w:snapToGrid w:val="0"/>
              </w:rP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 and Sch. 1 cl. 164</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70"/>
              <w:rPr>
                <w:i/>
                <w:snapToGrid w:val="0"/>
              </w:rPr>
            </w:pPr>
            <w:r>
              <w:rPr>
                <w:i/>
                <w:snapToGrid w:val="0"/>
              </w:rPr>
              <w:t>Criminal Law and Evidence Amendment Act 2008</w:t>
            </w:r>
            <w:r>
              <w:rPr>
                <w:iCs/>
                <w:snapToGrid w:val="0"/>
              </w:rPr>
              <w:t xml:space="preserve"> s. 71</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70"/>
              <w:rPr>
                <w:i/>
                <w:snapToGrid w:val="0"/>
              </w:rPr>
            </w:pPr>
            <w:r>
              <w:rPr>
                <w:i/>
                <w:iCs/>
                <w:snapToGrid w:val="0"/>
              </w:rPr>
              <w:t>Legal Profession Act 2008</w:t>
            </w:r>
            <w:r>
              <w:rPr>
                <w:i/>
                <w:snapToGrid w:val="0"/>
              </w:rPr>
              <w:t xml:space="preserve"> </w:t>
            </w:r>
            <w:r>
              <w:rPr>
                <w:iCs/>
                <w:snapToGrid w:val="0"/>
              </w:rPr>
              <w:t>s. 708</w:t>
            </w:r>
          </w:p>
        </w:tc>
        <w:tc>
          <w:tcPr>
            <w:tcW w:w="1134" w:type="dxa"/>
          </w:tcPr>
          <w:p>
            <w:pPr>
              <w:pStyle w:val="nTable"/>
              <w:spacing w:after="40"/>
            </w:pPr>
            <w:r>
              <w:t>21 of 2008</w:t>
            </w:r>
          </w:p>
        </w:tc>
        <w:tc>
          <w:tcPr>
            <w:tcW w:w="1134"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7087" w:type="dxa"/>
            <w:gridSpan w:val="4"/>
            <w:tcBorders>
              <w:bottom w:val="single" w:sz="8" w:space="0" w:color="auto"/>
            </w:tcBorders>
          </w:tcPr>
          <w:p>
            <w:pPr>
              <w:pStyle w:val="nTable"/>
              <w:spacing w:after="40"/>
              <w:rPr>
                <w:snapToGrid w:val="0"/>
              </w:rPr>
            </w:pPr>
            <w:r>
              <w:rPr>
                <w:b/>
              </w:rPr>
              <w:t xml:space="preserve">Reprint 4: The </w:t>
            </w:r>
            <w:r>
              <w:rPr>
                <w:b/>
                <w:i/>
              </w:rPr>
              <w:t>Suitors’ Fund Act 1964</w:t>
            </w:r>
            <w:r>
              <w:rPr>
                <w:b/>
              </w:rPr>
              <w:t xml:space="preserve"> as at 25 Jun 2010</w:t>
            </w:r>
            <w:r>
              <w:t xml:space="preserve"> (includes amendments listed above)</w:t>
            </w:r>
          </w:p>
        </w:tc>
      </w:tr>
    </w:tbl>
    <w:p>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54" w:name="_Toc434855387"/>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3</w:t>
      </w:r>
    </w:p>
    <w:p>
      <w:pPr>
        <w:pStyle w:val="DefinedTerms"/>
      </w:pPr>
      <w:r>
        <w:t>company</w:t>
      </w:r>
      <w:r>
        <w:tab/>
        <w:t>3</w:t>
      </w:r>
    </w:p>
    <w:p>
      <w:pPr>
        <w:pStyle w:val="DefinedTerms"/>
      </w:pPr>
      <w:r>
        <w:t>costs</w:t>
      </w:r>
      <w:r>
        <w:tab/>
        <w:t>3</w:t>
      </w:r>
    </w:p>
    <w:p>
      <w:pPr>
        <w:pStyle w:val="DefinedTerms"/>
      </w:pPr>
      <w:r>
        <w:t>costs certificate</w:t>
      </w:r>
      <w:r>
        <w:tab/>
        <w:t>3</w:t>
      </w:r>
    </w:p>
    <w:p>
      <w:pPr>
        <w:pStyle w:val="DefinedTerms"/>
      </w:pPr>
      <w:r>
        <w:t>Department</w:t>
      </w:r>
      <w:r>
        <w:tab/>
        <w:t>3</w:t>
      </w:r>
    </w:p>
    <w:p>
      <w:pPr>
        <w:pStyle w:val="DefinedTerms"/>
      </w:pPr>
      <w:r>
        <w:t>foreign company</w:t>
      </w:r>
      <w:r>
        <w:tab/>
        <w:t>3</w:t>
      </w:r>
    </w:p>
    <w:p>
      <w:pPr>
        <w:pStyle w:val="DefinedTerms"/>
      </w:pPr>
      <w:r>
        <w:t>indemnity certificate</w:t>
      </w:r>
      <w:r>
        <w:tab/>
        <w:t>3</w:t>
      </w:r>
    </w:p>
    <w:p>
      <w:pPr>
        <w:pStyle w:val="DefinedTerms"/>
      </w:pPr>
      <w:r>
        <w:t>person under a disability</w:t>
      </w:r>
      <w:r>
        <w:tab/>
        <w:t>14B(1)</w:t>
      </w:r>
    </w:p>
    <w:p>
      <w:pPr>
        <w:pStyle w:val="DefinedTerms"/>
      </w:pPr>
      <w:r>
        <w:t>sequence of appeals</w:t>
      </w:r>
      <w:r>
        <w:tab/>
        <w:t>3</w:t>
      </w:r>
    </w:p>
    <w:p>
      <w:pPr>
        <w:pStyle w:val="DefinedTerms"/>
      </w:pPr>
      <w:r>
        <w:t>settlement</w:t>
      </w:r>
      <w:r>
        <w:tab/>
        <w:t>14B(1)</w:t>
      </w:r>
    </w:p>
    <w:p>
      <w:pPr>
        <w:pStyle w:val="DefinedTerms"/>
      </w:pPr>
      <w:r>
        <w:t>the appellant</w:t>
      </w:r>
      <w:r>
        <w:tab/>
        <w:t>14(1)</w:t>
      </w:r>
    </w:p>
    <w:p>
      <w:pPr>
        <w:pStyle w:val="DefinedTerms"/>
      </w:pPr>
      <w:r>
        <w:t>the Board</w:t>
      </w:r>
      <w:r>
        <w:tab/>
        <w:t>3</w:t>
      </w:r>
    </w:p>
    <w:p>
      <w:pPr>
        <w:pStyle w:val="DefinedTerms"/>
      </w:pPr>
      <w:r>
        <w:t>the Fund</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9A36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3EBB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BC05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3E41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FAEC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DA54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6051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6C22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D68A7C"/>
    <w:lvl w:ilvl="0">
      <w:start w:val="1"/>
      <w:numFmt w:val="decimal"/>
      <w:pStyle w:val="ListNumber"/>
      <w:lvlText w:val="%1."/>
      <w:lvlJc w:val="left"/>
      <w:pPr>
        <w:tabs>
          <w:tab w:val="num" w:pos="360"/>
        </w:tabs>
        <w:ind w:left="360" w:hanging="360"/>
      </w:pPr>
    </w:lvl>
  </w:abstractNum>
  <w:abstractNum w:abstractNumId="9">
    <w:nsid w:val="FFFFFF89"/>
    <w:multiLevelType w:val="singleLevel"/>
    <w:tmpl w:val="52668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DC8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057"/>
    <w:docVar w:name="WAFER_20140203143711" w:val="RemoveTocBookmarks,RemoveUnusedBookmarks,RemoveLanguageTags,UsedStyles,ResetPageSize,UpdateArrangement"/>
    <w:docVar w:name="WAFER_20140203143711_GUID" w:val="3296736d-0b73-42a7-84d9-1f37fe9705b6"/>
    <w:docVar w:name="WAFER_20140203145024" w:val="RemoveTocBookmarks,RunningHeaders"/>
    <w:docVar w:name="WAFER_20140203145024_GUID" w:val="419c2571-8469-4a54-ba6a-32c9f8143b24"/>
    <w:docVar w:name="WAFER_20150721143437" w:val="ResetPageSize,UpdateArrangement,UpdateNTable"/>
    <w:docVar w:name="WAFER_20150721143437_GUID" w:val="6cc15c94-4d64-42a6-b4b0-a53ccec3816f"/>
    <w:docVar w:name="WAFER_20151109175057" w:val="UpdateStyles,UsedStyles"/>
    <w:docVar w:name="WAFER_20151109175057_GUID" w:val="8210da88-226c-441d-9097-bec6473fbf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7608</Words>
  <Characters>33631</Characters>
  <Application>Microsoft Office Word</Application>
  <DocSecurity>0</DocSecurity>
  <Lines>960</Lines>
  <Paragraphs>468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40771</CharactersWithSpaces>
  <SharedDoc>false</SharedDoc>
  <HLinks>
    <vt:vector size="18" baseType="variant">
      <vt:variant>
        <vt:i4>3014716</vt:i4>
      </vt:variant>
      <vt:variant>
        <vt:i4>3580</vt:i4>
      </vt:variant>
      <vt:variant>
        <vt:i4>1027</vt:i4>
      </vt:variant>
      <vt:variant>
        <vt:i4>1</vt:i4>
      </vt:variant>
      <vt:variant>
        <vt:lpwstr>C:\Program Files\PCO DLL\Support\Crest.wpg</vt:lpwstr>
      </vt:variant>
      <vt:variant>
        <vt:lpwstr/>
      </vt:variant>
      <vt:variant>
        <vt:i4>5439608</vt:i4>
      </vt:variant>
      <vt:variant>
        <vt:i4>38137</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1964 - 04-a0-06</dc:title>
  <dc:subject/>
  <dc:creator/>
  <cp:keywords/>
  <dc:description/>
  <cp:lastModifiedBy>svcMRProcess</cp:lastModifiedBy>
  <cp:revision>4</cp:revision>
  <cp:lastPrinted>2010-06-28T07:55:00Z</cp:lastPrinted>
  <dcterms:created xsi:type="dcterms:W3CDTF">2019-02-14T04:01:00Z</dcterms:created>
  <dcterms:modified xsi:type="dcterms:W3CDTF">2019-02-14T04:01:00Z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20100625</vt:lpwstr>
  </property>
  <property fmtid="{D5CDD505-2E9C-101B-9397-08002B2CF9AE}" pid="4" name="DocumentType">
    <vt:lpwstr>Act</vt:lpwstr>
  </property>
  <property fmtid="{D5CDD505-2E9C-101B-9397-08002B2CF9AE}" pid="5" name="OwlsUID">
    <vt:i4>800</vt:i4>
  </property>
  <property fmtid="{D5CDD505-2E9C-101B-9397-08002B2CF9AE}" pid="6" name="ReprintedAsAt">
    <vt:filetime>2010-06-24T16:00:00Z</vt:filetime>
  </property>
  <property fmtid="{D5CDD505-2E9C-101B-9397-08002B2CF9AE}" pid="7" name="ReprintNo">
    <vt:lpwstr>4</vt:lpwstr>
  </property>
  <property fmtid="{D5CDD505-2E9C-101B-9397-08002B2CF9AE}" pid="8" name="AsAtDate">
    <vt:lpwstr>25 Jun 2010</vt:lpwstr>
  </property>
  <property fmtid="{D5CDD505-2E9C-101B-9397-08002B2CF9AE}" pid="9" name="Suffix">
    <vt:lpwstr>04-a0-06</vt:lpwstr>
  </property>
</Properties>
</file>