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_Toc267039020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Old trusts replaced by new trusts</w:t>
      </w:r>
      <w:r>
        <w:rPr>
          <w:noProof/>
        </w:rPr>
        <w:tab/>
      </w:r>
      <w:r>
        <w:rPr>
          <w:noProof/>
        </w:rPr>
        <w:fldChar w:fldCharType="begin"/>
      </w:r>
      <w:r>
        <w:rPr>
          <w:noProof/>
        </w:rPr>
        <w:instrText xml:space="preserve"> PAGEREF _Toc267039021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New trusts and powers</w:t>
      </w:r>
      <w:r>
        <w:rPr>
          <w:noProof/>
        </w:rPr>
        <w:tab/>
      </w:r>
      <w:r>
        <w:rPr>
          <w:noProof/>
        </w:rPr>
        <w:fldChar w:fldCharType="begin"/>
      </w:r>
      <w:r>
        <w:rPr>
          <w:noProof/>
        </w:rPr>
        <w:instrText xml:space="preserve"> PAGEREF _Toc267039022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_Toc267039023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_Toc267039025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_Toc267039026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 xml:space="preserve">An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1" w:name="_Toc411322212"/>
      <w:bookmarkStart w:id="2" w:name="_Toc579501"/>
      <w:bookmarkStart w:id="3" w:name="_Toc1205962"/>
      <w:bookmarkStart w:id="4" w:name="_Toc26703902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5" w:name="_Toc411322213"/>
      <w:bookmarkStart w:id="6" w:name="_Toc579502"/>
      <w:bookmarkStart w:id="7" w:name="_Toc1205963"/>
      <w:bookmarkStart w:id="8" w:name="_Toc267039021"/>
      <w:r>
        <w:rPr>
          <w:rStyle w:val="CharSectno"/>
        </w:rPr>
        <w:t>2</w:t>
      </w:r>
      <w:r>
        <w:rPr>
          <w:snapToGrid w:val="0"/>
        </w:rPr>
        <w:t>.</w:t>
      </w:r>
      <w:r>
        <w:rPr>
          <w:snapToGrid w:val="0"/>
        </w:rPr>
        <w:tab/>
      </w:r>
      <w:bookmarkEnd w:id="5"/>
      <w:bookmarkEnd w:id="6"/>
      <w:r>
        <w:rPr>
          <w:snapToGrid w:val="0"/>
        </w:rPr>
        <w:t>Old trusts replaced by new trusts</w:t>
      </w:r>
      <w:bookmarkEnd w:id="7"/>
      <w:bookmarkEnd w:id="8"/>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9" w:name="_Toc411322214"/>
      <w:bookmarkStart w:id="10" w:name="_Toc579503"/>
      <w:bookmarkStart w:id="11" w:name="_Toc1205964"/>
      <w:bookmarkStart w:id="12" w:name="_Toc267039022"/>
      <w:r>
        <w:rPr>
          <w:rStyle w:val="CharSectno"/>
        </w:rPr>
        <w:t>3</w:t>
      </w:r>
      <w:r>
        <w:rPr>
          <w:snapToGrid w:val="0"/>
        </w:rPr>
        <w:t>.</w:t>
      </w:r>
      <w:r>
        <w:rPr>
          <w:snapToGrid w:val="0"/>
        </w:rPr>
        <w:tab/>
      </w:r>
      <w:bookmarkEnd w:id="9"/>
      <w:bookmarkEnd w:id="10"/>
      <w:r>
        <w:rPr>
          <w:snapToGrid w:val="0"/>
        </w:rPr>
        <w:t>New trusts and powers</w:t>
      </w:r>
      <w:bookmarkEnd w:id="11"/>
      <w:bookmarkEnd w:id="12"/>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First Part of the Schedule,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First Part of the Schedule, or the boundary of any part or subdivision of that land;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First Part of the Schedule,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p>
    <w:p>
      <w:pPr>
        <w:pStyle w:val="Indenta"/>
        <w:rPr>
          <w:snapToGrid w:val="0"/>
        </w:rPr>
      </w:pPr>
      <w:r>
        <w:rPr>
          <w:snapToGrid w:val="0"/>
        </w:rPr>
        <w:tab/>
        <w:t>(d)</w:t>
      </w:r>
      <w:r>
        <w:rPr>
          <w:snapToGrid w:val="0"/>
        </w:rPr>
        <w:tab/>
        <w:t>The Perth Diocesan Trustees is authorised to hold and use the land referred to in the Second Part of the Schedule,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3" w:name="_Toc1205965"/>
    </w:p>
    <w:p>
      <w:pPr>
        <w:pStyle w:val="yScheduleHeading"/>
      </w:pPr>
      <w:bookmarkStart w:id="14" w:name="_Toc267039023"/>
      <w:r>
        <w:rPr>
          <w:rStyle w:val="CharSchNo"/>
        </w:rPr>
        <w:t>Schedule</w:t>
      </w:r>
      <w:bookmarkEnd w:id="13"/>
      <w:bookmarkEnd w:id="14"/>
      <w:r>
        <w:rPr>
          <w:rStyle w:val="CharSchText"/>
        </w:rPr>
        <w:t xml:space="preserve"> </w:t>
      </w:r>
    </w:p>
    <w:p>
      <w:pPr>
        <w:pStyle w:val="yShoulderClause"/>
      </w:pPr>
      <w:r>
        <w:t>[S. 2 and 3]</w:t>
      </w:r>
    </w:p>
    <w:p>
      <w:pPr>
        <w:pStyle w:val="yMiscellaneousHeading"/>
        <w:rPr>
          <w:i/>
          <w:snapToGrid w:val="0"/>
        </w:rPr>
      </w:pPr>
      <w:r>
        <w:rPr>
          <w:i/>
          <w:snapToGrid w:val="0"/>
        </w:rPr>
        <w:t>First Part</w:t>
      </w:r>
    </w:p>
    <w:p>
      <w:pPr>
        <w:pStyle w:val="yMiscellaneousHeading"/>
        <w:rPr>
          <w:snapToGrid w:val="0"/>
        </w:rPr>
      </w:pPr>
      <w:r>
        <w:rPr>
          <w:snapToGrid w:val="0"/>
        </w:rPr>
        <w:t>(Description of the land which is to be used for the Hostel).</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MiscellaneousHeading"/>
        <w:rPr>
          <w:i/>
          <w:snapToGrid w:val="0"/>
        </w:rPr>
      </w:pPr>
      <w:r>
        <w:rPr>
          <w:i/>
          <w:snapToGrid w:val="0"/>
        </w:rPr>
        <w:t>Second Part</w:t>
      </w:r>
    </w:p>
    <w:p>
      <w:pPr>
        <w:pStyle w:val="yMiscellaneousHeading"/>
        <w:spacing w:before="0"/>
        <w:rPr>
          <w:snapToGrid w:val="0"/>
        </w:rPr>
      </w:pPr>
      <w:r>
        <w:rPr>
          <w:snapToGrid w:val="0"/>
        </w:rPr>
        <w:t xml:space="preserve">(Description of land which, or the proceeds of sale of which, </w:t>
      </w:r>
    </w:p>
    <w:p>
      <w:pPr>
        <w:pStyle w:val="yMiscellaneousHeading"/>
        <w:spacing w:before="0"/>
        <w:rPr>
          <w:snapToGrid w:val="0"/>
        </w:rPr>
      </w:pPr>
      <w:r>
        <w:rPr>
          <w:snapToGrid w:val="0"/>
        </w:rPr>
        <w:t>is to be held and used for general ecclesiastical purposes).</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sectPr>
          <w:headerReference w:type="even" r:id="rId25"/>
          <w:headerReference w:type="default" r:id="rId26"/>
          <w:footerReference w:type="even" r:id="rId27"/>
          <w:footerReference w:type="default" r:id="rId28"/>
          <w:headerReference w:type="first" r:id="rId29"/>
          <w:pgSz w:w="11906" w:h="16838" w:code="9"/>
          <w:pgMar w:top="2376" w:right="2405" w:bottom="3542" w:left="2405" w:header="706" w:footer="3528" w:gutter="0"/>
          <w:cols w:space="720"/>
          <w:noEndnote/>
        </w:sectPr>
      </w:pPr>
    </w:p>
    <w:p>
      <w:pPr>
        <w:pStyle w:val="nHeading2"/>
      </w:pPr>
      <w:bookmarkStart w:id="15" w:name="_Toc204489241"/>
      <w:bookmarkStart w:id="16" w:name="_Toc267039024"/>
      <w:r>
        <w:t>Notes</w:t>
      </w:r>
      <w:bookmarkEnd w:id="15"/>
      <w:bookmarkEnd w:id="16"/>
    </w:p>
    <w:p>
      <w:pPr>
        <w:pStyle w:val="nSubsection"/>
        <w:rPr>
          <w:snapToGrid w:val="0"/>
        </w:rPr>
      </w:pPr>
      <w:bookmarkStart w:id="17" w:name="_Toc1205966"/>
      <w:r>
        <w:rPr>
          <w:snapToGrid w:val="0"/>
          <w:vertAlign w:val="superscript"/>
        </w:rPr>
        <w:t>1</w:t>
      </w:r>
      <w:r>
        <w:rPr>
          <w:snapToGrid w:val="0"/>
        </w:rPr>
        <w:tab/>
        <w:t xml:space="preserve">This is a compilation of the </w:t>
      </w:r>
      <w:r>
        <w:rPr>
          <w:i/>
          <w:noProof/>
          <w:snapToGrid w:val="0"/>
        </w:rPr>
        <w:t>Anglican Church of Australia (Swanleigh land and endowments) Act 1979</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8" w:name="_Toc267039025"/>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Anglican Church of Australia (Swanleigh land and endowments) Act 1979</w:t>
            </w:r>
          </w:p>
        </w:tc>
        <w:tc>
          <w:tcPr>
            <w:tcW w:w="1134" w:type="dxa"/>
          </w:tcPr>
          <w:p>
            <w:pPr>
              <w:pStyle w:val="nTable"/>
              <w:spacing w:before="120"/>
              <w:rPr>
                <w:sz w:val="19"/>
              </w:rPr>
            </w:pPr>
            <w:r>
              <w:rPr>
                <w:sz w:val="19"/>
              </w:rPr>
              <w:t>101 of 1979</w:t>
            </w:r>
          </w:p>
        </w:tc>
        <w:tc>
          <w:tcPr>
            <w:tcW w:w="1134" w:type="dxa"/>
          </w:tcPr>
          <w:p>
            <w:pPr>
              <w:pStyle w:val="nTable"/>
              <w:spacing w:before="120"/>
              <w:rPr>
                <w:sz w:val="19"/>
              </w:rPr>
            </w:pPr>
            <w:r>
              <w:rPr>
                <w:sz w:val="19"/>
              </w:rPr>
              <w:t>17 Dec 1979</w:t>
            </w:r>
          </w:p>
        </w:tc>
        <w:tc>
          <w:tcPr>
            <w:tcW w:w="2552" w:type="dxa"/>
          </w:tcPr>
          <w:p>
            <w:pPr>
              <w:pStyle w:val="nTable"/>
              <w:spacing w:before="120"/>
              <w:rPr>
                <w:sz w:val="19"/>
              </w:rPr>
            </w:pPr>
            <w:r>
              <w:rPr>
                <w:sz w:val="19"/>
              </w:rPr>
              <w:t>17 Dec 1979</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(Swanleigh land and endowments) Act 1979</w:t>
            </w:r>
            <w:r>
              <w:rPr>
                <w:b/>
                <w:sz w:val="19"/>
              </w:rPr>
              <w:t xml:space="preserve"> as at 3 May 2002</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7405065"/>
      <w:bookmarkStart w:id="20" w:name="_Toc267039026"/>
      <w:r>
        <w:t>Provisions that have not come into operation</w:t>
      </w:r>
      <w:bookmarkEnd w:id="19"/>
      <w:bookmarkEnd w:id="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8</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 xml:space="preserve">Formerly referred to as the </w:t>
      </w:r>
      <w:r>
        <w:rPr>
          <w:i/>
        </w:rPr>
        <w:t xml:space="preserve">Church of England Lands Vesting Act 1892 </w:t>
      </w:r>
      <w:r>
        <w:t xml:space="preserve"> the name of which was changed to the </w:t>
      </w:r>
      <w:r>
        <w:rPr>
          <w:i/>
        </w:rPr>
        <w:t xml:space="preserve">Anglican Church of Australia Lands Vesting Act 1892 </w:t>
      </w:r>
      <w:r>
        <w:t xml:space="preserve"> by No. 121 of 1976 s. 7.  Reference changed under the </w:t>
      </w:r>
      <w:r>
        <w:rPr>
          <w:i/>
        </w:rPr>
        <w:t>Reprints Act 1984</w:t>
      </w:r>
      <w:r>
        <w:t xml:space="preserve"> s. 7(3)(gb).</w:t>
      </w:r>
    </w:p>
    <w:p>
      <w:pPr>
        <w:pStyle w:val="nSubsection"/>
      </w:pPr>
      <w:r>
        <w:rPr>
          <w:vertAlign w:val="superscript"/>
        </w:rPr>
        <w:t>3</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8 had not come into operation.  It reads as follows:</w:t>
      </w:r>
    </w:p>
    <w:p>
      <w:pPr>
        <w:pStyle w:val="BlankOpen"/>
        <w:rPr>
          <w:snapToGrid w:val="0"/>
        </w:rPr>
      </w:pPr>
      <w:bookmarkStart w:id="21" w:name="_Toc233107680"/>
      <w:bookmarkStart w:id="22" w:name="_Toc255473702"/>
      <w:bookmarkStart w:id="23" w:name="_Toc265583757"/>
    </w:p>
    <w:p>
      <w:pPr>
        <w:pStyle w:val="nzHeading5"/>
        <w:rPr>
          <w:rFonts w:eastAsia="MS Mincho"/>
        </w:rPr>
      </w:pPr>
      <w:r>
        <w:rPr>
          <w:rStyle w:val="CharSectno"/>
          <w:rFonts w:eastAsia="MS Mincho"/>
        </w:rPr>
        <w:t>8</w:t>
      </w:r>
      <w:r>
        <w:rPr>
          <w:rFonts w:eastAsia="MS Mincho"/>
        </w:rPr>
        <w:t>.</w:t>
      </w:r>
      <w:r>
        <w:rPr>
          <w:rFonts w:eastAsia="MS Mincho"/>
        </w:rPr>
        <w:tab/>
      </w:r>
      <w:r>
        <w:rPr>
          <w:rFonts w:eastAsia="MS Mincho"/>
          <w:i/>
        </w:rPr>
        <w:t>Anglican Church of Australia (Swanleigh land and endowments) Act 1979</w:t>
      </w:r>
      <w:r>
        <w:rPr>
          <w:rFonts w:eastAsia="MS Mincho"/>
        </w:rPr>
        <w:t xml:space="preserve"> amended</w:t>
      </w:r>
      <w:bookmarkEnd w:id="21"/>
      <w:bookmarkEnd w:id="22"/>
      <w:bookmarkEnd w:id="23"/>
    </w:p>
    <w:p>
      <w:pPr>
        <w:pStyle w:val="nzSubsection"/>
        <w:rPr>
          <w:rFonts w:eastAsia="MS Mincho"/>
        </w:rPr>
      </w:pPr>
      <w:r>
        <w:rPr>
          <w:rFonts w:eastAsia="MS Mincho"/>
        </w:rPr>
        <w:tab/>
        <w:t>(1)</w:t>
      </w:r>
      <w:r>
        <w:rPr>
          <w:rFonts w:eastAsia="MS Mincho"/>
        </w:rPr>
        <w:tab/>
        <w:t xml:space="preserve">This section amends the </w:t>
      </w:r>
      <w:r>
        <w:rPr>
          <w:rFonts w:eastAsia="MS Mincho"/>
          <w:i/>
          <w:iCs/>
        </w:rPr>
        <w:t>Anglican Church of Australia (Swanleigh land and endowments) Act 1979</w:t>
      </w:r>
      <w:r>
        <w:rPr>
          <w:rFonts w:eastAsia="MS Mincho"/>
        </w:rPr>
        <w:t>.</w:t>
      </w:r>
    </w:p>
    <w:p>
      <w:pPr>
        <w:pStyle w:val="nzSubsection"/>
        <w:rPr>
          <w:rFonts w:eastAsia="MS Mincho"/>
        </w:rPr>
      </w:pPr>
      <w:r>
        <w:rPr>
          <w:rFonts w:eastAsia="MS Mincho"/>
        </w:rPr>
        <w:tab/>
        <w:t>(2)</w:t>
      </w:r>
      <w:r>
        <w:rPr>
          <w:rFonts w:eastAsia="MS Mincho"/>
        </w:rPr>
        <w:tab/>
        <w:t>In section 3(1):</w:t>
      </w:r>
    </w:p>
    <w:p>
      <w:pPr>
        <w:pStyle w:val="nzIndenta"/>
        <w:rPr>
          <w:snapToGrid w:val="0"/>
        </w:rPr>
      </w:pPr>
      <w:r>
        <w:rPr>
          <w:rFonts w:eastAsia="MS Mincho"/>
        </w:rPr>
        <w:tab/>
        <w:t>(a)</w:t>
      </w:r>
      <w:r>
        <w:rPr>
          <w:rFonts w:eastAsia="MS Mincho"/>
        </w:rPr>
        <w:tab/>
        <w:t>in paragraphs (a), (b) and (c) delete “</w:t>
      </w:r>
      <w:r>
        <w:rPr>
          <w:snapToGrid w:val="0"/>
        </w:rPr>
        <w:t>the First Part of the Schedule,” and insert:</w:t>
      </w:r>
    </w:p>
    <w:p>
      <w:pPr>
        <w:pStyle w:val="BlankOpen"/>
        <w:rPr>
          <w:snapToGrid w:val="0"/>
        </w:rPr>
      </w:pPr>
    </w:p>
    <w:p>
      <w:pPr>
        <w:pStyle w:val="nzIndenta"/>
        <w:rPr>
          <w:snapToGrid w:val="0"/>
        </w:rPr>
      </w:pPr>
      <w:r>
        <w:rPr>
          <w:snapToGrid w:val="0"/>
        </w:rPr>
        <w:tab/>
      </w:r>
      <w:r>
        <w:rPr>
          <w:snapToGrid w:val="0"/>
        </w:rPr>
        <w:tab/>
        <w:t>the Schedule Part 1,</w:t>
      </w:r>
    </w:p>
    <w:p>
      <w:pPr>
        <w:pStyle w:val="BlankClose"/>
        <w:rPr>
          <w:rFonts w:eastAsia="MS Mincho"/>
        </w:rPr>
      </w:pPr>
    </w:p>
    <w:p>
      <w:pPr>
        <w:pStyle w:val="nzIndenta"/>
        <w:rPr>
          <w:snapToGrid w:val="0"/>
        </w:rPr>
      </w:pPr>
      <w:r>
        <w:rPr>
          <w:rFonts w:eastAsia="MS Mincho"/>
        </w:rPr>
        <w:tab/>
        <w:t>(b)</w:t>
      </w:r>
      <w:r>
        <w:rPr>
          <w:rFonts w:eastAsia="MS Mincho"/>
        </w:rPr>
        <w:tab/>
        <w:t>in paragraph (d) delete “</w:t>
      </w:r>
      <w:r>
        <w:rPr>
          <w:snapToGrid w:val="0"/>
        </w:rPr>
        <w:t>the Second Part of the Schedule,” and insert:</w:t>
      </w:r>
    </w:p>
    <w:p>
      <w:pPr>
        <w:pStyle w:val="BlankOpen"/>
        <w:rPr>
          <w:snapToGrid w:val="0"/>
        </w:rPr>
      </w:pPr>
    </w:p>
    <w:p>
      <w:pPr>
        <w:pStyle w:val="nzIndenta"/>
        <w:rPr>
          <w:snapToGrid w:val="0"/>
        </w:rPr>
      </w:pPr>
      <w:r>
        <w:rPr>
          <w:snapToGrid w:val="0"/>
        </w:rPr>
        <w:tab/>
      </w:r>
      <w:r>
        <w:rPr>
          <w:snapToGrid w:val="0"/>
        </w:rPr>
        <w:tab/>
        <w:t>the Schedule Part 2,</w:t>
      </w:r>
    </w:p>
    <w:p>
      <w:pPr>
        <w:pStyle w:val="BlankClose"/>
        <w:rPr>
          <w:rFonts w:eastAsia="MS Mincho"/>
        </w:rPr>
      </w:pPr>
    </w:p>
    <w:p>
      <w:pPr>
        <w:pStyle w:val="nzSubsection"/>
        <w:rPr>
          <w:rFonts w:eastAsia="MS Mincho"/>
        </w:rPr>
      </w:pPr>
      <w:r>
        <w:rPr>
          <w:rFonts w:eastAsia="MS Mincho"/>
        </w:rPr>
        <w:tab/>
        <w:t>(3)</w:t>
      </w:r>
      <w:r>
        <w:rPr>
          <w:rFonts w:eastAsia="MS Mincho"/>
        </w:rPr>
        <w:tab/>
        <w:t>In the Schedule:</w:t>
      </w:r>
    </w:p>
    <w:p>
      <w:pPr>
        <w:pStyle w:val="nzIndenta"/>
      </w:pPr>
      <w:r>
        <w:rPr>
          <w:rFonts w:eastAsia="MS Mincho"/>
        </w:rPr>
        <w:tab/>
        <w:t>(a)</w:t>
      </w:r>
      <w:r>
        <w:rPr>
          <w:rFonts w:eastAsia="MS Mincho"/>
        </w:rPr>
        <w:tab/>
        <w:t>delete “</w:t>
      </w:r>
      <w:r>
        <w:rPr>
          <w:b/>
          <w:sz w:val="28"/>
        </w:rPr>
        <w:t>Schedule</w:t>
      </w:r>
      <w:r>
        <w:t>”;</w:t>
      </w:r>
    </w:p>
    <w:p>
      <w:pPr>
        <w:pStyle w:val="nzIndenta"/>
      </w:pPr>
      <w:r>
        <w:rPr>
          <w:rFonts w:eastAsia="MS Mincho"/>
        </w:rPr>
        <w:tab/>
        <w:t>(b)</w:t>
      </w:r>
      <w:r>
        <w:rPr>
          <w:rFonts w:eastAsia="MS Mincho"/>
        </w:rPr>
        <w:tab/>
        <w:t>delete “</w:t>
      </w:r>
      <w:r>
        <w:rPr>
          <w:sz w:val="22"/>
        </w:rPr>
        <w:t>[S. 2 and 3]</w:t>
      </w:r>
      <w:r>
        <w:t>”;</w:t>
      </w:r>
    </w:p>
    <w:p>
      <w:pPr>
        <w:pStyle w:val="nzIndenta"/>
        <w:rPr>
          <w:rFonts w:eastAsia="MS Mincho"/>
        </w:rPr>
      </w:pPr>
      <w:r>
        <w:rPr>
          <w:rFonts w:eastAsia="MS Mincho"/>
        </w:rPr>
        <w:tab/>
        <w:t>(c)</w:t>
      </w:r>
      <w:r>
        <w:rPr>
          <w:rFonts w:eastAsia="MS Mincho"/>
        </w:rPr>
        <w:tab/>
        <w:t>delete “</w:t>
      </w:r>
      <w:r>
        <w:rPr>
          <w:rFonts w:eastAsia="MS Mincho"/>
          <w:i/>
          <w:iCs/>
          <w:sz w:val="22"/>
        </w:rPr>
        <w:t>First Part</w:t>
      </w:r>
      <w:r>
        <w:rPr>
          <w:rFonts w:eastAsia="MS Mincho"/>
        </w:rPr>
        <w:t>”;</w:t>
      </w:r>
    </w:p>
    <w:p>
      <w:pPr>
        <w:pStyle w:val="nzIndenta"/>
        <w:rPr>
          <w:snapToGrid w:val="0"/>
        </w:rPr>
      </w:pPr>
      <w:r>
        <w:rPr>
          <w:rFonts w:eastAsia="MS Mincho"/>
        </w:rPr>
        <w:tab/>
        <w:t>(d)</w:t>
      </w:r>
      <w:r>
        <w:rPr>
          <w:rFonts w:eastAsia="MS Mincho"/>
        </w:rPr>
        <w:tab/>
        <w:t>delete “</w:t>
      </w:r>
      <w:r>
        <w:rPr>
          <w:snapToGrid w:val="0"/>
          <w:sz w:val="22"/>
        </w:rPr>
        <w:t>(Description of the land which is to be used for the Hostel).</w:t>
      </w:r>
      <w:r>
        <w:rPr>
          <w:snapToGrid w:val="0"/>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4" w:name="_Toc232235452"/>
      <w:bookmarkStart w:id="25" w:name="_Toc232235650"/>
      <w:bookmarkStart w:id="26" w:name="_Toc233100520"/>
      <w:bookmarkStart w:id="27" w:name="_Toc233107681"/>
      <w:r>
        <w:rPr>
          <w:rFonts w:eastAsia="MS Mincho"/>
        </w:rPr>
        <w:t>Schedule — Swanleigh lands</w:t>
      </w:r>
      <w:bookmarkEnd w:id="24"/>
      <w:bookmarkEnd w:id="25"/>
      <w:bookmarkEnd w:id="26"/>
      <w:bookmarkEnd w:id="27"/>
    </w:p>
    <w:p>
      <w:pPr>
        <w:pStyle w:val="nzMiscellaneousBody"/>
        <w:jc w:val="right"/>
        <w:rPr>
          <w:rFonts w:eastAsia="MS Mincho"/>
        </w:rPr>
      </w:pPr>
      <w:r>
        <w:rPr>
          <w:rFonts w:eastAsia="MS Mincho"/>
        </w:rPr>
        <w:t>[s. 2 and 3]</w:t>
      </w:r>
    </w:p>
    <w:p>
      <w:pPr>
        <w:pStyle w:val="nzHeading3"/>
        <w:rPr>
          <w:rFonts w:eastAsia="MS Mincho"/>
        </w:rPr>
      </w:pPr>
      <w:bookmarkStart w:id="28" w:name="_Toc232235453"/>
      <w:bookmarkStart w:id="29" w:name="_Toc232235651"/>
      <w:bookmarkStart w:id="30" w:name="_Toc233100521"/>
      <w:bookmarkStart w:id="31" w:name="_Toc233107682"/>
      <w:r>
        <w:rPr>
          <w:rFonts w:eastAsia="MS Mincho"/>
        </w:rPr>
        <w:t>Part 1</w:t>
      </w:r>
      <w:r>
        <w:rPr>
          <w:rFonts w:eastAsia="MS Mincho"/>
          <w:b w:val="0"/>
        </w:rPr>
        <w:t> — </w:t>
      </w:r>
      <w:r>
        <w:rPr>
          <w:snapToGrid w:val="0"/>
        </w:rPr>
        <w:t>Land to be used for hostel</w:t>
      </w:r>
      <w:bookmarkEnd w:id="28"/>
      <w:bookmarkEnd w:id="29"/>
      <w:bookmarkEnd w:id="30"/>
      <w:bookmarkEnd w:id="31"/>
    </w:p>
    <w:p>
      <w:pPr>
        <w:pStyle w:val="BlankClose"/>
      </w:pPr>
    </w:p>
    <w:p>
      <w:pPr>
        <w:pStyle w:val="nzSubsection"/>
        <w:rPr>
          <w:rFonts w:eastAsia="MS Mincho"/>
        </w:rPr>
      </w:pPr>
      <w:r>
        <w:rPr>
          <w:rFonts w:eastAsia="MS Mincho"/>
        </w:rPr>
        <w:tab/>
        <w:t>(4)</w:t>
      </w:r>
      <w:r>
        <w:rPr>
          <w:rFonts w:eastAsia="MS Mincho"/>
        </w:rPr>
        <w:tab/>
        <w:t>In the Schedule:</w:t>
      </w:r>
    </w:p>
    <w:p>
      <w:pPr>
        <w:pStyle w:val="nzIndenta"/>
        <w:rPr>
          <w:snapToGrid w:val="0"/>
        </w:rPr>
      </w:pPr>
      <w:r>
        <w:rPr>
          <w:rFonts w:eastAsia="MS Mincho"/>
        </w:rPr>
        <w:tab/>
        <w:t>(a)</w:t>
      </w:r>
      <w:r>
        <w:rPr>
          <w:rFonts w:eastAsia="MS Mincho"/>
        </w:rPr>
        <w:tab/>
        <w:t>delete “</w:t>
      </w:r>
      <w:r>
        <w:rPr>
          <w:i/>
          <w:snapToGrid w:val="0"/>
          <w:sz w:val="22"/>
        </w:rPr>
        <w:t>Second Part</w:t>
      </w:r>
      <w:r>
        <w:rPr>
          <w:iCs/>
          <w:snapToGrid w:val="0"/>
        </w:rPr>
        <w:t>”;</w:t>
      </w:r>
    </w:p>
    <w:p>
      <w:pPr>
        <w:pStyle w:val="nzIndenta"/>
        <w:rPr>
          <w:snapToGrid w:val="0"/>
        </w:rPr>
      </w:pPr>
      <w:r>
        <w:rPr>
          <w:rFonts w:eastAsia="MS Mincho"/>
        </w:rPr>
        <w:tab/>
        <w:t>(b)</w:t>
      </w:r>
      <w:r>
        <w:rPr>
          <w:rFonts w:eastAsia="MS Mincho"/>
        </w:rPr>
        <w:tab/>
        <w:t>delete “</w:t>
      </w:r>
      <w:r>
        <w:rPr>
          <w:snapToGrid w:val="0"/>
          <w:sz w:val="22"/>
        </w:rPr>
        <w:t>(Description of land which, or the proceeds of sale of which, is to be held and used for general ecclesiastical purposes).</w:t>
      </w:r>
      <w:r>
        <w:rPr>
          <w:snapToGrid w:val="0"/>
        </w:rPr>
        <w:t>”,</w:t>
      </w:r>
    </w:p>
    <w:p>
      <w:pPr>
        <w:pStyle w:val="nzSubsection"/>
      </w:pPr>
      <w:r>
        <w:tab/>
      </w:r>
      <w:r>
        <w:tab/>
        <w:t>and insert:</w:t>
      </w:r>
    </w:p>
    <w:p>
      <w:pPr>
        <w:pStyle w:val="BlankOpen"/>
      </w:pPr>
    </w:p>
    <w:p>
      <w:pPr>
        <w:pStyle w:val="nzHeading3"/>
        <w:rPr>
          <w:rFonts w:eastAsia="MS Mincho"/>
        </w:rPr>
      </w:pPr>
      <w:bookmarkStart w:id="32" w:name="_Toc232235454"/>
      <w:bookmarkStart w:id="33" w:name="_Toc232235652"/>
      <w:bookmarkStart w:id="34" w:name="_Toc233100522"/>
      <w:bookmarkStart w:id="35" w:name="_Toc233107683"/>
      <w:r>
        <w:rPr>
          <w:rFonts w:eastAsia="MS Mincho"/>
        </w:rPr>
        <w:t>Part 2</w:t>
      </w:r>
      <w:r>
        <w:rPr>
          <w:rFonts w:eastAsia="MS Mincho"/>
          <w:b w:val="0"/>
        </w:rPr>
        <w:t> — </w:t>
      </w:r>
      <w:r>
        <w:rPr>
          <w:snapToGrid w:val="0"/>
        </w:rPr>
        <w:t>Land to be used for general ecclesiastical purposes</w:t>
      </w:r>
      <w:bookmarkEnd w:id="32"/>
      <w:bookmarkEnd w:id="33"/>
      <w:bookmarkEnd w:id="34"/>
      <w:bookmarkEnd w:id="35"/>
    </w:p>
    <w:p>
      <w:pPr>
        <w:pStyle w:val="BlankClose"/>
      </w:pPr>
    </w:p>
    <w:p>
      <w:pPr>
        <w:pStyle w:val="BlankClose"/>
      </w:pPr>
    </w:p>
    <w:p>
      <w:bookmarkStart w:id="36" w:name="UpToHere"/>
      <w:bookmarkEnd w:id="36"/>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(Swanleigh land and endowments)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(Swanleigh land and endowments)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(Swanleigh land and endowments) Act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Anglican Church of Australia (Swanleigh land and endowments)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1784</Words>
  <Characters>8671</Characters>
  <Application>Microsoft Office Word</Application>
  <DocSecurity>0</DocSecurity>
  <Lines>255</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1979 - 01-b0-01</dc:title>
  <dc:subject/>
  <dc:creator/>
  <cp:keywords/>
  <dc:description/>
  <cp:lastModifiedBy>svcMRProcess</cp:lastModifiedBy>
  <cp:revision>4</cp:revision>
  <cp:lastPrinted>2002-05-17T07:48:00Z</cp:lastPrinted>
  <dcterms:created xsi:type="dcterms:W3CDTF">2018-08-20T03:18:00Z</dcterms:created>
  <dcterms:modified xsi:type="dcterms:W3CDTF">2018-08-20T03:18:00Z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