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 Support (Adoption of Laws)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 Support (Adoption of Laws) Act 1990</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_Toc267646103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_Toc267646104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 xml:space="preserve">Construction of references to </w:t>
      </w:r>
      <w:r>
        <w:rPr>
          <w:i/>
          <w:snapToGrid w:val="0"/>
          <w:szCs w:val="24"/>
        </w:rPr>
        <w:t>Child Support (Registration and Collection) Act 1988</w:t>
      </w:r>
      <w:r>
        <w:rPr>
          <w:snapToGrid w:val="0"/>
          <w:szCs w:val="24"/>
        </w:rPr>
        <w:t xml:space="preserve"> of the Commonwealth</w:t>
      </w:r>
      <w:r>
        <w:tab/>
      </w:r>
      <w:r>
        <w:fldChar w:fldCharType="begin"/>
      </w:r>
      <w:r>
        <w:instrText xml:space="preserve"> PAGEREF _Toc267646105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 xml:space="preserve">Construction of references to </w:t>
      </w:r>
      <w:r>
        <w:rPr>
          <w:i/>
          <w:snapToGrid w:val="0"/>
          <w:szCs w:val="24"/>
        </w:rPr>
        <w:t>Child Support (Assessment) Act 1989</w:t>
      </w:r>
      <w:r>
        <w:rPr>
          <w:snapToGrid w:val="0"/>
          <w:szCs w:val="24"/>
        </w:rPr>
        <w:t xml:space="preserve"> of the Commonwealth</w:t>
      </w:r>
      <w:r>
        <w:tab/>
      </w:r>
      <w:r>
        <w:fldChar w:fldCharType="begin"/>
      </w:r>
      <w:r>
        <w:instrText xml:space="preserve"> PAGEREF _Toc267646106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 xml:space="preserve">Adoption of </w:t>
      </w:r>
      <w:r>
        <w:rPr>
          <w:i/>
          <w:snapToGrid w:val="0"/>
          <w:szCs w:val="24"/>
        </w:rPr>
        <w:t>Child Support (Registration and Collection) Act 1988</w:t>
      </w:r>
      <w:r>
        <w:rPr>
          <w:snapToGrid w:val="0"/>
          <w:szCs w:val="24"/>
        </w:rPr>
        <w:t xml:space="preserve">, and </w:t>
      </w:r>
      <w:r>
        <w:rPr>
          <w:i/>
          <w:snapToGrid w:val="0"/>
          <w:szCs w:val="24"/>
        </w:rPr>
        <w:t>Child Support (Assessment) Act 1989</w:t>
      </w:r>
      <w:r>
        <w:rPr>
          <w:snapToGrid w:val="0"/>
          <w:szCs w:val="24"/>
        </w:rPr>
        <w:t>, of the Commonwealth</w:t>
      </w:r>
      <w:r>
        <w:tab/>
      </w:r>
      <w:r>
        <w:fldChar w:fldCharType="begin"/>
      </w:r>
      <w:r>
        <w:instrText xml:space="preserve"> PAGEREF _Toc267646107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 xml:space="preserve">Governor authorised to make certain arrangements for purposes of section 20 of </w:t>
      </w:r>
      <w:r>
        <w:rPr>
          <w:i/>
          <w:snapToGrid w:val="0"/>
          <w:szCs w:val="24"/>
        </w:rPr>
        <w:t>Child Support (Registration and Collection) Act 1988</w:t>
      </w:r>
      <w:r>
        <w:rPr>
          <w:snapToGrid w:val="0"/>
          <w:szCs w:val="24"/>
        </w:rPr>
        <w:t xml:space="preserve"> of the Commonwealth</w:t>
      </w:r>
      <w:r>
        <w:tab/>
      </w:r>
      <w:r>
        <w:fldChar w:fldCharType="begin"/>
      </w:r>
      <w:r>
        <w:instrText xml:space="preserve"> PAGEREF _Toc267646108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Termination of adoption</w:t>
      </w:r>
      <w:r>
        <w:tab/>
      </w:r>
      <w:r>
        <w:fldChar w:fldCharType="begin"/>
      </w:r>
      <w:r>
        <w:instrText xml:space="preserve"> PAGEREF _Toc267646109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Repeal</w:t>
      </w:r>
      <w:r>
        <w:tab/>
      </w:r>
      <w:r>
        <w:fldChar w:fldCharType="begin"/>
      </w:r>
      <w:r>
        <w:instrText xml:space="preserve"> PAGEREF _Toc267646110 \h </w:instrText>
      </w:r>
      <w:r>
        <w:fldChar w:fldCharType="separate"/>
      </w:r>
      <w:r>
        <w:t>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_Toc267646112 \h </w:instrText>
      </w:r>
      <w:r>
        <w:fldChar w:fldCharType="separate"/>
      </w:r>
      <w:r>
        <w:t>5</w:t>
      </w:r>
      <w:r>
        <w:fldChar w:fldCharType="end"/>
      </w:r>
    </w:p>
    <w:p>
      <w:pPr>
        <w:pStyle w:val="TOC8"/>
        <w:rPr>
          <w:sz w:val="24"/>
        </w:rPr>
      </w:pPr>
      <w:r>
        <w:tab/>
        <w:t>Provisions that have not come into operation</w:t>
      </w:r>
      <w:r>
        <w:tab/>
      </w:r>
      <w:r>
        <w:fldChar w:fldCharType="begin"/>
      </w:r>
      <w:r>
        <w:instrText xml:space="preserve"> PAGEREF _Toc267646113 \h </w:instrText>
      </w:r>
      <w:r>
        <w:fldChar w:fldCharType="separate"/>
      </w:r>
      <w:r>
        <w:t>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Child Support (Adoption of Laws) Act 1990 </w:t>
      </w:r>
    </w:p>
    <w:p>
      <w:pPr>
        <w:pStyle w:val="LongTitle"/>
        <w:rPr>
          <w:snapToGrid w:val="0"/>
        </w:rPr>
      </w:pPr>
      <w:r>
        <w:rPr>
          <w:snapToGrid w:val="0"/>
        </w:rPr>
        <w:t xml:space="preserve">An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pPr>
        <w:pStyle w:val="Preamble1"/>
      </w:pPr>
      <w:r>
        <w:t xml:space="preserve"> </w:t>
      </w:r>
    </w:p>
    <w:p>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pPr>
        <w:pStyle w:val="Enactment"/>
        <w:spacing w:before="400"/>
      </w:pPr>
      <w:r>
        <w:t>The Parliament of Western Australia enacts as follows:</w:t>
      </w:r>
    </w:p>
    <w:p>
      <w:pPr>
        <w:pStyle w:val="Heading5"/>
        <w:rPr>
          <w:snapToGrid w:val="0"/>
        </w:rPr>
      </w:pPr>
      <w:bookmarkStart w:id="2" w:name="_Toc27273895"/>
      <w:bookmarkStart w:id="3" w:name="_Toc140374964"/>
      <w:bookmarkStart w:id="4" w:name="_Toc26764610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5" w:name="_Toc27273896"/>
      <w:bookmarkStart w:id="6" w:name="_Toc140374965"/>
      <w:bookmarkStart w:id="7" w:name="_Toc267646104"/>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8" w:name="_Toc27273897"/>
      <w:bookmarkStart w:id="9" w:name="_Toc140374966"/>
      <w:bookmarkStart w:id="10" w:name="_Toc267646105"/>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8"/>
      <w:bookmarkEnd w:id="9"/>
      <w:bookmarkEnd w:id="10"/>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pPr>
        <w:pStyle w:val="Indenta"/>
        <w:rPr>
          <w:snapToGrid w:val="0"/>
        </w:rPr>
      </w:pPr>
      <w:r>
        <w:rPr>
          <w:snapToGrid w:val="0"/>
        </w:rPr>
        <w:tab/>
        <w:t>(a)</w:t>
      </w:r>
      <w:r>
        <w:rPr>
          <w:snapToGrid w:val="0"/>
        </w:rPr>
        <w:tab/>
        <w:t xml:space="preserve">is a reference to that Act in the form in which that Act existed </w:t>
      </w:r>
      <w:r>
        <w:t xml:space="preserve">on 1 July 2008; </w:t>
      </w:r>
      <w:r>
        <w:rPr>
          <w:snapToGrid w:val="0"/>
        </w:rPr>
        <w:t>and</w:t>
      </w:r>
    </w:p>
    <w:p>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3 amended by No. 72 of 1994 s. 5; No 21 of 2000 s. 5; No. 41 of 2002 s. 4; No. 35 of 2006 s. 198; No. 29 of 2007 s. 5(1), 6 and 7.] </w:t>
      </w:r>
    </w:p>
    <w:p>
      <w:pPr>
        <w:pStyle w:val="Heading5"/>
        <w:rPr>
          <w:snapToGrid w:val="0"/>
        </w:rPr>
      </w:pPr>
      <w:bookmarkStart w:id="11" w:name="_Toc27273898"/>
      <w:bookmarkStart w:id="12" w:name="_Toc140374967"/>
      <w:bookmarkStart w:id="13" w:name="_Toc267646106"/>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pPr>
        <w:pStyle w:val="Ednotepara"/>
        <w:rPr>
          <w:snapToGrid w:val="0"/>
        </w:rPr>
      </w:pPr>
      <w:r>
        <w:tab/>
        <w:t>[(a)</w:t>
      </w:r>
      <w:r>
        <w:tab/>
        <w:t>repealed]</w:t>
      </w:r>
    </w:p>
    <w:p>
      <w:pPr>
        <w:pStyle w:val="Indenta"/>
        <w:rPr>
          <w:snapToGrid w:val="0"/>
        </w:rPr>
      </w:pPr>
      <w:r>
        <w:rPr>
          <w:snapToGrid w:val="0"/>
        </w:rPr>
        <w:tab/>
        <w:t>(b)</w:t>
      </w:r>
      <w:r>
        <w:rPr>
          <w:snapToGrid w:val="0"/>
        </w:rPr>
        <w:tab/>
        <w:t xml:space="preserve">is a reference to that Act in the form in which that Act existed </w:t>
      </w:r>
      <w:r>
        <w:t xml:space="preserve">on 1 July 2008; </w:t>
      </w:r>
      <w:r>
        <w:rPr>
          <w:snapToGrid w:val="0"/>
        </w:rPr>
        <w:t>and</w:t>
      </w:r>
    </w:p>
    <w:p>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4 amended by No. 72 of 1994 s. 6; No 21 of 2000 s. 6; No. 41 of 2002 s. 4; No. 35 of 2006 s. 199; No. 29 of 2007 s. 5, 6 and 7.] </w:t>
      </w:r>
    </w:p>
    <w:p>
      <w:pPr>
        <w:pStyle w:val="Heading5"/>
        <w:rPr>
          <w:snapToGrid w:val="0"/>
        </w:rPr>
      </w:pPr>
      <w:bookmarkStart w:id="14" w:name="_Toc27273899"/>
      <w:bookmarkStart w:id="15" w:name="_Toc140374968"/>
      <w:bookmarkStart w:id="16" w:name="_Toc267646107"/>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adopts</w:t>
      </w:r>
      <w:r>
        <w:t xml:space="preserve"> shall be construed in accordance with the meaning attributed to “adopt” in section 51(xxxvii) of the Constitution of the Commonwealth.</w:t>
      </w:r>
    </w:p>
    <w:p>
      <w:pPr>
        <w:pStyle w:val="Heading5"/>
        <w:rPr>
          <w:snapToGrid w:val="0"/>
        </w:rPr>
      </w:pPr>
      <w:bookmarkStart w:id="17" w:name="_Toc27273900"/>
      <w:bookmarkStart w:id="18" w:name="_Toc140374969"/>
      <w:bookmarkStart w:id="19" w:name="_Toc267646108"/>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20" w:name="_Toc27273901"/>
      <w:bookmarkStart w:id="21" w:name="_Toc140374970"/>
      <w:bookmarkStart w:id="22" w:name="_Toc267646109"/>
      <w:r>
        <w:rPr>
          <w:rStyle w:val="CharSectno"/>
        </w:rPr>
        <w:t>7</w:t>
      </w:r>
      <w:r>
        <w:rPr>
          <w:snapToGrid w:val="0"/>
        </w:rPr>
        <w:t>.</w:t>
      </w:r>
      <w:r>
        <w:rPr>
          <w:snapToGrid w:val="0"/>
        </w:rPr>
        <w:tab/>
        <w:t>Termination of adoption</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Heading5"/>
        <w:rPr>
          <w:snapToGrid w:val="0"/>
        </w:rPr>
      </w:pPr>
      <w:bookmarkStart w:id="23" w:name="_Toc27273902"/>
      <w:bookmarkStart w:id="24" w:name="_Toc140374971"/>
      <w:bookmarkStart w:id="25" w:name="_Toc267646110"/>
      <w:r>
        <w:rPr>
          <w:rStyle w:val="CharSectno"/>
        </w:rPr>
        <w:t>8</w:t>
      </w:r>
      <w:r>
        <w:rPr>
          <w:snapToGrid w:val="0"/>
        </w:rPr>
        <w:t>.</w:t>
      </w:r>
      <w:r>
        <w:rPr>
          <w:snapToGrid w:val="0"/>
        </w:rPr>
        <w:tab/>
        <w:t>Repeal</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6" w:name="_Toc140374972"/>
      <w:bookmarkStart w:id="27" w:name="_Toc140375035"/>
      <w:bookmarkStart w:id="28" w:name="_Toc140393679"/>
      <w:bookmarkStart w:id="29" w:name="_Toc140393740"/>
      <w:bookmarkStart w:id="30" w:name="_Toc140892540"/>
      <w:bookmarkStart w:id="31" w:name="_Toc142129376"/>
      <w:bookmarkStart w:id="32" w:name="_Toc181681418"/>
      <w:bookmarkStart w:id="33" w:name="_Toc185394518"/>
      <w:bookmarkStart w:id="34" w:name="_Toc202175066"/>
      <w:bookmarkStart w:id="35" w:name="_Toc267646111"/>
      <w:r>
        <w:t>Notes</w:t>
      </w:r>
      <w:bookmarkEnd w:id="26"/>
      <w:bookmarkEnd w:id="27"/>
      <w:bookmarkEnd w:id="28"/>
      <w:bookmarkEnd w:id="29"/>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6" w:name="_Toc140374973"/>
      <w:bookmarkStart w:id="37" w:name="_Toc267646112"/>
      <w:r>
        <w:rPr>
          <w:snapToGrid w:val="0"/>
        </w:rP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Child Support (Adoption of Laws) Act 1990</w:t>
            </w:r>
          </w:p>
        </w:tc>
        <w:tc>
          <w:tcPr>
            <w:tcW w:w="1134" w:type="dxa"/>
          </w:tcPr>
          <w:p>
            <w:pPr>
              <w:pStyle w:val="nTable"/>
              <w:rPr>
                <w:sz w:val="19"/>
              </w:rPr>
            </w:pPr>
            <w:r>
              <w:rPr>
                <w:sz w:val="19"/>
              </w:rPr>
              <w:t>98 of 1990</w:t>
            </w:r>
          </w:p>
        </w:tc>
        <w:tc>
          <w:tcPr>
            <w:tcW w:w="1134" w:type="dxa"/>
          </w:tcPr>
          <w:p>
            <w:pPr>
              <w:pStyle w:val="nTable"/>
              <w:rPr>
                <w:sz w:val="19"/>
              </w:rPr>
            </w:pPr>
            <w:r>
              <w:rPr>
                <w:sz w:val="19"/>
              </w:rPr>
              <w:t>22 Dec 1990</w:t>
            </w:r>
          </w:p>
        </w:tc>
        <w:tc>
          <w:tcPr>
            <w:tcW w:w="2551" w:type="dxa"/>
          </w:tcPr>
          <w:p>
            <w:pPr>
              <w:pStyle w:val="nTable"/>
              <w:rPr>
                <w:sz w:val="19"/>
              </w:rPr>
            </w:pPr>
            <w:r>
              <w:rPr>
                <w:sz w:val="19"/>
              </w:rPr>
              <w:t>19 Jan 1991 (see s. 2)</w:t>
            </w:r>
          </w:p>
        </w:tc>
      </w:tr>
      <w:tr>
        <w:tc>
          <w:tcPr>
            <w:tcW w:w="2268" w:type="dxa"/>
          </w:tcPr>
          <w:p>
            <w:pPr>
              <w:pStyle w:val="nTable"/>
              <w:rPr>
                <w:sz w:val="19"/>
              </w:rPr>
            </w:pPr>
            <w:r>
              <w:rPr>
                <w:i/>
                <w:sz w:val="19"/>
              </w:rPr>
              <w:t>Child Support (Adoption of Laws) Amendment Act 1994</w:t>
            </w:r>
          </w:p>
        </w:tc>
        <w:tc>
          <w:tcPr>
            <w:tcW w:w="1134" w:type="dxa"/>
          </w:tcPr>
          <w:p>
            <w:pPr>
              <w:pStyle w:val="nTable"/>
              <w:rPr>
                <w:sz w:val="19"/>
              </w:rPr>
            </w:pPr>
            <w:r>
              <w:rPr>
                <w:sz w:val="19"/>
              </w:rPr>
              <w:t>72 of 1994</w:t>
            </w:r>
          </w:p>
        </w:tc>
        <w:tc>
          <w:tcPr>
            <w:tcW w:w="1134" w:type="dxa"/>
          </w:tcPr>
          <w:p>
            <w:pPr>
              <w:pStyle w:val="nTable"/>
              <w:rPr>
                <w:sz w:val="19"/>
              </w:rPr>
            </w:pPr>
            <w:r>
              <w:rPr>
                <w:sz w:val="19"/>
              </w:rPr>
              <w:t>9 Dec 1994</w:t>
            </w:r>
          </w:p>
        </w:tc>
        <w:tc>
          <w:tcPr>
            <w:tcW w:w="2551" w:type="dxa"/>
          </w:tcPr>
          <w:p>
            <w:pPr>
              <w:pStyle w:val="nTable"/>
              <w:rPr>
                <w:sz w:val="19"/>
              </w:rPr>
            </w:pPr>
            <w:r>
              <w:rPr>
                <w:sz w:val="19"/>
              </w:rPr>
              <w:t>9 Dec 1994 (see s. 2)</w:t>
            </w:r>
          </w:p>
        </w:tc>
      </w:tr>
      <w:tr>
        <w:tc>
          <w:tcPr>
            <w:tcW w:w="2268" w:type="dxa"/>
          </w:tcPr>
          <w:p>
            <w:pPr>
              <w:pStyle w:val="nTable"/>
              <w:rPr>
                <w:sz w:val="19"/>
                <w:vertAlign w:val="superscript"/>
              </w:rPr>
            </w:pPr>
            <w:r>
              <w:rPr>
                <w:i/>
                <w:sz w:val="19"/>
              </w:rPr>
              <w:t>Child Support (Adoption of Laws) Amendment Act 2000</w:t>
            </w:r>
          </w:p>
        </w:tc>
        <w:tc>
          <w:tcPr>
            <w:tcW w:w="1134" w:type="dxa"/>
          </w:tcPr>
          <w:p>
            <w:pPr>
              <w:pStyle w:val="nTable"/>
              <w:rPr>
                <w:sz w:val="19"/>
              </w:rPr>
            </w:pPr>
            <w:r>
              <w:rPr>
                <w:sz w:val="19"/>
              </w:rPr>
              <w:t xml:space="preserve">21 of 2000 </w:t>
            </w:r>
          </w:p>
        </w:tc>
        <w:tc>
          <w:tcPr>
            <w:tcW w:w="1134" w:type="dxa"/>
          </w:tcPr>
          <w:p>
            <w:pPr>
              <w:pStyle w:val="nTable"/>
              <w:rPr>
                <w:sz w:val="19"/>
              </w:rPr>
            </w:pPr>
            <w:r>
              <w:rPr>
                <w:sz w:val="19"/>
              </w:rPr>
              <w:t>30 Jun 2000</w:t>
            </w:r>
          </w:p>
        </w:tc>
        <w:tc>
          <w:tcPr>
            <w:tcW w:w="2551" w:type="dxa"/>
          </w:tcPr>
          <w:p>
            <w:pPr>
              <w:pStyle w:val="nTable"/>
              <w:rPr>
                <w:sz w:val="19"/>
              </w:rPr>
            </w:pPr>
            <w:r>
              <w:rPr>
                <w:sz w:val="19"/>
              </w:rPr>
              <w:t>30 Jun 2000 (see s. 2)</w:t>
            </w:r>
          </w:p>
        </w:tc>
      </w:tr>
      <w:tr>
        <w:tc>
          <w:tcPr>
            <w:tcW w:w="2268" w:type="dxa"/>
          </w:tcPr>
          <w:p>
            <w:pPr>
              <w:pStyle w:val="nTable"/>
              <w:rPr>
                <w:i/>
                <w:sz w:val="19"/>
                <w:vertAlign w:val="superscript"/>
              </w:rPr>
            </w:pPr>
            <w:r>
              <w:rPr>
                <w:i/>
                <w:sz w:val="19"/>
              </w:rPr>
              <w:t>Child Support (Adoption of Laws) Amendment Act 2002</w:t>
            </w:r>
            <w:r>
              <w:rPr>
                <w:sz w:val="19"/>
                <w:vertAlign w:val="superscript"/>
              </w:rPr>
              <w:t> 2</w:t>
            </w:r>
          </w:p>
        </w:tc>
        <w:tc>
          <w:tcPr>
            <w:tcW w:w="1134" w:type="dxa"/>
          </w:tcPr>
          <w:p>
            <w:pPr>
              <w:pStyle w:val="nTable"/>
              <w:rPr>
                <w:sz w:val="19"/>
              </w:rPr>
            </w:pPr>
            <w:r>
              <w:rPr>
                <w:sz w:val="19"/>
              </w:rPr>
              <w:t>41 of 2002</w:t>
            </w:r>
          </w:p>
        </w:tc>
        <w:tc>
          <w:tcPr>
            <w:tcW w:w="1134" w:type="dxa"/>
          </w:tcPr>
          <w:p>
            <w:pPr>
              <w:pStyle w:val="nTable"/>
              <w:rPr>
                <w:sz w:val="19"/>
              </w:rPr>
            </w:pPr>
            <w:r>
              <w:rPr>
                <w:sz w:val="19"/>
              </w:rPr>
              <w:t>9 Dec 2002</w:t>
            </w:r>
          </w:p>
        </w:tc>
        <w:tc>
          <w:tcPr>
            <w:tcW w:w="2551" w:type="dxa"/>
          </w:tcPr>
          <w:p>
            <w:pPr>
              <w:pStyle w:val="nTable"/>
              <w:rPr>
                <w:sz w:val="19"/>
              </w:rPr>
            </w:pPr>
            <w:r>
              <w:rPr>
                <w:sz w:val="19"/>
              </w:rPr>
              <w:t>9 Dec 2002 (see s. 2)</w:t>
            </w:r>
          </w:p>
        </w:tc>
      </w:tr>
      <w:tr>
        <w:trPr>
          <w:cantSplit/>
        </w:trPr>
        <w:tc>
          <w:tcPr>
            <w:tcW w:w="7087" w:type="dxa"/>
            <w:gridSpan w:val="4"/>
          </w:tcPr>
          <w:p>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r>
        <w:tc>
          <w:tcPr>
            <w:tcW w:w="2268" w:type="dxa"/>
          </w:tcPr>
          <w:p>
            <w:pPr>
              <w:pStyle w:val="nTable"/>
              <w:rPr>
                <w:iCs/>
                <w:sz w:val="19"/>
              </w:rPr>
            </w:pPr>
            <w:r>
              <w:rPr>
                <w:i/>
                <w:sz w:val="19"/>
              </w:rPr>
              <w:t>Family Legislation Amendment Act 2006</w:t>
            </w:r>
            <w:r>
              <w:rPr>
                <w:iCs/>
                <w:sz w:val="19"/>
              </w:rPr>
              <w:t xml:space="preserve"> Pt. 5</w:t>
            </w:r>
            <w:r>
              <w:rPr>
                <w:iCs/>
                <w:sz w:val="19"/>
                <w:vertAlign w:val="superscript"/>
              </w:rPr>
              <w:t> 3</w:t>
            </w:r>
          </w:p>
        </w:tc>
        <w:tc>
          <w:tcPr>
            <w:tcW w:w="1134" w:type="dxa"/>
          </w:tcPr>
          <w:p>
            <w:pPr>
              <w:pStyle w:val="nTable"/>
              <w:rPr>
                <w:sz w:val="19"/>
              </w:rPr>
            </w:pPr>
            <w:r>
              <w:rPr>
                <w:sz w:val="19"/>
              </w:rPr>
              <w:t>35 of 2006</w:t>
            </w:r>
          </w:p>
        </w:tc>
        <w:tc>
          <w:tcPr>
            <w:tcW w:w="1134" w:type="dxa"/>
          </w:tcPr>
          <w:p>
            <w:pPr>
              <w:pStyle w:val="nTable"/>
              <w:rPr>
                <w:sz w:val="19"/>
              </w:rPr>
            </w:pPr>
            <w:r>
              <w:rPr>
                <w:sz w:val="19"/>
              </w:rPr>
              <w:t>4 Jul 2006</w:t>
            </w:r>
          </w:p>
        </w:tc>
        <w:tc>
          <w:tcPr>
            <w:tcW w:w="2551" w:type="dxa"/>
          </w:tcPr>
          <w:p>
            <w:pPr>
              <w:pStyle w:val="nTable"/>
              <w:rPr>
                <w:sz w:val="19"/>
              </w:rPr>
            </w:pPr>
            <w:r>
              <w:rPr>
                <w:sz w:val="19"/>
              </w:rPr>
              <w:t xml:space="preserve">1 Aug 2006 (see s. 2 and </w:t>
            </w:r>
            <w:r>
              <w:rPr>
                <w:i/>
                <w:iCs/>
                <w:sz w:val="19"/>
              </w:rPr>
              <w:t>Gazette</w:t>
            </w:r>
            <w:r>
              <w:rPr>
                <w:sz w:val="19"/>
              </w:rPr>
              <w:t xml:space="preserve"> 14 Jul 2006 p. 2559)</w:t>
            </w:r>
          </w:p>
        </w:tc>
      </w:tr>
      <w:tr>
        <w:tc>
          <w:tcPr>
            <w:tcW w:w="2268" w:type="dxa"/>
            <w:tcBorders>
              <w:bottom w:val="single" w:sz="4" w:space="0" w:color="auto"/>
            </w:tcBorders>
          </w:tcPr>
          <w:p>
            <w:pPr>
              <w:pStyle w:val="nTable"/>
              <w:rPr>
                <w:i/>
                <w:iCs/>
                <w:sz w:val="19"/>
                <w:vertAlign w:val="superscript"/>
              </w:rPr>
            </w:pPr>
            <w:r>
              <w:rPr>
                <w:i/>
                <w:sz w:val="19"/>
              </w:rPr>
              <w:t>Child Support (Adoption of Laws) Amendment Act 2007</w:t>
            </w:r>
            <w:r>
              <w:rPr>
                <w:sz w:val="19"/>
                <w:vertAlign w:val="superscript"/>
              </w:rPr>
              <w:t> </w:t>
            </w:r>
          </w:p>
        </w:tc>
        <w:tc>
          <w:tcPr>
            <w:tcW w:w="1134" w:type="dxa"/>
            <w:tcBorders>
              <w:bottom w:val="single" w:sz="4" w:space="0" w:color="auto"/>
            </w:tcBorders>
          </w:tcPr>
          <w:p>
            <w:pPr>
              <w:pStyle w:val="nTable"/>
              <w:rPr>
                <w:sz w:val="19"/>
              </w:rPr>
            </w:pPr>
            <w:r>
              <w:rPr>
                <w:sz w:val="19"/>
              </w:rPr>
              <w:t>29 of 2007</w:t>
            </w:r>
          </w:p>
        </w:tc>
        <w:tc>
          <w:tcPr>
            <w:tcW w:w="1134" w:type="dxa"/>
            <w:tcBorders>
              <w:bottom w:val="single" w:sz="4" w:space="0" w:color="auto"/>
            </w:tcBorders>
          </w:tcPr>
          <w:p>
            <w:pPr>
              <w:pStyle w:val="nTable"/>
              <w:rPr>
                <w:sz w:val="19"/>
              </w:rPr>
            </w:pPr>
            <w:r>
              <w:rPr>
                <w:sz w:val="19"/>
              </w:rPr>
              <w:t>31 Oct 2007</w:t>
            </w:r>
          </w:p>
        </w:tc>
        <w:tc>
          <w:tcPr>
            <w:tcW w:w="2551" w:type="dxa"/>
            <w:tcBorders>
              <w:bottom w:val="single" w:sz="4" w:space="0" w:color="auto"/>
            </w:tcBorders>
          </w:tcPr>
          <w:p>
            <w:pPr>
              <w:pStyle w:val="nTable"/>
              <w:rPr>
                <w:sz w:val="19"/>
              </w:rPr>
            </w:pPr>
            <w:r>
              <w:rPr>
                <w:sz w:val="19"/>
              </w:rPr>
              <w:t>s. 1 and 2: 31 Oct 2007 (see s. 2(a));</w:t>
            </w:r>
            <w:r>
              <w:rPr>
                <w:sz w:val="19"/>
              </w:rPr>
              <w:br/>
              <w:t>s. 4 and 5: 1 Nov 2007 (see s. 2(d))</w:t>
            </w:r>
            <w:r>
              <w:rPr>
                <w:sz w:val="19"/>
              </w:rPr>
              <w:br/>
              <w:t>s. 6: 1 Jan 2008 (see s. 2(b))</w:t>
            </w:r>
          </w:p>
          <w:p>
            <w:pPr>
              <w:pStyle w:val="nTable"/>
              <w:rPr>
                <w:sz w:val="19"/>
              </w:rPr>
            </w:pPr>
            <w:r>
              <w:rPr>
                <w:sz w:val="19"/>
              </w:rPr>
              <w:t>s. 7: 1 Jul 2008 (see s. 2(c))</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 w:name="_Toc7405065"/>
      <w:bookmarkStart w:id="39" w:name="_Toc267646113"/>
      <w:r>
        <w:t>Provisions that have not come into operation</w:t>
      </w:r>
      <w:bookmarkEnd w:id="38"/>
      <w:bookmarkEnd w:id="3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vertAlign w:val="superscript"/>
                <w:lang w:val="en-US"/>
              </w:rPr>
            </w:pPr>
            <w:r>
              <w:rPr>
                <w:i/>
                <w:snapToGrid w:val="0"/>
                <w:sz w:val="19"/>
                <w:lang w:val="en-US"/>
              </w:rPr>
              <w:t>Standardisation of Formatting Act 2010</w:t>
            </w:r>
            <w:r>
              <w:rPr>
                <w:iCs/>
                <w:snapToGrid w:val="0"/>
                <w:sz w:val="19"/>
                <w:lang w:val="en-US"/>
              </w:rPr>
              <w:t xml:space="preserve"> s. 50</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w:t>
      </w:r>
      <w:r>
        <w:rPr>
          <w:i/>
        </w:rPr>
        <w:t xml:space="preserve">Child Support (Adoption of Laws) Amendment Act 2002 </w:t>
      </w:r>
      <w:r>
        <w:t xml:space="preserve">s. 3 reads as follows: </w:t>
      </w:r>
    </w:p>
    <w:p>
      <w:pPr>
        <w:pStyle w:val="MiscOpen"/>
      </w:pPr>
      <w:r>
        <w:t>“</w:t>
      </w: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MiscClose"/>
      </w:pPr>
      <w:r>
        <w:t>”.</w:t>
      </w:r>
    </w:p>
    <w:p>
      <w:pPr>
        <w:pStyle w:val="nSubsection"/>
        <w:spacing w:before="200"/>
        <w:rPr>
          <w:snapToGrid w:val="0"/>
        </w:rPr>
      </w:pPr>
      <w:r>
        <w:rPr>
          <w:snapToGrid w:val="0"/>
          <w:vertAlign w:val="superscript"/>
        </w:rPr>
        <w:t>3</w:t>
      </w:r>
      <w:r>
        <w:rPr>
          <w:snapToGrid w:val="0"/>
        </w:rPr>
        <w:tab/>
        <w:t xml:space="preserve">The </w:t>
      </w:r>
      <w:r>
        <w:rPr>
          <w:i/>
          <w:iCs/>
          <w:snapToGrid w:val="0"/>
        </w:rPr>
        <w:t>Family Legislation Amendment Act 2006</w:t>
      </w:r>
      <w:r>
        <w:rPr>
          <w:snapToGrid w:val="0"/>
        </w:rPr>
        <w:t xml:space="preserve"> s. 196 reads as follows:</w:t>
      </w:r>
    </w:p>
    <w:p>
      <w:pPr>
        <w:pStyle w:val="MiscOpen"/>
        <w:spacing w:before="60"/>
      </w:pPr>
      <w:r>
        <w:t xml:space="preserve">“ </w:t>
      </w:r>
    </w:p>
    <w:p>
      <w:pPr>
        <w:pStyle w:val="nzHeading5"/>
      </w:pPr>
      <w:bookmarkStart w:id="40" w:name="_Toc522674913"/>
      <w:bookmarkStart w:id="41" w:name="_Toc134597675"/>
      <w:bookmarkStart w:id="42" w:name="_Toc139370934"/>
      <w:bookmarkStart w:id="43" w:name="_Toc139792798"/>
      <w:r>
        <w:rPr>
          <w:rStyle w:val="CharSectno"/>
        </w:rPr>
        <w:t>196</w:t>
      </w:r>
      <w:r>
        <w:t>.</w:t>
      </w:r>
      <w:r>
        <w:tab/>
        <w:t>Purpose of Part</w:t>
      </w:r>
      <w:bookmarkEnd w:id="40"/>
      <w:bookmarkEnd w:id="41"/>
      <w:bookmarkEnd w:id="42"/>
      <w:bookmarkEnd w:id="43"/>
    </w:p>
    <w:p>
      <w:pPr>
        <w:pStyle w:val="nzSubsection"/>
      </w:pPr>
      <w:r>
        <w:tab/>
      </w:r>
      <w:r>
        <w:tab/>
        <w:t xml:space="preserve">The purpose of this Part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Jurisdiction of the Federal Magistrates Court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MiscClose"/>
      </w:pPr>
      <w:r>
        <w:t>”.</w:t>
      </w:r>
    </w:p>
    <w:p>
      <w:pPr>
        <w:pStyle w:val="nSubsection"/>
      </w:pPr>
      <w:r>
        <w:rPr>
          <w:vertAlign w:val="superscript"/>
        </w:rPr>
        <w:t>4</w:t>
      </w:r>
      <w:r>
        <w:tab/>
        <w:t xml:space="preserve">The </w:t>
      </w:r>
      <w:r>
        <w:rPr>
          <w:i/>
          <w:iCs/>
        </w:rPr>
        <w:t>Child Support (Adoption of Laws) Amendment Act 2007</w:t>
      </w:r>
      <w:r>
        <w:t xml:space="preserve"> s. 4 reads as follows:</w:t>
      </w:r>
    </w:p>
    <w:p>
      <w:pPr>
        <w:pStyle w:val="MiscOpen"/>
      </w:pPr>
      <w:bookmarkStart w:id="44" w:name="_Toc160440659"/>
      <w:bookmarkStart w:id="45" w:name="_Toc180996966"/>
      <w:bookmarkStart w:id="46" w:name="_Toc181675048"/>
      <w:r>
        <w:t>“</w:t>
      </w:r>
    </w:p>
    <w:p>
      <w:pPr>
        <w:pStyle w:val="nzHeading5"/>
      </w:pPr>
      <w:r>
        <w:rPr>
          <w:rStyle w:val="CharSectno"/>
        </w:rPr>
        <w:t>4</w:t>
      </w:r>
      <w:r>
        <w:t>.</w:t>
      </w:r>
      <w:r>
        <w:tab/>
        <w:t>Purpose of Act</w:t>
      </w:r>
      <w:bookmarkEnd w:id="44"/>
      <w:bookmarkEnd w:id="45"/>
      <w:bookmarkEnd w:id="46"/>
    </w:p>
    <w:p>
      <w:pPr>
        <w:pStyle w:val="nzSubsection"/>
        <w:rPr>
          <w:lang w:val="en-US"/>
        </w:rPr>
      </w:pPr>
      <w:r>
        <w:rPr>
          <w:lang w:val="en-US"/>
        </w:rPr>
        <w:tab/>
      </w:r>
      <w:r>
        <w:rPr>
          <w:lang w:val="en-US"/>
        </w:rPr>
        <w:tab/>
        <w:t xml:space="preserve">The purpose of this Act is to provide that the adoption by the </w:t>
      </w:r>
      <w:r>
        <w:rPr>
          <w:rFonts w:ascii="Times" w:hAnsi="Times"/>
          <w:i/>
          <w:iCs/>
          <w:lang w:val="en-US"/>
        </w:rPr>
        <w:t xml:space="preserve">Child Support (Adoption of Laws) Act 1990 </w:t>
      </w:r>
      <w:r>
        <w:rPr>
          <w:rFonts w:ascii="Times" w:hAnsi="Times"/>
          <w:lang w:val="en-US"/>
        </w:rPr>
        <w:t>of —</w:t>
      </w:r>
    </w:p>
    <w:p>
      <w:pPr>
        <w:pStyle w:val="nzIndenta"/>
        <w:rPr>
          <w:lang w:val="en-US"/>
        </w:rPr>
      </w:pPr>
      <w:r>
        <w:rPr>
          <w:lang w:val="en-US"/>
        </w:rPr>
        <w:tab/>
        <w:t>(a)</w:t>
      </w:r>
      <w:r>
        <w:rPr>
          <w:lang w:val="en-US"/>
        </w:rPr>
        <w:tab/>
        <w:t xml:space="preserve">the </w:t>
      </w:r>
      <w:r>
        <w:rPr>
          <w:i/>
          <w:iCs/>
          <w:lang w:val="en-US"/>
        </w:rPr>
        <w:t>Child Support (Registration and Collection) Act 1988</w:t>
      </w:r>
      <w:r>
        <w:rPr>
          <w:lang w:val="en-US"/>
        </w:rPr>
        <w:t xml:space="preserve"> </w:t>
      </w:r>
      <w:r>
        <w:rPr>
          <w:rFonts w:ascii="Times" w:hAnsi="Times"/>
          <w:lang w:val="en-US"/>
        </w:rPr>
        <w:t>of the Commonwealth extends to that Act as amended by the following Commonwealth Acts —</w:t>
      </w:r>
    </w:p>
    <w:p>
      <w:pPr>
        <w:pStyle w:val="nzIndenti"/>
        <w:rPr>
          <w:lang w:val="en-US"/>
        </w:rPr>
      </w:pPr>
      <w:r>
        <w:rPr>
          <w:lang w:val="en-US"/>
        </w:rPr>
        <w:tab/>
        <w:t>(i)</w:t>
      </w:r>
      <w:r>
        <w:rPr>
          <w:lang w:val="en-US"/>
        </w:rPr>
        <w:tab/>
        <w:t xml:space="preserve">the </w:t>
      </w:r>
      <w:r>
        <w:rPr>
          <w:i/>
          <w:iCs/>
          <w:lang w:val="en-US"/>
        </w:rPr>
        <w:t>Tax Laws Amendment (Repeal of Inoperative Provisions) Act 2006</w:t>
      </w:r>
      <w:r>
        <w:rPr>
          <w:lang w:val="en-US"/>
        </w:rPr>
        <w:t>; and</w:t>
      </w:r>
    </w:p>
    <w:p>
      <w:pPr>
        <w:pStyle w:val="nzIndenti"/>
        <w:rPr>
          <w:lang w:val="en-US"/>
        </w:rPr>
      </w:pPr>
      <w:r>
        <w:rPr>
          <w:lang w:val="en-US"/>
        </w:rPr>
        <w:tab/>
        <w:t>(ii)</w:t>
      </w:r>
      <w:r>
        <w:rPr>
          <w:lang w:val="en-US"/>
        </w:rPr>
        <w:tab/>
        <w:t xml:space="preserve">the </w:t>
      </w:r>
      <w:r>
        <w:rPr>
          <w:i/>
          <w:iCs/>
          <w:lang w:val="en-US"/>
        </w:rPr>
        <w:t>Child Support Legislation Amendment (Reform of the Child Support Scheme—New Formula and Other Measures)</w:t>
      </w:r>
      <w:r>
        <w:rPr>
          <w:lang w:val="en-US"/>
        </w:rPr>
        <w:t xml:space="preserve"> </w:t>
      </w:r>
      <w:r>
        <w:rPr>
          <w:i/>
          <w:iCs/>
          <w:lang w:val="en-US"/>
        </w:rPr>
        <w:t>Act 2006</w:t>
      </w:r>
      <w:r>
        <w:rPr>
          <w:lang w:val="en-US"/>
        </w:rPr>
        <w:t>; and</w:t>
      </w:r>
    </w:p>
    <w:p>
      <w:pPr>
        <w:pStyle w:val="nzIndenti"/>
        <w:rPr>
          <w:lang w:val="en-US"/>
        </w:rPr>
      </w:pPr>
      <w:r>
        <w:rPr>
          <w:lang w:val="en-US"/>
        </w:rPr>
        <w:tab/>
        <w:t>(iii)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(iv)</w:t>
      </w:r>
      <w:r>
        <w:tab/>
        <w:t xml:space="preserve">the </w:t>
      </w:r>
      <w:r>
        <w:rPr>
          <w:i/>
          <w:iCs/>
        </w:rPr>
        <w:t>Families, Community Services and Indigenous Affairs Legislation Amendment (Child Support Reform Consolidation and Other Measures) Act 2007</w:t>
      </w:r>
      <w:r>
        <w:t xml:space="preserve">;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the </w:t>
      </w:r>
      <w:r>
        <w:rPr>
          <w:i/>
          <w:iCs/>
          <w:lang w:val="en-US"/>
        </w:rPr>
        <w:t>Child Support (Assessment) Act 1989</w:t>
      </w:r>
      <w:r>
        <w:rPr>
          <w:lang w:val="en-US"/>
        </w:rPr>
        <w:t xml:space="preserve"> of the </w:t>
      </w:r>
      <w:r>
        <w:rPr>
          <w:rFonts w:ascii="Times" w:hAnsi="Times"/>
          <w:lang w:val="en-US"/>
        </w:rPr>
        <w:t>Commonwealth extends to that Act as amended by the following Commonwealth Acts —</w:t>
      </w:r>
      <w:r>
        <w:rPr>
          <w:lang w:val="en-US"/>
        </w:rPr>
        <w:t xml:space="preserve"> </w:t>
      </w:r>
    </w:p>
    <w:p>
      <w:pPr>
        <w:pStyle w:val="nzIndenti"/>
        <w:rPr>
          <w:lang w:val="en-US"/>
        </w:rPr>
      </w:pPr>
      <w:r>
        <w:rPr>
          <w:lang w:val="en-US"/>
        </w:rPr>
        <w:tab/>
        <w:t>(i)</w:t>
      </w:r>
      <w:r>
        <w:rPr>
          <w:lang w:val="en-US"/>
        </w:rPr>
        <w:tab/>
        <w:t xml:space="preserve">the </w:t>
      </w:r>
      <w:r>
        <w:rPr>
          <w:i/>
          <w:iCs/>
          <w:lang w:val="en-US"/>
        </w:rPr>
        <w:t>Child Support Legislation Amendment (Reform of the Child Support Scheme—New Formula and Other Measures) Act 2006</w:t>
      </w:r>
      <w:r>
        <w:rPr>
          <w:lang w:val="en-US"/>
        </w:rPr>
        <w:t xml:space="preserve">; and </w:t>
      </w:r>
    </w:p>
    <w:p>
      <w:pPr>
        <w:pStyle w:val="nzIndenti"/>
        <w:rPr>
          <w:lang w:val="en-US"/>
        </w:rPr>
      </w:pPr>
      <w:r>
        <w:rPr>
          <w:lang w:val="en-US"/>
        </w:rPr>
        <w:tab/>
        <w:t>(ii)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MiscClose"/>
      </w:pP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50 had not come into operation.  It reads as follows:</w:t>
      </w:r>
    </w:p>
    <w:p>
      <w:pPr>
        <w:pStyle w:val="BlankOpen"/>
      </w:pPr>
    </w:p>
    <w:p>
      <w:pPr>
        <w:pStyle w:val="nzHeading5"/>
      </w:pPr>
      <w:bookmarkStart w:id="47" w:name="_Toc233107852"/>
      <w:bookmarkStart w:id="48" w:name="_Toc255473745"/>
      <w:bookmarkStart w:id="49" w:name="_Toc265583800"/>
      <w:r>
        <w:rPr>
          <w:rStyle w:val="CharSectno"/>
        </w:rPr>
        <w:t>50</w:t>
      </w:r>
      <w:r>
        <w:t>.</w:t>
      </w:r>
      <w:r>
        <w:tab/>
        <w:t>Heading to preamble</w:t>
      </w:r>
      <w:bookmarkEnd w:id="47"/>
      <w:bookmarkEnd w:id="48"/>
      <w:bookmarkEnd w:id="49"/>
    </w:p>
    <w:p>
      <w:pPr>
        <w:pStyle w:val="nzSubsection"/>
      </w:pPr>
      <w:r>
        <w:tab/>
        <w:t>(1)</w:t>
      </w:r>
      <w:r>
        <w:tab/>
        <w:t>This section amends the Acts listed in the Table.</w:t>
      </w:r>
    </w:p>
    <w:p>
      <w:pPr>
        <w:pStyle w:val="nzSubsection"/>
      </w:pPr>
      <w:r>
        <w:tab/>
        <w:t>(2)</w:t>
      </w:r>
      <w:r>
        <w:tab/>
        <w:t>In each Act listed in the Table after the long title insert:</w:t>
      </w:r>
    </w:p>
    <w:p>
      <w:pPr>
        <w:pStyle w:val="BlankOpen"/>
      </w:pPr>
    </w:p>
    <w:p>
      <w:pPr>
        <w:pStyle w:val="zPreamble1"/>
        <w:rPr>
          <w:rFonts w:ascii="Times New Roman" w:hAnsi="Times New Roman"/>
        </w:rPr>
      </w:pPr>
      <w:r>
        <w:rPr>
          <w:rFonts w:ascii="Times New Roman" w:hAnsi="Times New Roman"/>
        </w:rPr>
        <w:t>Preamble</w:t>
      </w:r>
    </w:p>
    <w:p>
      <w:pPr>
        <w:pStyle w:val="BlankClose"/>
      </w:pPr>
    </w:p>
    <w:p>
      <w:pPr>
        <w:pStyle w:val="nSubsection"/>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Support (Adoption of Laws)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Support (Adoption of Laws)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Child Support (Adoption of Laws)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Child Support (Adoption of Laws)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0C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AD3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829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6E0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B20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3237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4A15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CC9C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FE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F4945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24A3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A422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615"/>
    <w:docVar w:name="WAFER_20151207162615" w:val="RemoveTrackChanges"/>
    <w:docVar w:name="WAFER_20151207162615_GUID" w:val="84db7062-0200-4177-be89-0f7657a54f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2055</Words>
  <Characters>10277</Characters>
  <Application>Microsoft Office Word</Application>
  <DocSecurity>0</DocSecurity>
  <Lines>342</Lines>
  <Paragraphs>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1990 - 01-h0-02</dc:title>
  <dc:subject/>
  <dc:creator/>
  <cp:keywords/>
  <dc:description/>
  <cp:lastModifiedBy>svcMRProcess</cp:lastModifiedBy>
  <cp:revision>4</cp:revision>
  <cp:lastPrinted>2003-05-07T03:59:00Z</cp:lastPrinted>
  <dcterms:created xsi:type="dcterms:W3CDTF">2015-12-08T17:27:00Z</dcterms:created>
  <dcterms:modified xsi:type="dcterms:W3CDTF">2015-12-08T17:27:00Z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122</vt:i4>
  </property>
  <property fmtid="{D5CDD505-2E9C-101B-9397-08002B2CF9AE}" pid="6" name="AsAtDate">
    <vt:lpwstr>28 Jun 2010</vt:lpwstr>
  </property>
  <property fmtid="{D5CDD505-2E9C-101B-9397-08002B2CF9AE}" pid="7" name="Suffix">
    <vt:lpwstr>01-h0-02</vt:lpwstr>
  </property>
</Properties>
</file>