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Collie-Cardiff Railway Act 1951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19 January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Collie-Cardiff Railway Act 1951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napToGrid w:val="0"/>
          <w:szCs w:val="24"/>
        </w:rPr>
        <w:t>1.</w:t>
      </w:r>
      <w:r>
        <w:rPr>
          <w:snapToGrid w:val="0"/>
          <w:szCs w:val="24"/>
        </w:rPr>
        <w:tab/>
        <w:t>Short title</w:t>
      </w:r>
      <w:r>
        <w:tab/>
      </w:r>
      <w:r>
        <w:fldChar w:fldCharType="begin"/>
      </w:r>
      <w:r>
        <w:instrText xml:space="preserve"> PAGEREF _Toc158432571 \h </w:instrText>
      </w:r>
      <w:r>
        <w:fldChar w:fldCharType="separate"/>
      </w:r>
      <w:r>
        <w:t>1</w:t>
      </w:r>
      <w:r>
        <w:fldChar w:fldCharType="end"/>
      </w:r>
    </w:p>
    <w:p>
      <w:pPr>
        <w:pStyle w:val="TOC8"/>
        <w:rPr>
          <w:sz w:val="24"/>
          <w:szCs w:val="24"/>
        </w:rPr>
      </w:pPr>
      <w:r>
        <w:rPr>
          <w:snapToGrid w:val="0"/>
          <w:szCs w:val="24"/>
        </w:rPr>
        <w:t>2.</w:t>
      </w:r>
      <w:r>
        <w:rPr>
          <w:snapToGrid w:val="0"/>
          <w:szCs w:val="24"/>
        </w:rPr>
        <w:tab/>
        <w:t>Authority</w:t>
      </w:r>
      <w:r>
        <w:tab/>
      </w:r>
      <w:r>
        <w:fldChar w:fldCharType="begin"/>
      </w:r>
      <w:r>
        <w:instrText xml:space="preserve"> PAGEREF _Toc158432572 \h </w:instrText>
      </w:r>
      <w:r>
        <w:fldChar w:fldCharType="separate"/>
      </w:r>
      <w:r>
        <w:t>1</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_Toc158432575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Collie</w:t>
      </w:r>
      <w:r>
        <w:noBreakHyphen/>
        <w:t xml:space="preserve">Cardiff Railway Act 1951 </w:t>
      </w:r>
    </w:p>
    <w:p>
      <w:pPr>
        <w:pStyle w:val="LongTitle"/>
        <w:spacing w:before="120" w:after="120"/>
        <w:rPr>
          <w:snapToGrid w:val="0"/>
        </w:rPr>
      </w:pPr>
      <w:r>
        <w:rPr>
          <w:snapToGrid w:val="0"/>
        </w:rPr>
        <w:t xml:space="preserve">An Act to authorise the construction of a railway from Collie to Cardiff. </w:t>
      </w:r>
    </w:p>
    <w:p>
      <w:pPr>
        <w:pStyle w:val="Heading5"/>
        <w:rPr>
          <w:snapToGrid w:val="0"/>
        </w:rPr>
      </w:pPr>
      <w:bookmarkStart w:id="2" w:name="_Toc428601762"/>
      <w:bookmarkStart w:id="3" w:name="_Toc158432571"/>
      <w:r>
        <w:rPr>
          <w:snapToGrid w:val="0"/>
        </w:rPr>
        <w:t>1.</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Collie</w:t>
      </w:r>
      <w:r>
        <w:rPr>
          <w:i/>
          <w:snapToGrid w:val="0"/>
        </w:rPr>
        <w:noBreakHyphen/>
        <w:t>Cardiff Railway Act 1951</w:t>
      </w:r>
      <w:r>
        <w:rPr>
          <w:snapToGrid w:val="0"/>
          <w:vertAlign w:val="superscript"/>
        </w:rPr>
        <w:t> 1</w:t>
      </w:r>
      <w:r>
        <w:rPr>
          <w:snapToGrid w:val="0"/>
        </w:rPr>
        <w:t>.</w:t>
      </w:r>
    </w:p>
    <w:p>
      <w:pPr>
        <w:pStyle w:val="Heading5"/>
        <w:rPr>
          <w:snapToGrid w:val="0"/>
        </w:rPr>
      </w:pPr>
      <w:bookmarkStart w:id="4" w:name="_Toc428601763"/>
      <w:bookmarkStart w:id="5" w:name="_Toc158432572"/>
      <w:r>
        <w:rPr>
          <w:snapToGrid w:val="0"/>
        </w:rPr>
        <w:t>2.</w:t>
      </w:r>
      <w:r>
        <w:rPr>
          <w:snapToGrid w:val="0"/>
        </w:rPr>
        <w:tab/>
        <w:t>Authority</w:t>
      </w:r>
      <w:bookmarkEnd w:id="4"/>
      <w:bookmarkEnd w:id="5"/>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 w:name="_Toc155684590"/>
      <w:bookmarkStart w:id="7" w:name="_Toc156200174"/>
      <w:bookmarkStart w:id="8" w:name="_Toc156619886"/>
      <w:bookmarkStart w:id="9" w:name="_Toc158432573"/>
      <w:r>
        <w:rPr>
          <w:rStyle w:val="CharSchNo"/>
        </w:rPr>
        <w:t>Schedule</w:t>
      </w:r>
      <w:bookmarkEnd w:id="6"/>
      <w:bookmarkEnd w:id="7"/>
      <w:bookmarkEnd w:id="8"/>
      <w:bookmarkEnd w:id="9"/>
    </w:p>
    <w:p>
      <w:pPr>
        <w:pStyle w:val="MiscellaneousHeading"/>
        <w:rPr>
          <w:snapToGrid w:val="0"/>
        </w:rPr>
      </w:pPr>
      <w:r>
        <w:rPr>
          <w:snapToGrid w:val="0"/>
        </w:rPr>
        <w:t>COLLIE - CARDIFF</w:t>
      </w:r>
    </w:p>
    <w:p>
      <w:pPr>
        <w:pStyle w:val="MiscellaneousHeading"/>
        <w:rPr>
          <w:snapToGrid w:val="0"/>
        </w:rPr>
      </w:pPr>
      <w:r>
        <w:rPr>
          <w:snapToGrid w:val="0"/>
        </w:rPr>
        <w:t>RAILWAY TO WESTERN COLLIERIES LTD</w:t>
      </w:r>
    </w:p>
    <w:p>
      <w:pPr>
        <w:pStyle w:val="MiscellaneousHeading"/>
        <w:rPr>
          <w:snapToGrid w:val="0"/>
        </w:rPr>
      </w:pPr>
      <w:r>
        <w:rPr>
          <w:snapToGrid w:val="0"/>
        </w:rPr>
        <w:t>“WESTERN No. 2” MINE</w:t>
      </w:r>
    </w:p>
    <w:p>
      <w:pPr>
        <w:pStyle w:val="MiscellaneousHeading"/>
        <w:rPr>
          <w:i/>
          <w:snapToGrid w:val="0"/>
        </w:rPr>
      </w:pPr>
      <w:r>
        <w:rPr>
          <w:i/>
          <w:snapToGrid w:val="0"/>
        </w:rPr>
        <w:t>Description of main line of railway</w:t>
      </w:r>
    </w:p>
    <w:p>
      <w:pPr>
        <w:pStyle w:val="ySubsection"/>
        <w:rPr>
          <w:snapToGrid w:val="0"/>
        </w:rPr>
      </w:pPr>
      <w:r>
        <w:rPr>
          <w:snapToGrid w:val="0"/>
        </w:rPr>
        <w:tab/>
      </w:r>
      <w:r>
        <w:rPr>
          <w:snapToGrid w:val="0"/>
        </w:rPr>
        <w:tab/>
        <w:t>Commencing at a point on the Collie</w:t>
      </w:r>
      <w:r>
        <w:rPr>
          <w:snapToGrid w:val="0"/>
        </w:rPr>
        <w:noBreakHyphen/>
        <w:t>Collie</w:t>
      </w:r>
      <w:r>
        <w:rPr>
          <w:snapToGrid w:val="0"/>
        </w:rPr>
        <w:noBreakHyphen/>
        <w:t>Cardiff Railway about 130 miles 15 chains from Perth and proceeding thence in a south</w:t>
      </w:r>
      <w:r>
        <w:rPr>
          <w:snapToGrid w:val="0"/>
        </w:rPr>
        <w:noBreakHyphen/>
        <w:t>easterly direction for approximately 1 mile 47 chains, and thence in an easterly direction for approximately 18 chains, and thence in a north</w:t>
      </w:r>
      <w:r>
        <w:rPr>
          <w:snapToGrid w:val="0"/>
        </w:rPr>
        <w:noBreakHyphen/>
        <w:t>easterly direction for approximately 35 chains, and thence in a northerly direction for approximately 16 chains, and thence in a north</w:t>
      </w:r>
      <w:r>
        <w:rPr>
          <w:snapToGrid w:val="0"/>
        </w:rPr>
        <w:noBreakHyphen/>
        <w:t>north</w:t>
      </w:r>
      <w:r>
        <w:rPr>
          <w:snapToGrid w:val="0"/>
        </w:rPr>
        <w:noBreakHyphen/>
        <w:t>easterly direction for approximately 17 chains, and thence in a north</w:t>
      </w:r>
      <w:r>
        <w:rPr>
          <w:snapToGrid w:val="0"/>
        </w:rPr>
        <w:noBreakHyphen/>
        <w:t>easterly direction for approximately 29 chains, and thence in a northerly direction for approximately 20 chains, terminating at a point approximately midway between the northern and southern boundaries of Mineral Lease 131 and approximately 20 chains east of the north</w:t>
      </w:r>
      <w:r>
        <w:rPr>
          <w:snapToGrid w:val="0"/>
        </w:rPr>
        <w:noBreakHyphen/>
        <w:t>eastern corner of Location 2994, being Reserve 15074 as more particularly set out and delineated in red on map marked C.E. Plan 40430, deposited pursuant to Edw. VII., No. 47</w:t>
      </w:r>
      <w:r>
        <w:rPr>
          <w:snapToGrid w:val="0"/>
          <w:vertAlign w:val="superscript"/>
        </w:rPr>
        <w:t> 2</w:t>
      </w:r>
      <w:r>
        <w:rPr>
          <w:snapToGrid w:val="0"/>
        </w:rPr>
        <w:t>, section 96.</w:t>
      </w:r>
    </w:p>
    <w:p>
      <w:pPr>
        <w:pStyle w:val="ySubsection"/>
        <w:rPr>
          <w:rFonts w:ascii="Courier New" w:hAnsi="Courier New"/>
          <w:snapToGrid w:val="0"/>
          <w:sz w:val="24"/>
        </w:rPr>
      </w:pPr>
      <w:r>
        <w:rPr>
          <w:snapToGrid w:val="0"/>
        </w:rPr>
        <w:tab/>
      </w:r>
      <w:r>
        <w:rPr>
          <w:snapToGrid w:val="0"/>
        </w:rPr>
        <w:tab/>
        <w:t>Total length, about 3 miles 22 chains.</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0" w:name="_Toc155684591"/>
      <w:bookmarkStart w:id="11" w:name="_Toc156200175"/>
      <w:bookmarkStart w:id="12" w:name="_Toc156619887"/>
      <w:bookmarkStart w:id="13" w:name="_Toc158432574"/>
      <w:r>
        <w:t>Notes</w:t>
      </w:r>
      <w:bookmarkEnd w:id="10"/>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Collie-Cardiff Railway Act 1951</w:t>
      </w:r>
      <w:r>
        <w:rPr>
          <w:snapToGrid w:val="0"/>
        </w:rPr>
        <w:t>.  The following table contains information about that Act and any reprint </w:t>
      </w:r>
      <w:r>
        <w:rPr>
          <w:snapToGrid w:val="0"/>
          <w:vertAlign w:val="superscript"/>
        </w:rPr>
        <w:t>1a</w:t>
      </w:r>
      <w:r>
        <w:rPr>
          <w:snapToGrid w:val="0"/>
        </w:rPr>
        <w:t xml:space="preserve">. </w:t>
      </w:r>
    </w:p>
    <w:p>
      <w:pPr>
        <w:pStyle w:val="nHeading3"/>
        <w:rPr>
          <w:snapToGrid w:val="0"/>
        </w:rPr>
      </w:pPr>
      <w:bookmarkStart w:id="14" w:name="_Toc158432575"/>
      <w:r>
        <w:rPr>
          <w:snapToGrid w:val="0"/>
        </w:rPr>
        <w:t>Compilation table</w:t>
      </w:r>
      <w:bookmarkEnd w:id="14"/>
    </w:p>
    <w:tbl>
      <w:tblPr>
        <w:tblW w:w="7087" w:type="dxa"/>
        <w:tblInd w:w="28" w:type="dxa"/>
        <w:tblBorders>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Collie</w:t>
            </w:r>
            <w:r>
              <w:rPr>
                <w:i/>
                <w:sz w:val="19"/>
              </w:rPr>
              <w:noBreakHyphen/>
              <w:t>Cardiff Railway Act 1951</w:t>
            </w:r>
          </w:p>
        </w:tc>
        <w:tc>
          <w:tcPr>
            <w:tcW w:w="1134" w:type="dxa"/>
            <w:tcBorders>
              <w:top w:val="single" w:sz="8" w:space="0" w:color="auto"/>
              <w:bottom w:val="nil"/>
            </w:tcBorders>
          </w:tcPr>
          <w:p>
            <w:pPr>
              <w:pStyle w:val="nTable"/>
              <w:spacing w:after="40"/>
              <w:rPr>
                <w:sz w:val="19"/>
              </w:rPr>
            </w:pPr>
            <w:r>
              <w:rPr>
                <w:sz w:val="19"/>
              </w:rPr>
              <w:t>37 of 1951</w:t>
            </w:r>
          </w:p>
        </w:tc>
        <w:tc>
          <w:tcPr>
            <w:tcW w:w="1134" w:type="dxa"/>
            <w:tcBorders>
              <w:top w:val="single" w:sz="8" w:space="0" w:color="auto"/>
              <w:bottom w:val="nil"/>
            </w:tcBorders>
          </w:tcPr>
          <w:p>
            <w:pPr>
              <w:pStyle w:val="nTable"/>
              <w:spacing w:after="40"/>
              <w:rPr>
                <w:sz w:val="19"/>
              </w:rPr>
            </w:pPr>
            <w:r>
              <w:rPr>
                <w:sz w:val="19"/>
              </w:rPr>
              <w:t>20 Dec 1951</w:t>
            </w:r>
          </w:p>
        </w:tc>
        <w:tc>
          <w:tcPr>
            <w:tcW w:w="2551" w:type="dxa"/>
            <w:tcBorders>
              <w:top w:val="single" w:sz="8" w:space="0" w:color="auto"/>
              <w:bottom w:val="nil"/>
            </w:tcBorders>
          </w:tcPr>
          <w:p>
            <w:pPr>
              <w:pStyle w:val="nTable"/>
              <w:spacing w:after="40"/>
              <w:rPr>
                <w:sz w:val="19"/>
              </w:rPr>
            </w:pPr>
            <w:r>
              <w:rPr>
                <w:sz w:val="19"/>
              </w:rPr>
              <w:t>20 Dec 1951</w:t>
            </w:r>
          </w:p>
        </w:tc>
      </w:tr>
      <w:tr>
        <w:trPr>
          <w:cantSplit/>
        </w:trPr>
        <w:tc>
          <w:tcPr>
            <w:tcW w:w="7087" w:type="dxa"/>
            <w:gridSpan w:val="4"/>
            <w:tcBorders>
              <w:top w:val="nil"/>
              <w:bottom w:val="single" w:sz="8" w:space="0" w:color="auto"/>
            </w:tcBorders>
          </w:tcPr>
          <w:p>
            <w:pPr>
              <w:pStyle w:val="nTable"/>
              <w:spacing w:after="40"/>
              <w:rPr>
                <w:b/>
                <w:bCs/>
                <w:sz w:val="19"/>
              </w:rPr>
            </w:pPr>
            <w:r>
              <w:rPr>
                <w:b/>
                <w:bCs/>
                <w:sz w:val="19"/>
              </w:rPr>
              <w:t xml:space="preserve">Reprint 1:  The </w:t>
            </w:r>
            <w:r>
              <w:rPr>
                <w:b/>
                <w:bCs/>
                <w:i/>
                <w:sz w:val="19"/>
              </w:rPr>
              <w:t>Collie</w:t>
            </w:r>
            <w:r>
              <w:rPr>
                <w:b/>
                <w:bCs/>
                <w:i/>
                <w:sz w:val="19"/>
              </w:rPr>
              <w:noBreakHyphen/>
              <w:t>Cardiff Railway Act 1951</w:t>
            </w:r>
            <w:r>
              <w:rPr>
                <w:b/>
                <w:bCs/>
                <w:sz w:val="19"/>
              </w:rPr>
              <w:t xml:space="preserve"> as at 19 Jan 2007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 w:name="_Toc7405065"/>
      <w:r>
        <w:t>Provisions that have not come into operation</w:t>
      </w:r>
      <w:bookmarkEnd w:id="1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rPr>
          <w:vertAlign w:val="superscript"/>
        </w:rPr>
        <w:tab/>
      </w:r>
      <w:r>
        <w:t xml:space="preserve">The </w:t>
      </w:r>
      <w:r>
        <w:rPr>
          <w:i/>
          <w:iCs/>
        </w:rPr>
        <w:t>Public Works Act 1902</w:t>
      </w:r>
      <w:r>
        <w:t>.</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p>
    <w:p>
      <w:pPr>
        <w:pStyle w:val="BlankOpen"/>
        <w:rPr>
          <w:snapToGrid w:val="0"/>
        </w:rPr>
      </w:pPr>
    </w:p>
    <w:p>
      <w:pPr>
        <w:pStyle w:val="nzHeading5"/>
      </w:pPr>
      <w:r>
        <w:rPr>
          <w:rStyle w:val="CharSectno"/>
        </w:rPr>
        <w:t>5</w:t>
      </w:r>
      <w:r>
        <w:t>.</w:t>
      </w:r>
      <w:r>
        <w:tab/>
        <w:t>Schedule headings in railway Acts replaced</w:t>
      </w:r>
    </w:p>
    <w:p>
      <w:pPr>
        <w:pStyle w:val="nzSubsection"/>
        <w:rPr>
          <w:rFonts w:eastAsia="MS Mincho"/>
        </w:rPr>
      </w:pPr>
      <w:r>
        <w:rPr>
          <w:rFonts w:eastAsia="MS Mincho"/>
        </w:rPr>
        <w:tab/>
        <w:t>(1)</w:t>
      </w:r>
      <w:r>
        <w:rPr>
          <w:rFonts w:eastAsia="MS Mincho"/>
        </w:rPr>
        <w:tab/>
        <w:t>This section amends the Acts listed in the Table.</w:t>
      </w:r>
    </w:p>
    <w:p>
      <w:pPr>
        <w:pStyle w:val="nzSubsection"/>
        <w:rPr>
          <w:rFonts w:eastAsia="MS Mincho"/>
        </w:rPr>
      </w:pPr>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p>
    <w:p>
      <w:pPr>
        <w:pStyle w:val="nzMiscellaneousHeading"/>
      </w:pPr>
      <w:r>
        <w:rPr>
          <w:b/>
          <w:bCs/>
        </w:rPr>
        <w:t>Table</w:t>
      </w:r>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p>
            <w:pPr>
              <w:pStyle w:val="TableAm"/>
              <w:spacing w:before="0"/>
              <w:jc w:val="center"/>
              <w:rPr>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b/>
                <w:bCs/>
                <w:sz w:val="18"/>
              </w:rPr>
            </w:pPr>
            <w:r>
              <w:rPr>
                <w:b/>
                <w:bCs/>
                <w:sz w:val="18"/>
              </w:rPr>
              <w:t>Shoulder note</w:t>
            </w:r>
          </w:p>
        </w:tc>
      </w:tr>
      <w:tr>
        <w:trPr>
          <w:cantSplit/>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i/>
                <w:iCs/>
                <w:sz w:val="18"/>
              </w:rPr>
              <w:t>Collie</w:t>
            </w:r>
            <w:r>
              <w:rPr>
                <w:rFonts w:eastAsia="MS Mincho"/>
                <w:i/>
                <w:iCs/>
                <w:sz w:val="18"/>
              </w:rPr>
              <w:noBreakHyphen/>
              <w:t>Cardiff Railway Act 1951</w:t>
            </w:r>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 xml:space="preserve">Line of Collie </w:t>
            </w:r>
            <w:r>
              <w:rPr>
                <w:rFonts w:eastAsia="MS Mincho"/>
                <w:sz w:val="18"/>
              </w:rPr>
              <w:noBreakHyphen/>
              <w:t xml:space="preserve"> Cardiff Railway to Western Collieries Ltd “Western No. 2” mine</w:t>
            </w:r>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5" w:bottom="2981" w:left="2405"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Collie-Cardiff Railway Act 1951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Collie-Cardiff Railway Act 1951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Collie-Cardiff Railway Act 1951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Collie-Cardiff Railway Act 1951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Collie-Cardiff Railway Act 1951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Collie-Cardiff Railway Act 1951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Collie-Cardiff Railway Act 1951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Collie-Cardiff Railway Act 1951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Collie-Cardiff Railway Act 1951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Collie-Cardiff Railway Act 1951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628E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B86B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14428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3E60B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C89A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82E5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BF487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C0B4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34A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5C3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DFEB16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614"/>
    <w:docVar w:name="WAFER_20151208095614" w:val="RemoveTrackChanges"/>
    <w:docVar w:name="WAFER_20151208095614_GUID" w:val="b3d9a065-3135-4f9f-be23-752121e31f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610</Words>
  <Characters>3106</Characters>
  <Application>Microsoft Office Word</Application>
  <DocSecurity>0</DocSecurity>
  <Lines>135</Lines>
  <Paragraphs>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3632</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Collie-Cardiff Railway Act 1951 - 01-b0-02</dc:title>
  <dc:subject/>
  <dc:creator/>
  <cp:keywords/>
  <dc:description/>
  <cp:lastModifiedBy>svcMRProcess</cp:lastModifiedBy>
  <cp:revision>4</cp:revision>
  <cp:lastPrinted>2007-01-15T03:59:00Z</cp:lastPrinted>
  <dcterms:created xsi:type="dcterms:W3CDTF">2015-12-09T10:23:00Z</dcterms:created>
  <dcterms:modified xsi:type="dcterms:W3CDTF">2015-12-09T10:23:00Z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1951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No">
    <vt:lpwstr>1</vt:lpwstr>
  </property>
  <property fmtid="{D5CDD505-2E9C-101B-9397-08002B2CF9AE}" pid="6" name="OwlsUID">
    <vt:i4>142</vt:i4>
  </property>
  <property fmtid="{D5CDD505-2E9C-101B-9397-08002B2CF9AE}" pid="7" name="AsAtDate">
    <vt:lpwstr>28 Jun 2010</vt:lpwstr>
  </property>
  <property fmtid="{D5CDD505-2E9C-101B-9397-08002B2CF9AE}" pid="8" name="Suffix">
    <vt:lpwstr>01-b0-02</vt:lpwstr>
  </property>
</Properties>
</file>