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88" w:rsidRDefault="0044219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76A88" w:rsidRDefault="00442198">
      <w:pPr>
        <w:pStyle w:val="NameofActReg"/>
        <w:spacing w:before="3760" w:after="4200"/>
      </w:pPr>
      <w:r>
        <w:rPr>
          <w:noProof/>
        </w:rPr>
        <w:t>Kwinana-Mundijong-Jarrahdale Railway Extension Act 1967</w:t>
      </w:r>
    </w:p>
    <w:p w:rsidR="00A76A88" w:rsidRDefault="00A76A88">
      <w:pPr>
        <w:jc w:val="center"/>
        <w:rPr>
          <w:b/>
        </w:rPr>
        <w:sectPr w:rsidR="00A76A8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76A88" w:rsidRDefault="00442198">
      <w:pPr>
        <w:pStyle w:val="WA"/>
        <w:spacing w:before="120"/>
      </w:pPr>
      <w:r>
        <w:lastRenderedPageBreak/>
        <w:t>Western Australia</w:t>
      </w:r>
    </w:p>
    <w:p w:rsidR="00A76A88" w:rsidRDefault="00442198">
      <w:pPr>
        <w:pStyle w:val="NameofActRegPage1"/>
      </w:pPr>
      <w:r>
        <w:fldChar w:fldCharType="begin"/>
      </w:r>
      <w:r>
        <w:instrText xml:space="preserve"> STYLEREF "Name Of Act/Reg"</w:instrText>
      </w:r>
      <w:r>
        <w:fldChar w:fldCharType="separate"/>
      </w:r>
      <w:r w:rsidR="006F14C4">
        <w:rPr>
          <w:noProof/>
        </w:rPr>
        <w:t>Kwinana-Mundijong-Jarrahdale Railway Extension Act 1967</w:t>
      </w:r>
      <w:r>
        <w:fldChar w:fldCharType="end"/>
      </w:r>
    </w:p>
    <w:p w:rsidR="00A76A88" w:rsidRDefault="00442198">
      <w:pPr>
        <w:pStyle w:val="Arrangement"/>
      </w:pPr>
      <w:r>
        <w:t>CONTENTS</w:t>
      </w:r>
    </w:p>
    <w:p w:rsidR="00A76A88" w:rsidRDefault="0044219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_Toc170532874 \h </w:instrText>
      </w:r>
      <w:r>
        <w:fldChar w:fldCharType="separate"/>
      </w:r>
      <w:r w:rsidR="006F14C4">
        <w:t>1</w:t>
      </w:r>
      <w:r>
        <w:fldChar w:fldCharType="end"/>
      </w:r>
    </w:p>
    <w:p w:rsidR="00A76A88" w:rsidRDefault="00442198">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_Toc170532875 \h </w:instrText>
      </w:r>
      <w:r>
        <w:fldChar w:fldCharType="separate"/>
      </w:r>
      <w:r w:rsidR="006F14C4">
        <w:t>1</w:t>
      </w:r>
      <w:r>
        <w:fldChar w:fldCharType="end"/>
      </w:r>
    </w:p>
    <w:p w:rsidR="00A76A88" w:rsidRDefault="00442198">
      <w:pPr>
        <w:pStyle w:val="TOC8"/>
        <w:rPr>
          <w:sz w:val="24"/>
          <w:szCs w:val="24"/>
        </w:rPr>
      </w:pPr>
      <w:r>
        <w:rPr>
          <w:szCs w:val="24"/>
        </w:rPr>
        <w:t>3</w:t>
      </w:r>
      <w:r>
        <w:rPr>
          <w:snapToGrid w:val="0"/>
          <w:szCs w:val="24"/>
        </w:rPr>
        <w:t>.</w:t>
      </w:r>
      <w:r>
        <w:rPr>
          <w:snapToGrid w:val="0"/>
          <w:szCs w:val="24"/>
        </w:rPr>
        <w:tab/>
        <w:t>Authority for deviation</w:t>
      </w:r>
      <w:r>
        <w:tab/>
      </w:r>
      <w:r>
        <w:fldChar w:fldCharType="begin"/>
      </w:r>
      <w:r>
        <w:instrText xml:space="preserve"> PAGEREF _Toc170532876 \h </w:instrText>
      </w:r>
      <w:r>
        <w:fldChar w:fldCharType="separate"/>
      </w:r>
      <w:r w:rsidR="006F14C4">
        <w:t>1</w:t>
      </w:r>
      <w:r>
        <w:fldChar w:fldCharType="end"/>
      </w:r>
    </w:p>
    <w:p w:rsidR="00A76A88" w:rsidRDefault="00442198">
      <w:pPr>
        <w:pStyle w:val="TOC2"/>
        <w:tabs>
          <w:tab w:val="right" w:pos="7086"/>
        </w:tabs>
        <w:rPr>
          <w:b w:val="0"/>
          <w:sz w:val="24"/>
          <w:szCs w:val="24"/>
        </w:rPr>
      </w:pPr>
      <w:r>
        <w:rPr>
          <w:szCs w:val="28"/>
        </w:rPr>
        <w:t>Schedule — Kwinana</w:t>
      </w:r>
      <w:r>
        <w:rPr>
          <w:szCs w:val="28"/>
        </w:rPr>
        <w:noBreakHyphen/>
        <w:t>Mundijong-Jarrahdale Railway extension</w:t>
      </w:r>
      <w:r>
        <w:rPr>
          <w:szCs w:val="28"/>
        </w:rPr>
        <w:br/>
        <w:t>Description of line of Railway</w:t>
      </w:r>
    </w:p>
    <w:p w:rsidR="00A76A88" w:rsidRDefault="00442198">
      <w:pPr>
        <w:pStyle w:val="TOC2"/>
        <w:tabs>
          <w:tab w:val="right" w:pos="7086"/>
        </w:tabs>
        <w:rPr>
          <w:b w:val="0"/>
          <w:sz w:val="24"/>
          <w:szCs w:val="24"/>
        </w:rPr>
      </w:pPr>
      <w:r>
        <w:rPr>
          <w:szCs w:val="26"/>
        </w:rPr>
        <w:t>Notes</w:t>
      </w:r>
    </w:p>
    <w:p w:rsidR="00A76A88" w:rsidRDefault="00442198">
      <w:pPr>
        <w:pStyle w:val="TOC8"/>
        <w:rPr>
          <w:sz w:val="24"/>
          <w:szCs w:val="24"/>
        </w:rPr>
      </w:pPr>
      <w:r>
        <w:rPr>
          <w:snapToGrid w:val="0"/>
          <w:szCs w:val="24"/>
        </w:rPr>
        <w:tab/>
        <w:t>Compilation table</w:t>
      </w:r>
      <w:r>
        <w:tab/>
      </w:r>
      <w:r>
        <w:fldChar w:fldCharType="begin"/>
      </w:r>
      <w:r>
        <w:instrText xml:space="preserve"> PAGEREF _Toc170532880 \h </w:instrText>
      </w:r>
      <w:r>
        <w:fldChar w:fldCharType="separate"/>
      </w:r>
      <w:r w:rsidR="006F14C4">
        <w:t>3</w:t>
      </w:r>
      <w:r>
        <w:fldChar w:fldCharType="end"/>
      </w:r>
    </w:p>
    <w:p w:rsidR="00A76A88" w:rsidRDefault="00442198">
      <w:pPr>
        <w:pStyle w:val="TOC2"/>
      </w:pPr>
      <w:r>
        <w:fldChar w:fldCharType="end"/>
      </w:r>
    </w:p>
    <w:p w:rsidR="00A76A88" w:rsidRDefault="004421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76A88" w:rsidRDefault="00A76A88">
      <w:pPr>
        <w:pStyle w:val="NoteHeading"/>
        <w:sectPr w:rsidR="00A76A8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76A88" w:rsidRDefault="00442198">
      <w:pPr>
        <w:pStyle w:val="WA"/>
        <w:spacing w:before="120"/>
      </w:pPr>
      <w:r>
        <w:t>Western Australia</w:t>
      </w:r>
    </w:p>
    <w:p w:rsidR="00A76A88" w:rsidRDefault="00442198">
      <w:pPr>
        <w:pStyle w:val="NameofActReg"/>
        <w:spacing w:after="480"/>
      </w:pPr>
      <w:r>
        <w:t>Kwinana</w:t>
      </w:r>
      <w:r>
        <w:noBreakHyphen/>
        <w:t>Mundijong</w:t>
      </w:r>
      <w:r>
        <w:noBreakHyphen/>
        <w:t xml:space="preserve">Jarrahdale Railway Extension Act 1967 </w:t>
      </w:r>
    </w:p>
    <w:p w:rsidR="00A76A88" w:rsidRDefault="00442198">
      <w:pPr>
        <w:pStyle w:val="LongTitle"/>
        <w:rPr>
          <w:snapToGrid w:val="0"/>
        </w:rPr>
      </w:pPr>
      <w:r>
        <w:rPr>
          <w:snapToGrid w:val="0"/>
        </w:rPr>
        <w:t>An Act to authorise the construction of a railway to extend the Kwinana</w:t>
      </w:r>
      <w:r>
        <w:rPr>
          <w:snapToGrid w:val="0"/>
        </w:rPr>
        <w:noBreakHyphen/>
        <w:t>Mundijong</w:t>
      </w:r>
      <w:r>
        <w:rPr>
          <w:snapToGrid w:val="0"/>
        </w:rPr>
        <w:noBreakHyphen/>
        <w:t xml:space="preserve">Jarrahdale Railway. </w:t>
      </w:r>
    </w:p>
    <w:p w:rsidR="00A76A88" w:rsidRDefault="00442198">
      <w:pPr>
        <w:pStyle w:val="Heading5"/>
        <w:spacing w:before="180"/>
        <w:rPr>
          <w:snapToGrid w:val="0"/>
        </w:rPr>
      </w:pPr>
      <w:bookmarkStart w:id="2" w:name="_Toc411304968"/>
      <w:bookmarkStart w:id="3" w:name="_Toc170532874"/>
      <w:r>
        <w:rPr>
          <w:rStyle w:val="CharSectno"/>
        </w:rPr>
        <w:t>1</w:t>
      </w:r>
      <w:r>
        <w:rPr>
          <w:snapToGrid w:val="0"/>
        </w:rPr>
        <w:t>.</w:t>
      </w:r>
      <w:r>
        <w:rPr>
          <w:snapToGrid w:val="0"/>
        </w:rPr>
        <w:tab/>
        <w:t>Short title</w:t>
      </w:r>
      <w:bookmarkEnd w:id="2"/>
      <w:bookmarkEnd w:id="3"/>
      <w:r>
        <w:rPr>
          <w:snapToGrid w:val="0"/>
        </w:rPr>
        <w:t xml:space="preserve"> </w:t>
      </w:r>
    </w:p>
    <w:p w:rsidR="00A76A88" w:rsidRDefault="00442198">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vertAlign w:val="superscript"/>
        </w:rPr>
        <w:t> 1</w:t>
      </w:r>
      <w:r>
        <w:rPr>
          <w:snapToGrid w:val="0"/>
        </w:rPr>
        <w:t>.</w:t>
      </w:r>
    </w:p>
    <w:p w:rsidR="00A76A88" w:rsidRDefault="00442198">
      <w:pPr>
        <w:pStyle w:val="Heading5"/>
        <w:spacing w:before="180"/>
        <w:rPr>
          <w:snapToGrid w:val="0"/>
        </w:rPr>
      </w:pPr>
      <w:bookmarkStart w:id="4" w:name="_Toc411304969"/>
      <w:bookmarkStart w:id="5" w:name="_Toc170532875"/>
      <w:r>
        <w:rPr>
          <w:rStyle w:val="CharSectno"/>
        </w:rPr>
        <w:t>2</w:t>
      </w:r>
      <w:r>
        <w:rPr>
          <w:snapToGrid w:val="0"/>
        </w:rPr>
        <w:t>.</w:t>
      </w:r>
      <w:r>
        <w:rPr>
          <w:snapToGrid w:val="0"/>
        </w:rPr>
        <w:tab/>
        <w:t>Authority to construct railway</w:t>
      </w:r>
      <w:bookmarkEnd w:id="4"/>
      <w:bookmarkEnd w:id="5"/>
      <w:r>
        <w:rPr>
          <w:snapToGrid w:val="0"/>
        </w:rPr>
        <w:t xml:space="preserve"> </w:t>
      </w:r>
    </w:p>
    <w:p w:rsidR="00A76A88" w:rsidRDefault="00442198">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96 of the </w:t>
      </w:r>
      <w:r>
        <w:rPr>
          <w:i/>
          <w:snapToGrid w:val="0"/>
        </w:rPr>
        <w:t>Public Works Act 1902</w:t>
      </w:r>
      <w:r>
        <w:rPr>
          <w:snapToGrid w:val="0"/>
        </w:rPr>
        <w:t>.</w:t>
      </w:r>
    </w:p>
    <w:p w:rsidR="00A76A88" w:rsidRDefault="00442198">
      <w:pPr>
        <w:pStyle w:val="Heading5"/>
        <w:spacing w:before="180"/>
        <w:rPr>
          <w:snapToGrid w:val="0"/>
        </w:rPr>
      </w:pPr>
      <w:bookmarkStart w:id="6" w:name="_Toc411304970"/>
      <w:bookmarkStart w:id="7" w:name="_Toc170532876"/>
      <w:r>
        <w:rPr>
          <w:rStyle w:val="CharSectno"/>
        </w:rPr>
        <w:t>3</w:t>
      </w:r>
      <w:r>
        <w:rPr>
          <w:snapToGrid w:val="0"/>
        </w:rPr>
        <w:t>.</w:t>
      </w:r>
      <w:r>
        <w:rPr>
          <w:snapToGrid w:val="0"/>
        </w:rPr>
        <w:tab/>
        <w:t>Authority for deviation</w:t>
      </w:r>
      <w:bookmarkEnd w:id="6"/>
      <w:bookmarkEnd w:id="7"/>
      <w:r>
        <w:rPr>
          <w:snapToGrid w:val="0"/>
        </w:rPr>
        <w:t xml:space="preserve"> </w:t>
      </w:r>
    </w:p>
    <w:p w:rsidR="00A76A88" w:rsidRDefault="00442198">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extent of 5 miles on either side of that line.</w:t>
      </w:r>
    </w:p>
    <w:p w:rsidR="00A76A88" w:rsidRDefault="00A76A88">
      <w:pPr>
        <w:rPr>
          <w:rStyle w:val="CharDivText"/>
        </w:rPr>
        <w:sectPr w:rsidR="00A76A8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76A88" w:rsidRDefault="00442198">
      <w:pPr>
        <w:pStyle w:val="yScheduleHeading"/>
      </w:pPr>
      <w:bookmarkStart w:id="8" w:name="_Toc159037244"/>
      <w:bookmarkStart w:id="9" w:name="_Toc168464637"/>
      <w:bookmarkStart w:id="10" w:name="_Toc168891082"/>
      <w:bookmarkStart w:id="11" w:name="_Toc170028545"/>
      <w:bookmarkStart w:id="12" w:name="_Toc170532847"/>
      <w:bookmarkStart w:id="13" w:name="_Toc170532877"/>
      <w:r>
        <w:rPr>
          <w:rStyle w:val="CharSchNo"/>
        </w:rPr>
        <w:t>Schedule</w:t>
      </w:r>
      <w:bookmarkEnd w:id="8"/>
      <w:bookmarkEnd w:id="9"/>
      <w:bookmarkEnd w:id="10"/>
      <w:bookmarkEnd w:id="11"/>
      <w:bookmarkEnd w:id="12"/>
      <w:bookmarkEnd w:id="13"/>
      <w:r>
        <w:t xml:space="preserve"> </w:t>
      </w:r>
    </w:p>
    <w:p w:rsidR="00A76A88" w:rsidRDefault="00442198">
      <w:pPr>
        <w:pStyle w:val="yShoulderClause"/>
        <w:rPr>
          <w:snapToGrid w:val="0"/>
        </w:rPr>
      </w:pPr>
      <w:r>
        <w:rPr>
          <w:snapToGrid w:val="0"/>
        </w:rPr>
        <w:t>[S. 2.]</w:t>
      </w:r>
    </w:p>
    <w:p w:rsidR="00A76A88" w:rsidRDefault="00442198">
      <w:pPr>
        <w:pStyle w:val="yHeading2"/>
        <w:spacing w:line="480" w:lineRule="auto"/>
      </w:pPr>
      <w:bookmarkStart w:id="14" w:name="_Toc170028546"/>
      <w:bookmarkStart w:id="15" w:name="_Toc170532848"/>
      <w:bookmarkStart w:id="16" w:name="_Toc170532878"/>
      <w:r>
        <w:rPr>
          <w:rStyle w:val="CharSchText"/>
        </w:rPr>
        <w:t>Kwinana</w:t>
      </w:r>
      <w:r>
        <w:rPr>
          <w:rStyle w:val="CharSchText"/>
        </w:rPr>
        <w:noBreakHyphen/>
        <w:t>Mundijong</w:t>
      </w:r>
      <w:r>
        <w:rPr>
          <w:rStyle w:val="CharSchText"/>
        </w:rPr>
        <w:noBreakHyphen/>
        <w:t xml:space="preserve">Jarrahdale Railway extension </w:t>
      </w:r>
      <w:r>
        <w:t>Description of line of Railway</w:t>
      </w:r>
      <w:bookmarkEnd w:id="14"/>
      <w:bookmarkEnd w:id="15"/>
      <w:bookmarkEnd w:id="16"/>
    </w:p>
    <w:p w:rsidR="00A76A88" w:rsidRDefault="00442198">
      <w:pPr>
        <w:pStyle w:val="yTable"/>
        <w:rPr>
          <w:snapToGrid w:val="0"/>
        </w:rPr>
      </w:pPr>
      <w:r>
        <w:rPr>
          <w:snapToGrid w:val="0"/>
        </w:rPr>
        <w:t xml:space="preserve">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rsidR="00A76A88" w:rsidRDefault="00442198">
      <w:pPr>
        <w:pStyle w:val="yTable"/>
        <w:rPr>
          <w:snapToGrid w:val="0"/>
        </w:rPr>
      </w:pPr>
      <w:r>
        <w:rPr>
          <w:snapToGrid w:val="0"/>
        </w:rPr>
        <w:t>Total length 3 miles 55 chains.</w:t>
      </w:r>
    </w:p>
    <w:p w:rsidR="00A76A88" w:rsidRDefault="00A76A88">
      <w:pPr>
        <w:sectPr w:rsidR="00A76A8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76A88" w:rsidRDefault="00442198">
      <w:pPr>
        <w:pStyle w:val="nHeading2"/>
      </w:pPr>
      <w:bookmarkStart w:id="17" w:name="_Toc159037245"/>
      <w:bookmarkStart w:id="18" w:name="_Toc168464638"/>
      <w:bookmarkStart w:id="19" w:name="_Toc168891083"/>
      <w:bookmarkStart w:id="20" w:name="_Toc170028547"/>
      <w:bookmarkStart w:id="21" w:name="_Toc170532849"/>
      <w:bookmarkStart w:id="22" w:name="_Toc170532879"/>
      <w:r>
        <w:t>Notes</w:t>
      </w:r>
      <w:bookmarkEnd w:id="17"/>
      <w:bookmarkEnd w:id="18"/>
      <w:bookmarkEnd w:id="19"/>
      <w:bookmarkEnd w:id="20"/>
      <w:bookmarkEnd w:id="21"/>
      <w:bookmarkEnd w:id="22"/>
    </w:p>
    <w:p w:rsidR="00A76A88" w:rsidRDefault="00442198">
      <w:pPr>
        <w:pStyle w:val="nSubsection"/>
        <w:rPr>
          <w:snapToGrid w:val="0"/>
        </w:rPr>
      </w:pPr>
      <w:r>
        <w:rPr>
          <w:snapToGrid w:val="0"/>
          <w:vertAlign w:val="superscript"/>
        </w:rPr>
        <w:t>1</w:t>
      </w:r>
      <w:r>
        <w:rPr>
          <w:snapToGrid w:val="0"/>
        </w:rPr>
        <w:tab/>
        <w:t xml:space="preserve">This is a compilation of the </w:t>
      </w:r>
      <w:r>
        <w:rPr>
          <w:i/>
          <w:noProof/>
          <w:snapToGrid w:val="0"/>
        </w:rPr>
        <w:t>Kwinana-Mundijong-Jarrahdale Railway Extension Act 1967</w:t>
      </w:r>
      <w:r>
        <w:rPr>
          <w:snapToGrid w:val="0"/>
        </w:rPr>
        <w:t xml:space="preserve">.  The following table contains information about that Act and any reprint </w:t>
      </w:r>
      <w:r>
        <w:rPr>
          <w:snapToGrid w:val="0"/>
          <w:vertAlign w:val="superscript"/>
        </w:rPr>
        <w:t>1a</w:t>
      </w:r>
      <w:r>
        <w:rPr>
          <w:snapToGrid w:val="0"/>
        </w:rPr>
        <w:t xml:space="preserve">. </w:t>
      </w:r>
    </w:p>
    <w:p w:rsidR="00A76A88" w:rsidRDefault="00442198">
      <w:pPr>
        <w:pStyle w:val="nHeading3"/>
        <w:rPr>
          <w:snapToGrid w:val="0"/>
        </w:rPr>
      </w:pPr>
      <w:bookmarkStart w:id="23" w:name="_Toc170532880"/>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308"/>
        <w:gridCol w:w="1094"/>
        <w:gridCol w:w="1134"/>
        <w:gridCol w:w="2551"/>
      </w:tblGrid>
      <w:tr w:rsidR="00A76A88">
        <w:trPr>
          <w:tblHeader/>
        </w:trPr>
        <w:tc>
          <w:tcPr>
            <w:tcW w:w="2308" w:type="dxa"/>
            <w:tcBorders>
              <w:top w:val="single" w:sz="8" w:space="0" w:color="auto"/>
              <w:bottom w:val="single" w:sz="8" w:space="0" w:color="auto"/>
            </w:tcBorders>
          </w:tcPr>
          <w:p w:rsidR="00A76A88" w:rsidRDefault="00442198">
            <w:pPr>
              <w:pStyle w:val="nTable"/>
              <w:spacing w:after="40"/>
              <w:rPr>
                <w:b/>
                <w:sz w:val="19"/>
              </w:rPr>
            </w:pPr>
            <w:r>
              <w:rPr>
                <w:b/>
                <w:sz w:val="19"/>
              </w:rPr>
              <w:t>Short title</w:t>
            </w:r>
          </w:p>
        </w:tc>
        <w:tc>
          <w:tcPr>
            <w:tcW w:w="1094" w:type="dxa"/>
            <w:tcBorders>
              <w:top w:val="single" w:sz="8" w:space="0" w:color="auto"/>
              <w:bottom w:val="single" w:sz="8" w:space="0" w:color="auto"/>
            </w:tcBorders>
          </w:tcPr>
          <w:p w:rsidR="00A76A88" w:rsidRDefault="0044219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76A88" w:rsidRDefault="00442198">
            <w:pPr>
              <w:pStyle w:val="nTable"/>
              <w:spacing w:after="40"/>
              <w:rPr>
                <w:b/>
                <w:sz w:val="19"/>
              </w:rPr>
            </w:pPr>
            <w:r>
              <w:rPr>
                <w:b/>
                <w:sz w:val="19"/>
              </w:rPr>
              <w:t>Assent</w:t>
            </w:r>
          </w:p>
        </w:tc>
        <w:tc>
          <w:tcPr>
            <w:tcW w:w="2551" w:type="dxa"/>
            <w:tcBorders>
              <w:top w:val="single" w:sz="8" w:space="0" w:color="auto"/>
              <w:bottom w:val="single" w:sz="8" w:space="0" w:color="auto"/>
            </w:tcBorders>
          </w:tcPr>
          <w:p w:rsidR="00A76A88" w:rsidRDefault="00442198">
            <w:pPr>
              <w:pStyle w:val="nTable"/>
              <w:spacing w:after="40"/>
              <w:rPr>
                <w:b/>
                <w:sz w:val="19"/>
              </w:rPr>
            </w:pPr>
            <w:r>
              <w:rPr>
                <w:b/>
                <w:sz w:val="19"/>
              </w:rPr>
              <w:t>Commencement</w:t>
            </w:r>
          </w:p>
        </w:tc>
      </w:tr>
      <w:tr w:rsidR="00A76A88">
        <w:tc>
          <w:tcPr>
            <w:tcW w:w="2308" w:type="dxa"/>
            <w:tcBorders>
              <w:top w:val="single" w:sz="8" w:space="0" w:color="auto"/>
            </w:tcBorders>
          </w:tcPr>
          <w:p w:rsidR="00A76A88" w:rsidRDefault="00442198">
            <w:pPr>
              <w:pStyle w:val="nTable"/>
              <w:spacing w:after="40"/>
              <w:rPr>
                <w:sz w:val="19"/>
              </w:rPr>
            </w:pPr>
            <w:r>
              <w:rPr>
                <w:i/>
                <w:sz w:val="19"/>
              </w:rPr>
              <w:t>Kwinana</w:t>
            </w:r>
            <w:r>
              <w:rPr>
                <w:i/>
                <w:sz w:val="19"/>
              </w:rPr>
              <w:noBreakHyphen/>
              <w:t>Mundijong</w:t>
            </w:r>
            <w:r>
              <w:rPr>
                <w:i/>
                <w:sz w:val="19"/>
              </w:rPr>
              <w:noBreakHyphen/>
            </w:r>
            <w:r>
              <w:rPr>
                <w:i/>
                <w:sz w:val="19"/>
              </w:rPr>
              <w:br/>
              <w:t>Jarrahdale Railway Extension Act 1967</w:t>
            </w:r>
          </w:p>
        </w:tc>
        <w:tc>
          <w:tcPr>
            <w:tcW w:w="1094" w:type="dxa"/>
            <w:tcBorders>
              <w:top w:val="single" w:sz="8" w:space="0" w:color="auto"/>
            </w:tcBorders>
          </w:tcPr>
          <w:p w:rsidR="00A76A88" w:rsidRDefault="00442198">
            <w:pPr>
              <w:pStyle w:val="nTable"/>
              <w:spacing w:after="40"/>
              <w:rPr>
                <w:sz w:val="19"/>
              </w:rPr>
            </w:pPr>
            <w:r>
              <w:rPr>
                <w:sz w:val="19"/>
              </w:rPr>
              <w:t>62 of 1967</w:t>
            </w:r>
          </w:p>
        </w:tc>
        <w:tc>
          <w:tcPr>
            <w:tcW w:w="1134" w:type="dxa"/>
            <w:tcBorders>
              <w:top w:val="single" w:sz="8" w:space="0" w:color="auto"/>
            </w:tcBorders>
          </w:tcPr>
          <w:p w:rsidR="00A76A88" w:rsidRDefault="00442198">
            <w:pPr>
              <w:pStyle w:val="nTable"/>
              <w:spacing w:after="40"/>
              <w:rPr>
                <w:sz w:val="19"/>
              </w:rPr>
            </w:pPr>
            <w:r>
              <w:rPr>
                <w:sz w:val="19"/>
              </w:rPr>
              <w:t>5 Dec 1967</w:t>
            </w:r>
          </w:p>
        </w:tc>
        <w:tc>
          <w:tcPr>
            <w:tcW w:w="2551" w:type="dxa"/>
            <w:tcBorders>
              <w:top w:val="single" w:sz="8" w:space="0" w:color="auto"/>
            </w:tcBorders>
          </w:tcPr>
          <w:p w:rsidR="00A76A88" w:rsidRDefault="00442198">
            <w:pPr>
              <w:pStyle w:val="nTable"/>
              <w:spacing w:after="40"/>
              <w:rPr>
                <w:sz w:val="19"/>
              </w:rPr>
            </w:pPr>
            <w:r>
              <w:rPr>
                <w:sz w:val="19"/>
              </w:rPr>
              <w:t>5 Dec 1967</w:t>
            </w:r>
          </w:p>
        </w:tc>
      </w:tr>
      <w:tr w:rsidR="00A76A88">
        <w:trPr>
          <w:cantSplit/>
        </w:trPr>
        <w:tc>
          <w:tcPr>
            <w:tcW w:w="7087" w:type="dxa"/>
            <w:gridSpan w:val="4"/>
            <w:tcBorders>
              <w:bottom w:val="single" w:sz="8" w:space="0" w:color="auto"/>
            </w:tcBorders>
          </w:tcPr>
          <w:p w:rsidR="00A76A88" w:rsidRDefault="00442198">
            <w:pPr>
              <w:pStyle w:val="nTable"/>
              <w:spacing w:after="40"/>
              <w:rPr>
                <w:b/>
                <w:bCs/>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Extension Act 1967</w:t>
            </w:r>
            <w:r>
              <w:rPr>
                <w:b/>
                <w:bCs/>
                <w:sz w:val="19"/>
              </w:rPr>
              <w:t xml:space="preserve"> as at 6 Jul 2007</w:t>
            </w:r>
          </w:p>
        </w:tc>
      </w:tr>
    </w:tbl>
    <w:p w:rsidR="00A76A88" w:rsidRDefault="0044219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76A88" w:rsidRDefault="00442198">
      <w:pPr>
        <w:pStyle w:val="nHeading3"/>
      </w:pPr>
      <w:bookmarkStart w:id="24" w:name="_Toc7405065"/>
      <w:r>
        <w:t>Provisions that have not come into operation</w:t>
      </w:r>
      <w:bookmarkEnd w:id="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76A88">
        <w:tc>
          <w:tcPr>
            <w:tcW w:w="2266" w:type="dxa"/>
          </w:tcPr>
          <w:p w:rsidR="00A76A88" w:rsidRDefault="00442198">
            <w:pPr>
              <w:pStyle w:val="nTable"/>
              <w:spacing w:after="40"/>
              <w:rPr>
                <w:b/>
                <w:snapToGrid w:val="0"/>
                <w:sz w:val="19"/>
                <w:lang w:val="en-US"/>
              </w:rPr>
            </w:pPr>
            <w:r>
              <w:rPr>
                <w:b/>
                <w:snapToGrid w:val="0"/>
                <w:sz w:val="19"/>
                <w:lang w:val="en-US"/>
              </w:rPr>
              <w:t>Short title</w:t>
            </w:r>
          </w:p>
        </w:tc>
        <w:tc>
          <w:tcPr>
            <w:tcW w:w="1120" w:type="dxa"/>
          </w:tcPr>
          <w:p w:rsidR="00A76A88" w:rsidRDefault="00442198">
            <w:pPr>
              <w:pStyle w:val="nTable"/>
              <w:spacing w:after="40"/>
              <w:rPr>
                <w:b/>
                <w:snapToGrid w:val="0"/>
                <w:sz w:val="19"/>
                <w:lang w:val="en-US"/>
              </w:rPr>
            </w:pPr>
            <w:r>
              <w:rPr>
                <w:b/>
                <w:snapToGrid w:val="0"/>
                <w:sz w:val="19"/>
                <w:lang w:val="en-US"/>
              </w:rPr>
              <w:t>Number and year</w:t>
            </w:r>
          </w:p>
        </w:tc>
        <w:tc>
          <w:tcPr>
            <w:tcW w:w="1135" w:type="dxa"/>
          </w:tcPr>
          <w:p w:rsidR="00A76A88" w:rsidRDefault="00442198">
            <w:pPr>
              <w:pStyle w:val="nTable"/>
              <w:spacing w:after="40"/>
              <w:rPr>
                <w:b/>
                <w:snapToGrid w:val="0"/>
                <w:sz w:val="19"/>
                <w:lang w:val="en-US"/>
              </w:rPr>
            </w:pPr>
            <w:r>
              <w:rPr>
                <w:b/>
                <w:snapToGrid w:val="0"/>
                <w:sz w:val="19"/>
                <w:lang w:val="en-US"/>
              </w:rPr>
              <w:t>Assent</w:t>
            </w:r>
          </w:p>
        </w:tc>
        <w:tc>
          <w:tcPr>
            <w:tcW w:w="2534" w:type="dxa"/>
          </w:tcPr>
          <w:p w:rsidR="00A76A88" w:rsidRDefault="00442198">
            <w:pPr>
              <w:pStyle w:val="nTable"/>
              <w:spacing w:after="40"/>
              <w:rPr>
                <w:b/>
                <w:snapToGrid w:val="0"/>
                <w:sz w:val="19"/>
                <w:lang w:val="en-US"/>
              </w:rPr>
            </w:pPr>
            <w:r>
              <w:rPr>
                <w:b/>
                <w:snapToGrid w:val="0"/>
                <w:sz w:val="19"/>
                <w:lang w:val="en-US"/>
              </w:rPr>
              <w:t>Commencement</w:t>
            </w:r>
          </w:p>
        </w:tc>
      </w:tr>
      <w:tr w:rsidR="00A76A88">
        <w:tblPrEx>
          <w:tblCellMar>
            <w:left w:w="56" w:type="dxa"/>
            <w:right w:w="56" w:type="dxa"/>
          </w:tblCellMar>
        </w:tblPrEx>
        <w:trPr>
          <w:cantSplit/>
        </w:trPr>
        <w:tc>
          <w:tcPr>
            <w:tcW w:w="2266" w:type="dxa"/>
          </w:tcPr>
          <w:p w:rsidR="00A76A88" w:rsidRDefault="0044219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A76A88" w:rsidRDefault="00442198">
            <w:pPr>
              <w:pStyle w:val="nTable"/>
              <w:spacing w:after="40"/>
              <w:rPr>
                <w:snapToGrid w:val="0"/>
                <w:sz w:val="19"/>
                <w:lang w:val="en-US"/>
              </w:rPr>
            </w:pPr>
            <w:r>
              <w:rPr>
                <w:snapToGrid w:val="0"/>
                <w:sz w:val="19"/>
                <w:lang w:val="en-US"/>
              </w:rPr>
              <w:t>19 of 2010</w:t>
            </w:r>
          </w:p>
        </w:tc>
        <w:tc>
          <w:tcPr>
            <w:tcW w:w="1135" w:type="dxa"/>
          </w:tcPr>
          <w:p w:rsidR="00A76A88" w:rsidRDefault="00442198">
            <w:pPr>
              <w:pStyle w:val="nTable"/>
              <w:spacing w:after="40"/>
              <w:rPr>
                <w:snapToGrid w:val="0"/>
                <w:sz w:val="19"/>
                <w:lang w:val="en-US"/>
              </w:rPr>
            </w:pPr>
            <w:r>
              <w:rPr>
                <w:snapToGrid w:val="0"/>
                <w:sz w:val="19"/>
                <w:lang w:val="en-US"/>
              </w:rPr>
              <w:t>28 Jun 2010</w:t>
            </w:r>
          </w:p>
        </w:tc>
        <w:tc>
          <w:tcPr>
            <w:tcW w:w="2534" w:type="dxa"/>
          </w:tcPr>
          <w:p w:rsidR="00A76A88" w:rsidRDefault="00442198">
            <w:pPr>
              <w:pStyle w:val="nTable"/>
              <w:spacing w:after="40"/>
              <w:rPr>
                <w:snapToGrid w:val="0"/>
                <w:sz w:val="19"/>
                <w:lang w:val="en-US"/>
              </w:rPr>
            </w:pPr>
            <w:r>
              <w:rPr>
                <w:snapToGrid w:val="0"/>
                <w:sz w:val="19"/>
                <w:lang w:val="en-US"/>
              </w:rPr>
              <w:t>To be proclaimed (see s. 2(b))</w:t>
            </w:r>
          </w:p>
        </w:tc>
      </w:tr>
    </w:tbl>
    <w:p w:rsidR="00A76A88" w:rsidRDefault="00442198">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A76A88" w:rsidRDefault="00A76A88">
      <w:pPr>
        <w:pStyle w:val="BlankOpen"/>
        <w:rPr>
          <w:snapToGrid w:val="0"/>
        </w:rPr>
      </w:pPr>
    </w:p>
    <w:p w:rsidR="00A76A88" w:rsidRDefault="00442198">
      <w:pPr>
        <w:pStyle w:val="nzHeading5"/>
      </w:pPr>
      <w:r>
        <w:rPr>
          <w:rStyle w:val="CharSectno"/>
        </w:rPr>
        <w:t>5</w:t>
      </w:r>
      <w:r>
        <w:t>.</w:t>
      </w:r>
      <w:r>
        <w:tab/>
        <w:t>Schedule headings in railway Acts replaced</w:t>
      </w:r>
    </w:p>
    <w:p w:rsidR="00A76A88" w:rsidRDefault="00442198">
      <w:pPr>
        <w:pStyle w:val="nzSubsection"/>
        <w:rPr>
          <w:rFonts w:eastAsia="MS Mincho"/>
        </w:rPr>
      </w:pPr>
      <w:r>
        <w:rPr>
          <w:rFonts w:eastAsia="MS Mincho"/>
        </w:rPr>
        <w:tab/>
        <w:t>(1)</w:t>
      </w:r>
      <w:r>
        <w:rPr>
          <w:rFonts w:eastAsia="MS Mincho"/>
        </w:rPr>
        <w:tab/>
        <w:t>This section amends the Acts listed in the Table.</w:t>
      </w:r>
    </w:p>
    <w:p w:rsidR="00A76A88" w:rsidRDefault="00442198">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A76A88" w:rsidRDefault="00442198">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A76A88">
        <w:trPr>
          <w:tblHeader/>
        </w:trPr>
        <w:tc>
          <w:tcPr>
            <w:tcW w:w="2268"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jc w:val="center"/>
              <w:rPr>
                <w:b/>
                <w:bCs/>
                <w:sz w:val="18"/>
              </w:rPr>
            </w:pPr>
            <w:r>
              <w:rPr>
                <w:b/>
                <w:bCs/>
                <w:sz w:val="18"/>
              </w:rPr>
              <w:t>Title</w:t>
            </w:r>
          </w:p>
          <w:p w:rsidR="00A76A88" w:rsidRDefault="00A76A88">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A76A88" w:rsidRDefault="00442198">
            <w:pPr>
              <w:pStyle w:val="TableAm"/>
              <w:spacing w:before="0"/>
              <w:jc w:val="center"/>
              <w:rPr>
                <w:b/>
                <w:bCs/>
                <w:sz w:val="18"/>
              </w:rPr>
            </w:pPr>
            <w:r>
              <w:rPr>
                <w:b/>
                <w:bCs/>
                <w:sz w:val="18"/>
              </w:rPr>
              <w:t>Shoulder note</w:t>
            </w:r>
          </w:p>
        </w:tc>
      </w:tr>
      <w:tr w:rsidR="00A76A88">
        <w:tc>
          <w:tcPr>
            <w:tcW w:w="2268"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rPr>
                <w:rFonts w:eastAsia="MS Mincho"/>
                <w:iCs/>
                <w:sz w:val="18"/>
              </w:rPr>
            </w:pPr>
            <w:r>
              <w:rPr>
                <w:rFonts w:eastAsia="MS Mincho"/>
                <w:i/>
                <w:iCs/>
                <w:sz w:val="18"/>
              </w:rPr>
              <w:t>Kwinana</w:t>
            </w:r>
            <w:r>
              <w:rPr>
                <w:rFonts w:eastAsia="MS Mincho"/>
                <w:i/>
                <w:iCs/>
                <w:sz w:val="18"/>
              </w:rPr>
              <w:noBreakHyphen/>
              <w:t>Mundijong</w:t>
            </w:r>
            <w:r>
              <w:rPr>
                <w:rFonts w:eastAsia="MS Mincho"/>
                <w:i/>
                <w:iCs/>
                <w:sz w:val="18"/>
              </w:rPr>
              <w:noBreakHyphen/>
              <w:t xml:space="preserve"> Jarrahdale Railway Extension Act 1967</w:t>
            </w:r>
          </w:p>
        </w:tc>
        <w:tc>
          <w:tcPr>
            <w:tcW w:w="1134"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A76A88" w:rsidRDefault="00442198">
            <w:pPr>
              <w:pStyle w:val="TableAm"/>
              <w:spacing w:before="0"/>
              <w:rPr>
                <w:sz w:val="18"/>
              </w:rPr>
            </w:pPr>
            <w:r>
              <w:rPr>
                <w:rFonts w:eastAsia="MS Mincho"/>
                <w:sz w:val="18"/>
              </w:rPr>
              <w:t xml:space="preserve">Line of Kwinana </w:t>
            </w:r>
            <w:r>
              <w:rPr>
                <w:rFonts w:eastAsia="MS Mincho"/>
                <w:sz w:val="18"/>
              </w:rPr>
              <w:noBreakHyphen/>
              <w:t xml:space="preserve"> Mundijong </w:t>
            </w:r>
            <w:r>
              <w:rPr>
                <w:rFonts w:eastAsia="MS Mincho"/>
                <w:sz w:val="18"/>
              </w:rPr>
              <w:noBreakHyphen/>
              <w:t xml:space="preserve"> Jarrahdale Railway Extension</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A76A88" w:rsidRDefault="00442198">
            <w:pPr>
              <w:pStyle w:val="TableAm"/>
              <w:spacing w:before="0"/>
              <w:rPr>
                <w:sz w:val="18"/>
              </w:rPr>
            </w:pPr>
            <w:r>
              <w:rPr>
                <w:sz w:val="18"/>
              </w:rPr>
              <w:t>[s. 2]</w:t>
            </w:r>
          </w:p>
        </w:tc>
      </w:tr>
    </w:tbl>
    <w:p w:rsidR="00A76A88" w:rsidRDefault="00A76A88">
      <w:pPr>
        <w:pStyle w:val="BlankClose"/>
      </w:pPr>
    </w:p>
    <w:p w:rsidR="00A76A88" w:rsidRDefault="00A76A88"/>
    <w:p w:rsidR="00A76A88" w:rsidRDefault="00A76A88">
      <w:pPr>
        <w:sectPr w:rsidR="00A76A8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76A88" w:rsidRDefault="00A76A88">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A76A8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88" w:rsidRDefault="00442198">
      <w:r>
        <w:separator/>
      </w:r>
    </w:p>
  </w:endnote>
  <w:endnote w:type="continuationSeparator" w:id="0">
    <w:p w:rsidR="00A76A88" w:rsidRDefault="0044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p>
  <w:p w:rsidR="00A76A88" w:rsidRDefault="004421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76A88" w:rsidRDefault="004421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76A88" w:rsidRDefault="004421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p>
  <w:p w:rsidR="00A76A88" w:rsidRDefault="004421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76A88" w:rsidRDefault="0044219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14C4">
      <w:rPr>
        <w:rStyle w:val="PageNumber"/>
        <w:rFonts w:ascii="Arial" w:hAnsi="Arial" w:cs="Arial"/>
        <w:noProof/>
      </w:rPr>
      <w:t>i</w:t>
    </w:r>
    <w:r>
      <w:rPr>
        <w:rStyle w:val="PageNumber"/>
        <w:rFonts w:ascii="Arial" w:hAnsi="Arial" w:cs="Arial"/>
      </w:rPr>
      <w:fldChar w:fldCharType="end"/>
    </w:r>
  </w:p>
  <w:p w:rsidR="00A76A88" w:rsidRDefault="0044219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4C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76A88" w:rsidRDefault="004421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4C4">
      <w:rPr>
        <w:rStyle w:val="CharPageNo"/>
        <w:rFonts w:ascii="Arial" w:hAnsi="Arial"/>
        <w:noProof/>
      </w:rPr>
      <w:t>3</w:t>
    </w:r>
    <w:r>
      <w:rPr>
        <w:rStyle w:val="CharPageNo"/>
        <w:rFonts w:ascii="Arial" w:hAnsi="Arial"/>
      </w:rPr>
      <w:fldChar w:fldCharType="end"/>
    </w:r>
  </w:p>
  <w:p w:rsidR="00A76A88" w:rsidRDefault="0044219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Footer"/>
      <w:tabs>
        <w:tab w:val="clear" w:pos="4153"/>
        <w:tab w:val="right" w:pos="7088"/>
      </w:tabs>
      <w:rPr>
        <w:rStyle w:val="PageNumber"/>
      </w:rPr>
    </w:pPr>
  </w:p>
  <w:p w:rsidR="00A76A88" w:rsidRDefault="004421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4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4C4">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4C4">
      <w:rPr>
        <w:rStyle w:val="CharPageNo"/>
        <w:rFonts w:ascii="Arial" w:hAnsi="Arial"/>
        <w:noProof/>
      </w:rPr>
      <w:t>1</w:t>
    </w:r>
    <w:r>
      <w:rPr>
        <w:rStyle w:val="CharPageNo"/>
        <w:rFonts w:ascii="Arial" w:hAnsi="Arial"/>
      </w:rPr>
      <w:fldChar w:fldCharType="end"/>
    </w:r>
  </w:p>
  <w:p w:rsidR="00A76A88" w:rsidRDefault="0044219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88" w:rsidRDefault="00442198">
      <w:r>
        <w:separator/>
      </w:r>
    </w:p>
  </w:footnote>
  <w:footnote w:type="continuationSeparator" w:id="0">
    <w:p w:rsidR="00A76A88" w:rsidRDefault="0044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4" w:rsidRDefault="006F14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76A88">
      <w:trPr>
        <w:cantSplit/>
      </w:trPr>
      <w:tc>
        <w:tcPr>
          <w:tcW w:w="7263" w:type="dxa"/>
          <w:gridSpan w:val="2"/>
        </w:tcPr>
        <w:p w:rsidR="00A76A88" w:rsidRDefault="00442198">
          <w:pPr>
            <w:pStyle w:val="HeaderActNameRight"/>
            <w:ind w:right="17"/>
          </w:pPr>
          <w:fldSimple w:instr=" Styleref &quot;Name of Act/Reg&quot; ">
            <w:r w:rsidR="006F14C4">
              <w:rPr>
                <w:noProof/>
              </w:rPr>
              <w:t>Kwinana-Mundijong-Jarrahdale Railway Extension Act 1967</w:t>
            </w:r>
          </w:fldSimple>
        </w:p>
      </w:tc>
    </w:tr>
    <w:tr w:rsidR="00A76A88">
      <w:tc>
        <w:tcPr>
          <w:tcW w:w="5715" w:type="dxa"/>
          <w:vAlign w:val="bottom"/>
        </w:tcPr>
        <w:p w:rsidR="00A76A88" w:rsidRDefault="00442198">
          <w:pPr>
            <w:pStyle w:val="HeaderTextRight"/>
          </w:pPr>
          <w:r>
            <w:fldChar w:fldCharType="begin"/>
          </w:r>
          <w:r>
            <w:instrText xml:space="preserve"> styleref CharSchText </w:instrText>
          </w:r>
          <w:r>
            <w:fldChar w:fldCharType="end"/>
          </w:r>
        </w:p>
      </w:tc>
      <w:tc>
        <w:tcPr>
          <w:tcW w:w="1548" w:type="dxa"/>
        </w:tcPr>
        <w:p w:rsidR="00A76A88" w:rsidRDefault="00442198">
          <w:pPr>
            <w:pStyle w:val="HeaderNumberRight"/>
            <w:ind w:right="17"/>
          </w:pPr>
          <w:r>
            <w:fldChar w:fldCharType="begin"/>
          </w:r>
          <w:r>
            <w:instrText xml:space="preserve"> styleref CharSchno </w:instrText>
          </w:r>
          <w:r>
            <w:fldChar w:fldCharType="end"/>
          </w:r>
        </w:p>
      </w:tc>
    </w:tr>
    <w:tr w:rsidR="00A76A88">
      <w:tc>
        <w:tcPr>
          <w:tcW w:w="5715" w:type="dxa"/>
        </w:tcPr>
        <w:p w:rsidR="00A76A88" w:rsidRDefault="00A76A88">
          <w:pPr>
            <w:pStyle w:val="HeaderTextRight"/>
          </w:pPr>
        </w:p>
      </w:tc>
      <w:tc>
        <w:tcPr>
          <w:tcW w:w="1548" w:type="dxa"/>
        </w:tcPr>
        <w:p w:rsidR="00A76A88" w:rsidRDefault="00A76A88">
          <w:pPr>
            <w:pStyle w:val="HeaderNumberRight"/>
            <w:ind w:right="17"/>
          </w:pPr>
        </w:p>
      </w:tc>
    </w:tr>
    <w:tr w:rsidR="00A76A88">
      <w:tc>
        <w:tcPr>
          <w:tcW w:w="5715" w:type="dxa"/>
        </w:tcPr>
        <w:p w:rsidR="00A76A88" w:rsidRDefault="00A76A88">
          <w:pPr>
            <w:pStyle w:val="HeaderTextRight"/>
          </w:pPr>
        </w:p>
      </w:tc>
      <w:tc>
        <w:tcPr>
          <w:tcW w:w="1548" w:type="dxa"/>
        </w:tcPr>
        <w:p w:rsidR="00A76A88" w:rsidRDefault="00A76A88">
          <w:pPr>
            <w:pStyle w:val="HeaderNumberRight"/>
            <w:ind w:right="17"/>
            <w:rPr>
              <w:bCs/>
            </w:rPr>
          </w:pPr>
        </w:p>
      </w:tc>
    </w:tr>
  </w:tbl>
  <w:p w:rsidR="00A76A88" w:rsidRDefault="00A76A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6A88">
      <w:trPr>
        <w:cantSplit/>
      </w:trPr>
      <w:tc>
        <w:tcPr>
          <w:tcW w:w="7312" w:type="dxa"/>
          <w:gridSpan w:val="2"/>
        </w:tcPr>
        <w:p w:rsidR="00A76A88" w:rsidRDefault="00442198">
          <w:pPr>
            <w:pStyle w:val="HeaderActNameLeft"/>
          </w:pPr>
          <w:fldSimple w:instr=" Styleref &quot;Name of Act/Reg&quot; ">
            <w:r w:rsidR="006F14C4">
              <w:rPr>
                <w:noProof/>
              </w:rPr>
              <w:t>Kwinana-Mundijong-Jarrahdale Railway Extension Act 1967</w:t>
            </w:r>
          </w:fldSimple>
        </w:p>
      </w:tc>
    </w:tr>
    <w:tr w:rsidR="00A76A88">
      <w:tc>
        <w:tcPr>
          <w:tcW w:w="1548" w:type="dxa"/>
        </w:tcPr>
        <w:p w:rsidR="00A76A88" w:rsidRDefault="00A76A88">
          <w:pPr>
            <w:pStyle w:val="HeaderNumberLeft"/>
          </w:pPr>
        </w:p>
      </w:tc>
      <w:tc>
        <w:tcPr>
          <w:tcW w:w="5764" w:type="dxa"/>
        </w:tcPr>
        <w:p w:rsidR="00A76A88" w:rsidRDefault="00A76A88">
          <w:pPr>
            <w:pStyle w:val="HeaderTextLeft"/>
          </w:pPr>
        </w:p>
      </w:tc>
    </w:tr>
    <w:tr w:rsidR="00A76A88">
      <w:tc>
        <w:tcPr>
          <w:tcW w:w="1548" w:type="dxa"/>
        </w:tcPr>
        <w:p w:rsidR="00A76A88" w:rsidRDefault="00A76A88">
          <w:pPr>
            <w:pStyle w:val="HeaderNumberLeft"/>
          </w:pPr>
        </w:p>
      </w:tc>
      <w:tc>
        <w:tcPr>
          <w:tcW w:w="5764" w:type="dxa"/>
        </w:tcPr>
        <w:p w:rsidR="00A76A88" w:rsidRDefault="00A76A88">
          <w:pPr>
            <w:pStyle w:val="HeaderTextLeft"/>
          </w:pPr>
        </w:p>
      </w:tc>
    </w:tr>
    <w:tr w:rsidR="00A76A88">
      <w:trPr>
        <w:cantSplit/>
      </w:trPr>
      <w:tc>
        <w:tcPr>
          <w:tcW w:w="7312" w:type="dxa"/>
          <w:gridSpan w:val="2"/>
        </w:tcPr>
        <w:p w:rsidR="00A76A88" w:rsidRDefault="00A76A88">
          <w:pPr>
            <w:pStyle w:val="HeaderSectionLeft"/>
          </w:pPr>
        </w:p>
      </w:tc>
    </w:tr>
  </w:tbl>
  <w:p w:rsidR="00A76A88" w:rsidRDefault="00A76A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6A88">
      <w:trPr>
        <w:cantSplit/>
      </w:trPr>
      <w:tc>
        <w:tcPr>
          <w:tcW w:w="7312" w:type="dxa"/>
          <w:gridSpan w:val="2"/>
        </w:tcPr>
        <w:p w:rsidR="00A76A88" w:rsidRDefault="00442198">
          <w:pPr>
            <w:pStyle w:val="HeaderActNameRight"/>
          </w:pPr>
          <w:fldSimple w:instr=" Styleref &quot;Name of Act/Reg&quot; ">
            <w:r w:rsidR="006F14C4">
              <w:rPr>
                <w:noProof/>
              </w:rPr>
              <w:t>Kwinana-Mundijong-Jarrahdale Railway Extension Act 1967</w:t>
            </w:r>
          </w:fldSimple>
        </w:p>
      </w:tc>
    </w:tr>
    <w:tr w:rsidR="00A76A88">
      <w:tc>
        <w:tcPr>
          <w:tcW w:w="5760" w:type="dxa"/>
        </w:tcPr>
        <w:p w:rsidR="00A76A88" w:rsidRDefault="00A76A88">
          <w:pPr>
            <w:pStyle w:val="HeaderTextRight"/>
          </w:pPr>
        </w:p>
      </w:tc>
      <w:tc>
        <w:tcPr>
          <w:tcW w:w="1552" w:type="dxa"/>
        </w:tcPr>
        <w:p w:rsidR="00A76A88" w:rsidRDefault="00A76A88">
          <w:pPr>
            <w:pStyle w:val="HeaderNumberRight"/>
          </w:pPr>
        </w:p>
      </w:tc>
    </w:tr>
    <w:tr w:rsidR="00A76A88">
      <w:tc>
        <w:tcPr>
          <w:tcW w:w="5760" w:type="dxa"/>
        </w:tcPr>
        <w:p w:rsidR="00A76A88" w:rsidRDefault="00A76A88">
          <w:pPr>
            <w:pStyle w:val="HeaderTextRight"/>
          </w:pPr>
        </w:p>
      </w:tc>
      <w:tc>
        <w:tcPr>
          <w:tcW w:w="1552" w:type="dxa"/>
        </w:tcPr>
        <w:p w:rsidR="00A76A88" w:rsidRDefault="00A76A88">
          <w:pPr>
            <w:pStyle w:val="HeaderNumberRight"/>
          </w:pPr>
        </w:p>
      </w:tc>
    </w:tr>
    <w:tr w:rsidR="00A76A88">
      <w:trPr>
        <w:cantSplit/>
      </w:trPr>
      <w:tc>
        <w:tcPr>
          <w:tcW w:w="7312" w:type="dxa"/>
          <w:gridSpan w:val="2"/>
        </w:tcPr>
        <w:p w:rsidR="00A76A88" w:rsidRDefault="00A76A88">
          <w:pPr>
            <w:pStyle w:val="HeaderSectionRight"/>
          </w:pPr>
        </w:p>
      </w:tc>
    </w:tr>
  </w:tbl>
  <w:p w:rsidR="00A76A88" w:rsidRDefault="00A76A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442198">
    <w:pPr>
      <w:pStyle w:val="headerpartodd"/>
      <w:ind w:left="0" w:firstLine="0"/>
      <w:rPr>
        <w:i/>
      </w:rPr>
    </w:pPr>
    <w:r>
      <w:rPr>
        <w:i/>
      </w:rPr>
      <w:fldChar w:fldCharType="begin"/>
    </w:r>
    <w:r>
      <w:rPr>
        <w:i/>
      </w:rPr>
      <w:instrText xml:space="preserve"> Styleref "Name of Act/Reg" </w:instrText>
    </w:r>
    <w:r>
      <w:rPr>
        <w:i/>
      </w:rPr>
      <w:fldChar w:fldCharType="separate"/>
    </w:r>
    <w:r w:rsidR="006F14C4">
      <w:rPr>
        <w:i/>
        <w:noProof/>
      </w:rPr>
      <w:t>Kwinana-Mundijong-Jarrahdale Railway Extension Act 1967</w:t>
    </w:r>
    <w:r>
      <w:rPr>
        <w:i/>
      </w:rPr>
      <w:fldChar w:fldCharType="end"/>
    </w:r>
  </w:p>
  <w:p w:rsidR="00A76A88" w:rsidRDefault="00A76A88">
    <w:pPr>
      <w:pStyle w:val="headerpartodd"/>
      <w:ind w:left="0" w:firstLine="0"/>
      <w:rPr>
        <w:b w:val="0"/>
        <w:i/>
      </w:rPr>
    </w:pPr>
  </w:p>
  <w:p w:rsidR="00A76A88" w:rsidRDefault="00A76A88">
    <w:pPr>
      <w:pStyle w:val="headerpart"/>
    </w:pPr>
  </w:p>
  <w:p w:rsidR="00A76A88" w:rsidRDefault="00A76A88">
    <w:pPr>
      <w:pStyle w:val="headerpart"/>
    </w:pPr>
  </w:p>
  <w:p w:rsidR="00A76A88" w:rsidRDefault="00A76A88">
    <w:pPr>
      <w:pBdr>
        <w:bottom w:val="single" w:sz="6" w:space="1" w:color="auto"/>
      </w:pBdr>
      <w:rPr>
        <w:b/>
      </w:rPr>
    </w:pPr>
  </w:p>
  <w:p w:rsidR="00A76A88" w:rsidRDefault="00A76A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442198">
    <w:pPr>
      <w:pStyle w:val="headerpartodd"/>
      <w:ind w:left="0" w:firstLine="0"/>
      <w:jc w:val="right"/>
      <w:rPr>
        <w:i/>
      </w:rPr>
    </w:pPr>
    <w:r>
      <w:rPr>
        <w:i/>
      </w:rPr>
      <w:fldChar w:fldCharType="begin"/>
    </w:r>
    <w:r>
      <w:rPr>
        <w:i/>
      </w:rPr>
      <w:instrText xml:space="preserve"> Styleref "Name of Act/Reg" </w:instrText>
    </w:r>
    <w:r>
      <w:rPr>
        <w:i/>
      </w:rPr>
      <w:fldChar w:fldCharType="separate"/>
    </w:r>
    <w:r w:rsidR="006F14C4">
      <w:rPr>
        <w:i/>
        <w:noProof/>
      </w:rPr>
      <w:t>Kwinana-Mundijong-Jarrahdale Railway Extension Act 1967</w:t>
    </w:r>
    <w:r>
      <w:rPr>
        <w:i/>
      </w:rPr>
      <w:fldChar w:fldCharType="end"/>
    </w:r>
  </w:p>
  <w:p w:rsidR="00A76A88" w:rsidRDefault="00A76A88">
    <w:pPr>
      <w:pStyle w:val="headerpartodd"/>
      <w:ind w:left="0" w:firstLine="0"/>
      <w:jc w:val="right"/>
      <w:rPr>
        <w:b w:val="0"/>
        <w:i/>
      </w:rPr>
    </w:pPr>
  </w:p>
  <w:p w:rsidR="00A76A88" w:rsidRDefault="00A76A88">
    <w:pPr>
      <w:pStyle w:val="headerpart"/>
      <w:jc w:val="right"/>
    </w:pPr>
  </w:p>
  <w:p w:rsidR="00A76A88" w:rsidRDefault="00A76A88">
    <w:pPr>
      <w:pStyle w:val="headerpart"/>
      <w:jc w:val="right"/>
    </w:pPr>
  </w:p>
  <w:p w:rsidR="00A76A88" w:rsidRDefault="00A76A88">
    <w:pPr>
      <w:pBdr>
        <w:bottom w:val="single" w:sz="6" w:space="1" w:color="auto"/>
      </w:pBdr>
      <w:jc w:val="right"/>
      <w:rPr>
        <w:b/>
      </w:rPr>
    </w:pPr>
  </w:p>
  <w:p w:rsidR="00A76A88" w:rsidRDefault="00A76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4" w:rsidRDefault="006F1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C4" w:rsidRDefault="006F14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6A88">
      <w:trPr>
        <w:cantSplit/>
      </w:trPr>
      <w:tc>
        <w:tcPr>
          <w:tcW w:w="7258" w:type="dxa"/>
          <w:gridSpan w:val="2"/>
        </w:tcPr>
        <w:p w:rsidR="00A76A88" w:rsidRDefault="00442198">
          <w:pPr>
            <w:pStyle w:val="HeaderActNameLeft"/>
          </w:pPr>
          <w:fldSimple w:instr=" Styleref &quot;Name of Act/Reg&quot; ">
            <w:r w:rsidR="006F14C4">
              <w:rPr>
                <w:noProof/>
              </w:rPr>
              <w:t>Kwinana-Mundijong-Jarrahdale Railway Extension Act 1967</w:t>
            </w:r>
          </w:fldSimple>
        </w:p>
      </w:tc>
    </w:tr>
    <w:tr w:rsidR="00A76A88">
      <w:tc>
        <w:tcPr>
          <w:tcW w:w="1548" w:type="dxa"/>
        </w:tcPr>
        <w:p w:rsidR="00A76A88" w:rsidRDefault="00A76A88">
          <w:pPr>
            <w:pStyle w:val="HeaderNumberLeft"/>
          </w:pPr>
        </w:p>
      </w:tc>
      <w:tc>
        <w:tcPr>
          <w:tcW w:w="5715" w:type="dxa"/>
        </w:tcPr>
        <w:p w:rsidR="00A76A88" w:rsidRDefault="00A76A88">
          <w:pPr>
            <w:pStyle w:val="HeaderTextLeft"/>
          </w:pPr>
        </w:p>
      </w:tc>
    </w:tr>
    <w:tr w:rsidR="00A76A88">
      <w:tc>
        <w:tcPr>
          <w:tcW w:w="1548" w:type="dxa"/>
        </w:tcPr>
        <w:p w:rsidR="00A76A88" w:rsidRDefault="00A76A88">
          <w:pPr>
            <w:pStyle w:val="HeaderNumberLeft"/>
          </w:pPr>
        </w:p>
      </w:tc>
      <w:tc>
        <w:tcPr>
          <w:tcW w:w="5715" w:type="dxa"/>
        </w:tcPr>
        <w:p w:rsidR="00A76A88" w:rsidRDefault="00A76A88">
          <w:pPr>
            <w:pStyle w:val="HeaderTextLeft"/>
          </w:pPr>
        </w:p>
      </w:tc>
    </w:tr>
    <w:tr w:rsidR="00A76A88">
      <w:trPr>
        <w:cantSplit/>
      </w:trPr>
      <w:tc>
        <w:tcPr>
          <w:tcW w:w="7258" w:type="dxa"/>
          <w:gridSpan w:val="2"/>
        </w:tcPr>
        <w:p w:rsidR="00A76A88" w:rsidRDefault="00442198">
          <w:pPr>
            <w:pStyle w:val="HeaderSectionLeft"/>
            <w:rPr>
              <w:b w:val="0"/>
            </w:rPr>
          </w:pPr>
          <w:r>
            <w:rPr>
              <w:b w:val="0"/>
            </w:rPr>
            <w:t>Contents</w:t>
          </w:r>
        </w:p>
      </w:tc>
    </w:tr>
  </w:tbl>
  <w:p w:rsidR="00A76A88" w:rsidRDefault="00A76A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6A88">
      <w:trPr>
        <w:cantSplit/>
      </w:trPr>
      <w:tc>
        <w:tcPr>
          <w:tcW w:w="7258" w:type="dxa"/>
          <w:gridSpan w:val="2"/>
        </w:tcPr>
        <w:p w:rsidR="00A76A88" w:rsidRDefault="00442198">
          <w:pPr>
            <w:pStyle w:val="HeaderActNameRight"/>
            <w:ind w:right="17"/>
          </w:pPr>
          <w:fldSimple w:instr=" Styleref &quot;Name of Act/Reg&quot; ">
            <w:r w:rsidR="006F14C4">
              <w:rPr>
                <w:noProof/>
              </w:rPr>
              <w:t>Kwinana-Mundijong-Jarrahdale Railway Extension Act 1967</w:t>
            </w:r>
          </w:fldSimple>
        </w:p>
      </w:tc>
    </w:tr>
    <w:tr w:rsidR="00A76A88">
      <w:tc>
        <w:tcPr>
          <w:tcW w:w="5715" w:type="dxa"/>
        </w:tcPr>
        <w:p w:rsidR="00A76A88" w:rsidRDefault="00A76A88">
          <w:pPr>
            <w:pStyle w:val="HeaderTextRight"/>
          </w:pPr>
        </w:p>
      </w:tc>
      <w:tc>
        <w:tcPr>
          <w:tcW w:w="1548" w:type="dxa"/>
        </w:tcPr>
        <w:p w:rsidR="00A76A88" w:rsidRDefault="00A76A88">
          <w:pPr>
            <w:pStyle w:val="HeaderNumberRight"/>
            <w:ind w:right="17"/>
          </w:pPr>
        </w:p>
      </w:tc>
    </w:tr>
    <w:tr w:rsidR="00A76A88">
      <w:tc>
        <w:tcPr>
          <w:tcW w:w="5715" w:type="dxa"/>
        </w:tcPr>
        <w:p w:rsidR="00A76A88" w:rsidRDefault="00A76A88">
          <w:pPr>
            <w:pStyle w:val="HeaderTextRight"/>
          </w:pPr>
        </w:p>
      </w:tc>
      <w:tc>
        <w:tcPr>
          <w:tcW w:w="1548" w:type="dxa"/>
        </w:tcPr>
        <w:p w:rsidR="00A76A88" w:rsidRDefault="00A76A88">
          <w:pPr>
            <w:pStyle w:val="HeaderNumberRight"/>
            <w:ind w:right="17"/>
          </w:pPr>
        </w:p>
      </w:tc>
    </w:tr>
    <w:tr w:rsidR="00A76A88">
      <w:trPr>
        <w:cantSplit/>
      </w:trPr>
      <w:tc>
        <w:tcPr>
          <w:tcW w:w="7258" w:type="dxa"/>
          <w:gridSpan w:val="2"/>
        </w:tcPr>
        <w:p w:rsidR="00A76A88" w:rsidRDefault="00442198">
          <w:pPr>
            <w:pStyle w:val="HeaderSectionRight"/>
            <w:ind w:right="17"/>
            <w:rPr>
              <w:b w:val="0"/>
            </w:rPr>
          </w:pPr>
          <w:r>
            <w:rPr>
              <w:b w:val="0"/>
            </w:rPr>
            <w:t>Contents</w:t>
          </w:r>
        </w:p>
      </w:tc>
    </w:tr>
  </w:tbl>
  <w:p w:rsidR="00A76A88" w:rsidRDefault="00A76A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76A88">
      <w:trPr>
        <w:cantSplit/>
      </w:trPr>
      <w:tc>
        <w:tcPr>
          <w:tcW w:w="7312" w:type="dxa"/>
          <w:gridSpan w:val="2"/>
        </w:tcPr>
        <w:p w:rsidR="00A76A88" w:rsidRDefault="00442198">
          <w:pPr>
            <w:pStyle w:val="HeaderActNameLeft"/>
          </w:pPr>
          <w:fldSimple w:instr=" Styleref &quot;Name of Act/Reg&quot; ">
            <w:r w:rsidR="006F14C4">
              <w:rPr>
                <w:noProof/>
              </w:rPr>
              <w:t>Kwinana-Mundijong-Jarrahdale Railway Extension Act 1967</w:t>
            </w:r>
          </w:fldSimple>
        </w:p>
      </w:tc>
    </w:tr>
    <w:tr w:rsidR="00A76A88">
      <w:tc>
        <w:tcPr>
          <w:tcW w:w="1305" w:type="dxa"/>
        </w:tcPr>
        <w:p w:rsidR="00A76A88" w:rsidRDefault="00442198">
          <w:pPr>
            <w:pStyle w:val="HeaderNumberLeft"/>
          </w:pPr>
          <w:r>
            <w:fldChar w:fldCharType="begin"/>
          </w:r>
          <w:r>
            <w:instrText xml:space="preserve"> styleref CharPartNo </w:instrText>
          </w:r>
          <w:r>
            <w:fldChar w:fldCharType="end"/>
          </w:r>
        </w:p>
      </w:tc>
      <w:tc>
        <w:tcPr>
          <w:tcW w:w="6007" w:type="dxa"/>
        </w:tcPr>
        <w:p w:rsidR="00A76A88" w:rsidRDefault="00442198">
          <w:pPr>
            <w:pStyle w:val="HeaderTextLeft"/>
          </w:pPr>
          <w:r>
            <w:fldChar w:fldCharType="begin"/>
          </w:r>
          <w:r>
            <w:instrText xml:space="preserve"> styleref CharPartText </w:instrText>
          </w:r>
          <w:r>
            <w:fldChar w:fldCharType="end"/>
          </w:r>
        </w:p>
      </w:tc>
    </w:tr>
    <w:tr w:rsidR="00A76A88">
      <w:tc>
        <w:tcPr>
          <w:tcW w:w="1305" w:type="dxa"/>
        </w:tcPr>
        <w:p w:rsidR="00A76A88" w:rsidRDefault="00442198">
          <w:pPr>
            <w:pStyle w:val="HeaderNumberLeft"/>
          </w:pPr>
          <w:r>
            <w:fldChar w:fldCharType="begin"/>
          </w:r>
          <w:r>
            <w:instrText xml:space="preserve"> styleref CharDivNo </w:instrText>
          </w:r>
          <w:r>
            <w:fldChar w:fldCharType="end"/>
          </w:r>
        </w:p>
      </w:tc>
      <w:tc>
        <w:tcPr>
          <w:tcW w:w="6007" w:type="dxa"/>
        </w:tcPr>
        <w:p w:rsidR="00A76A88" w:rsidRDefault="00442198">
          <w:pPr>
            <w:pStyle w:val="HeaderTextLeft"/>
          </w:pPr>
          <w:r>
            <w:fldChar w:fldCharType="begin"/>
          </w:r>
          <w:r>
            <w:instrText xml:space="preserve"> styleref CharDivText </w:instrText>
          </w:r>
          <w:r>
            <w:fldChar w:fldCharType="end"/>
          </w:r>
        </w:p>
      </w:tc>
    </w:tr>
    <w:tr w:rsidR="00A76A88">
      <w:trPr>
        <w:cantSplit/>
      </w:trPr>
      <w:tc>
        <w:tcPr>
          <w:tcW w:w="7312" w:type="dxa"/>
          <w:gridSpan w:val="2"/>
        </w:tcPr>
        <w:p w:rsidR="00A76A88" w:rsidRDefault="00442198">
          <w:pPr>
            <w:pStyle w:val="HeaderSectionLeft"/>
          </w:pPr>
          <w:r>
            <w:t xml:space="preserve">s. </w:t>
          </w:r>
          <w:fldSimple w:instr=" styleref CharSectno ">
            <w:r w:rsidR="006F14C4">
              <w:rPr>
                <w:noProof/>
              </w:rPr>
              <w:t>1</w:t>
            </w:r>
          </w:fldSimple>
        </w:p>
      </w:tc>
    </w:tr>
  </w:tbl>
  <w:p w:rsidR="00A76A88" w:rsidRDefault="00A76A88">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76A88">
      <w:trPr>
        <w:cantSplit/>
      </w:trPr>
      <w:tc>
        <w:tcPr>
          <w:tcW w:w="7312" w:type="dxa"/>
          <w:gridSpan w:val="2"/>
        </w:tcPr>
        <w:p w:rsidR="00A76A88" w:rsidRDefault="00442198">
          <w:pPr>
            <w:pStyle w:val="HeaderActNameRight"/>
          </w:pPr>
          <w:fldSimple w:instr=" Styleref &quot;Name of Act/Reg&quot; ">
            <w:r w:rsidR="006F14C4">
              <w:rPr>
                <w:noProof/>
              </w:rPr>
              <w:t>Kwinana-Mundijong-Jarrahdale Railway Extension Act 1967</w:t>
            </w:r>
          </w:fldSimple>
        </w:p>
      </w:tc>
    </w:tr>
    <w:tr w:rsidR="00A76A88">
      <w:tc>
        <w:tcPr>
          <w:tcW w:w="5985" w:type="dxa"/>
        </w:tcPr>
        <w:p w:rsidR="00A76A88" w:rsidRDefault="00442198">
          <w:pPr>
            <w:pStyle w:val="HeaderTextRight"/>
          </w:pPr>
          <w:r>
            <w:fldChar w:fldCharType="begin"/>
          </w:r>
          <w:r>
            <w:instrText xml:space="preserve"> styleref CharPartText </w:instrText>
          </w:r>
          <w:r>
            <w:fldChar w:fldCharType="end"/>
          </w:r>
        </w:p>
      </w:tc>
      <w:tc>
        <w:tcPr>
          <w:tcW w:w="1327" w:type="dxa"/>
        </w:tcPr>
        <w:p w:rsidR="00A76A88" w:rsidRDefault="00442198">
          <w:pPr>
            <w:pStyle w:val="HeaderNumberRight"/>
          </w:pPr>
          <w:r>
            <w:fldChar w:fldCharType="begin"/>
          </w:r>
          <w:r>
            <w:instrText xml:space="preserve"> styleref CharPartNo </w:instrText>
          </w:r>
          <w:r>
            <w:fldChar w:fldCharType="end"/>
          </w:r>
        </w:p>
      </w:tc>
    </w:tr>
    <w:tr w:rsidR="00A76A88">
      <w:tc>
        <w:tcPr>
          <w:tcW w:w="5985" w:type="dxa"/>
        </w:tcPr>
        <w:p w:rsidR="00A76A88" w:rsidRDefault="00442198">
          <w:pPr>
            <w:pStyle w:val="HeaderTextRight"/>
          </w:pPr>
          <w:r>
            <w:fldChar w:fldCharType="begin"/>
          </w:r>
          <w:r>
            <w:instrText xml:space="preserve"> styleref CharDivText </w:instrText>
          </w:r>
          <w:r>
            <w:fldChar w:fldCharType="end"/>
          </w:r>
        </w:p>
      </w:tc>
      <w:tc>
        <w:tcPr>
          <w:tcW w:w="1327" w:type="dxa"/>
        </w:tcPr>
        <w:p w:rsidR="00A76A88" w:rsidRDefault="00442198">
          <w:pPr>
            <w:pStyle w:val="HeaderNumberRight"/>
          </w:pPr>
          <w:r>
            <w:fldChar w:fldCharType="begin"/>
          </w:r>
          <w:r>
            <w:instrText xml:space="preserve"> styleref CharDivNo </w:instrText>
          </w:r>
          <w:r>
            <w:fldChar w:fldCharType="end"/>
          </w:r>
        </w:p>
      </w:tc>
    </w:tr>
    <w:tr w:rsidR="00A76A88">
      <w:trPr>
        <w:cantSplit/>
      </w:trPr>
      <w:tc>
        <w:tcPr>
          <w:tcW w:w="7312" w:type="dxa"/>
          <w:gridSpan w:val="2"/>
        </w:tcPr>
        <w:p w:rsidR="00A76A88" w:rsidRDefault="00442198">
          <w:pPr>
            <w:pStyle w:val="HeaderSectionRight"/>
          </w:pPr>
          <w:r>
            <w:t xml:space="preserve">s. </w:t>
          </w:r>
          <w:fldSimple w:instr=" styleref CharSectno ">
            <w:r w:rsidR="006F14C4">
              <w:rPr>
                <w:noProof/>
              </w:rPr>
              <w:t>1</w:t>
            </w:r>
          </w:fldSimple>
        </w:p>
      </w:tc>
    </w:tr>
  </w:tbl>
  <w:p w:rsidR="00A76A88" w:rsidRDefault="00A76A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88" w:rsidRDefault="00A76A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6A88">
      <w:trPr>
        <w:cantSplit/>
      </w:trPr>
      <w:tc>
        <w:tcPr>
          <w:tcW w:w="7258" w:type="dxa"/>
          <w:gridSpan w:val="2"/>
        </w:tcPr>
        <w:p w:rsidR="00A76A88" w:rsidRDefault="00442198">
          <w:pPr>
            <w:pStyle w:val="HeaderActNameLeft"/>
          </w:pPr>
          <w:fldSimple w:instr=" STYLEREF &quot;Name of Act/Reg&quot; \* MERGEFORMAT ">
            <w:r w:rsidR="006F14C4">
              <w:rPr>
                <w:noProof/>
              </w:rPr>
              <w:t>Kwinana-Mundijong-Jarrahdale Railway Extension Act 1967</w:t>
            </w:r>
          </w:fldSimple>
        </w:p>
      </w:tc>
    </w:tr>
    <w:tr w:rsidR="00A76A88">
      <w:tc>
        <w:tcPr>
          <w:tcW w:w="1548" w:type="dxa"/>
        </w:tcPr>
        <w:p w:rsidR="00A76A88" w:rsidRDefault="00442198">
          <w:pPr>
            <w:pStyle w:val="HeaderNumberLeft"/>
            <w:rPr>
              <w:b w:val="0"/>
            </w:rPr>
          </w:pPr>
          <w:r>
            <w:fldChar w:fldCharType="begin"/>
          </w:r>
          <w:r>
            <w:instrText xml:space="preserve"> styleref CharSchno </w:instrText>
          </w:r>
          <w:r>
            <w:fldChar w:fldCharType="end"/>
          </w:r>
        </w:p>
      </w:tc>
      <w:tc>
        <w:tcPr>
          <w:tcW w:w="5715" w:type="dxa"/>
        </w:tcPr>
        <w:p w:rsidR="00A76A88" w:rsidRDefault="00442198">
          <w:pPr>
            <w:pStyle w:val="HeaderTextLeft"/>
          </w:pPr>
          <w:r>
            <w:fldChar w:fldCharType="begin"/>
          </w:r>
          <w:r>
            <w:instrText xml:space="preserve"> styleref CharSchText </w:instrText>
          </w:r>
          <w:r>
            <w:fldChar w:fldCharType="end"/>
          </w:r>
        </w:p>
      </w:tc>
    </w:tr>
    <w:tr w:rsidR="00A76A88">
      <w:tc>
        <w:tcPr>
          <w:tcW w:w="1548" w:type="dxa"/>
        </w:tcPr>
        <w:p w:rsidR="00A76A88" w:rsidRDefault="00A76A88">
          <w:pPr>
            <w:pStyle w:val="HeaderNumberLeft"/>
            <w:rPr>
              <w:b w:val="0"/>
            </w:rPr>
          </w:pPr>
        </w:p>
      </w:tc>
      <w:tc>
        <w:tcPr>
          <w:tcW w:w="5715" w:type="dxa"/>
        </w:tcPr>
        <w:p w:rsidR="00A76A88" w:rsidRDefault="00A76A88">
          <w:pPr>
            <w:pStyle w:val="HeaderTextLeft"/>
          </w:pPr>
        </w:p>
      </w:tc>
    </w:tr>
    <w:tr w:rsidR="00A76A88">
      <w:tc>
        <w:tcPr>
          <w:tcW w:w="1548" w:type="dxa"/>
        </w:tcPr>
        <w:p w:rsidR="00A76A88" w:rsidRDefault="00A76A88">
          <w:pPr>
            <w:pStyle w:val="HeaderNumberLeft"/>
          </w:pPr>
        </w:p>
      </w:tc>
      <w:tc>
        <w:tcPr>
          <w:tcW w:w="5715" w:type="dxa"/>
        </w:tcPr>
        <w:p w:rsidR="00A76A88" w:rsidRDefault="00A76A88">
          <w:pPr>
            <w:pStyle w:val="HeaderTextLeft"/>
          </w:pPr>
        </w:p>
      </w:tc>
    </w:tr>
  </w:tbl>
  <w:p w:rsidR="00A76A88" w:rsidRDefault="00A76A88">
    <w:pPr>
      <w:pStyle w:val="Header"/>
      <w:pBdr>
        <w:top w:val="single" w:sz="4" w:space="1" w:color="auto"/>
      </w:pBdr>
    </w:pPr>
  </w:p>
  <w:p w:rsidR="00A76A88" w:rsidRDefault="00A76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4F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CE1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E3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C0F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EB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BE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446F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C0C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6B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6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7069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98"/>
    <w:rsid w:val="00442198"/>
    <w:rsid w:val="006F14C4"/>
    <w:rsid w:val="00760459"/>
    <w:rsid w:val="00A76A88"/>
    <w:rsid w:val="00C53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3667</Characters>
  <Application>Microsoft Office Word</Application>
  <DocSecurity>0</DocSecurity>
  <Lines>141</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4284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1967 - 01-b0-01</dc:title>
  <dc:subject/>
  <dc:creator>Dave Harrold</dc:creator>
  <cp:keywords/>
  <cp:lastModifiedBy>svcMRProcess</cp:lastModifiedBy>
  <cp:revision>4</cp:revision>
  <cp:lastPrinted>2007-07-03T05:41:00Z</cp:lastPrinted>
  <dcterms:created xsi:type="dcterms:W3CDTF">2013-02-17T11:02:00Z</dcterms:created>
  <dcterms:modified xsi:type="dcterms:W3CDTF">2013-02-17T11:02:00Z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01-b0-01</vt:lpwstr>
  </property>
</Properties>
</file>