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Reserve (Concert Hall) Act 1972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Reserve (Concert Hall) Act 1972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_Toc435028120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Purposes of Reserve No. 30347 altered</w:t>
      </w:r>
      <w:r>
        <w:tab/>
      </w:r>
      <w:r>
        <w:fldChar w:fldCharType="begin"/>
      </w:r>
      <w:r>
        <w:instrText xml:space="preserve"> PAGEREF _Toc435028121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Parts of reserve may be used for sale and supply of liquor</w:t>
      </w:r>
      <w:r>
        <w:tab/>
      </w:r>
      <w:r>
        <w:fldChar w:fldCharType="begin"/>
      </w:r>
      <w:r>
        <w:instrText xml:space="preserve"> PAGEREF _Toc435028122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_Toc435028124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Reserve (Concert Hall) Act 1972 </w:t>
      </w:r>
    </w:p>
    <w:p>
      <w:pPr>
        <w:pStyle w:val="LongTitle"/>
        <w:rPr>
          <w:snapToGrid w:val="0"/>
        </w:rPr>
      </w:pPr>
      <w:r>
        <w:rPr>
          <w:snapToGrid w:val="0"/>
        </w:rPr>
        <w:t>An Act relating to Reserve No. 30347.</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3" w:name="_Toc378758887"/>
      <w:bookmarkStart w:id="4" w:name="_Toc378758892"/>
      <w:bookmarkStart w:id="5" w:name="_Toc435028120"/>
      <w:r>
        <w:rPr>
          <w:rStyle w:val="CharSectno"/>
        </w:rPr>
        <w:t>1</w:t>
      </w:r>
      <w:r>
        <w:rPr>
          <w:snapToGrid w:val="0"/>
        </w:rPr>
        <w:t>.</w:t>
      </w:r>
      <w:r>
        <w:rPr>
          <w:snapToGrid w:val="0"/>
        </w:rPr>
        <w:tab/>
        <w:t>Short title</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Reserve (Concert Hall) Act 1972</w:t>
      </w:r>
      <w:r>
        <w:rPr>
          <w:snapToGrid w:val="0"/>
        </w:rPr>
        <w:t>.</w:t>
      </w:r>
    </w:p>
    <w:p>
      <w:pPr>
        <w:pStyle w:val="Heading5"/>
        <w:rPr>
          <w:snapToGrid w:val="0"/>
        </w:rPr>
      </w:pPr>
      <w:bookmarkStart w:id="6" w:name="_Toc378758888"/>
      <w:bookmarkStart w:id="7" w:name="_Toc378758893"/>
      <w:bookmarkStart w:id="8" w:name="_Toc435028121"/>
      <w:r>
        <w:rPr>
          <w:rStyle w:val="CharSectno"/>
        </w:rPr>
        <w:t>2</w:t>
      </w:r>
      <w:r>
        <w:rPr>
          <w:snapToGrid w:val="0"/>
        </w:rPr>
        <w:t>.</w:t>
      </w:r>
      <w:r>
        <w:rPr>
          <w:snapToGrid w:val="0"/>
        </w:rPr>
        <w:tab/>
        <w:t>Purposes of Reserve No. 30347 altered</w:t>
      </w:r>
      <w:bookmarkEnd w:id="6"/>
      <w:bookmarkEnd w:id="7"/>
      <w:bookmarkEnd w:id="8"/>
      <w:r>
        <w:rPr>
          <w:snapToGrid w:val="0"/>
        </w:rPr>
        <w:t xml:space="preserve"> </w:t>
      </w:r>
    </w:p>
    <w:p>
      <w:pPr>
        <w:pStyle w:val="Subsection"/>
        <w:rPr>
          <w:snapToGrid w:val="0"/>
        </w:rPr>
      </w:pPr>
      <w:r>
        <w:rPr>
          <w:snapToGrid w:val="0"/>
        </w:rPr>
        <w:tab/>
      </w:r>
      <w:r>
        <w:rPr>
          <w:snapToGrid w:val="0"/>
        </w:rPr>
        <w:tab/>
        <w:t>The purposes of Reserve No. 30347 comprising Perth Lot 853, containing 1.1913 hectares, classified as of Class “A”, and vested in the City of Perth are hereby altered from “Concert Hall and Ancillary Uses, Restaurant and Vehicle Parking” to “Concert Hall, Restaurant, Tavern, Vehicle Parking, and Uses Ancillary thereto”.</w:t>
      </w:r>
    </w:p>
    <w:p>
      <w:pPr>
        <w:pStyle w:val="Heading5"/>
        <w:rPr>
          <w:snapToGrid w:val="0"/>
        </w:rPr>
      </w:pPr>
      <w:bookmarkStart w:id="9" w:name="_Toc378758889"/>
      <w:bookmarkStart w:id="10" w:name="_Toc378758894"/>
      <w:bookmarkStart w:id="11" w:name="_Toc435028122"/>
      <w:r>
        <w:rPr>
          <w:rStyle w:val="CharSectno"/>
        </w:rPr>
        <w:t>3</w:t>
      </w:r>
      <w:r>
        <w:rPr>
          <w:snapToGrid w:val="0"/>
        </w:rPr>
        <w:t>.</w:t>
      </w:r>
      <w:r>
        <w:rPr>
          <w:snapToGrid w:val="0"/>
        </w:rPr>
        <w:tab/>
        <w:t>Parts of reserve may be used for sale and supply of liquor</w:t>
      </w:r>
      <w:bookmarkEnd w:id="9"/>
      <w:bookmarkEnd w:id="10"/>
      <w:bookmarkEnd w:id="11"/>
      <w:r>
        <w:rPr>
          <w:snapToGrid w:val="0"/>
        </w:rPr>
        <w:t xml:space="preserve"> </w:t>
      </w:r>
    </w:p>
    <w:p>
      <w:pPr>
        <w:pStyle w:val="Subsection"/>
        <w:rPr>
          <w:snapToGrid w:val="0"/>
        </w:rPr>
      </w:pPr>
      <w:r>
        <w:rPr>
          <w:snapToGrid w:val="0"/>
        </w:rPr>
        <w:tab/>
        <w:t>(1)</w:t>
      </w:r>
      <w:r>
        <w:rPr>
          <w:snapToGrid w:val="0"/>
        </w:rPr>
        <w:tab/>
        <w:t xml:space="preserve">Where, under the authority conferred by an Order in Council made under section 33 of the </w:t>
      </w:r>
      <w:r>
        <w:rPr>
          <w:i/>
          <w:snapToGrid w:val="0"/>
        </w:rPr>
        <w:t>Land Act 1933</w:t>
      </w:r>
      <w:r>
        <w:rPr>
          <w:snapToGrid w:val="0"/>
        </w:rPr>
        <w:t>, the City of Perth leases any part of the land contained in Reserve No. 30347 that part of the land and any part or parts of any building or buildings erected on that part of the land may, subject to — </w:t>
      </w:r>
    </w:p>
    <w:p>
      <w:pPr>
        <w:pStyle w:val="Indenta"/>
        <w:rPr>
          <w:snapToGrid w:val="0"/>
        </w:rPr>
      </w:pPr>
      <w:r>
        <w:rPr>
          <w:snapToGrid w:val="0"/>
        </w:rPr>
        <w:tab/>
        <w:t>(a)</w:t>
      </w:r>
      <w:r>
        <w:rPr>
          <w:snapToGrid w:val="0"/>
        </w:rPr>
        <w:tab/>
        <w:t>the purposes of the reserve as altered by section 2 of this Act; and</w:t>
      </w:r>
    </w:p>
    <w:p>
      <w:pPr>
        <w:pStyle w:val="Indenta"/>
        <w:rPr>
          <w:snapToGrid w:val="0"/>
        </w:rPr>
      </w:pPr>
      <w:r>
        <w:rPr>
          <w:snapToGrid w:val="0"/>
        </w:rPr>
        <w:tab/>
        <w:t>(b)</w:t>
      </w:r>
      <w:r>
        <w:rPr>
          <w:snapToGrid w:val="0"/>
        </w:rPr>
        <w:tab/>
        <w:t>the</w:t>
      </w:r>
      <w:r>
        <w:rPr>
          <w:i/>
          <w:iCs/>
        </w:rPr>
        <w:t xml:space="preserve"> Liquor Control Act 1988</w:t>
      </w:r>
      <w:r>
        <w:rPr>
          <w:snapToGrid w:val="0"/>
        </w:rPr>
        <w:t>,</w:t>
      </w:r>
    </w:p>
    <w:p>
      <w:pPr>
        <w:pStyle w:val="Subsection"/>
        <w:rPr>
          <w:snapToGrid w:val="0"/>
        </w:rPr>
      </w:pPr>
      <w:r>
        <w:rPr>
          <w:snapToGrid w:val="0"/>
        </w:rPr>
        <w:tab/>
      </w:r>
      <w:r>
        <w:rPr>
          <w:snapToGrid w:val="0"/>
        </w:rPr>
        <w:tab/>
        <w:t>be used for the sale and supply of liquor.</w:t>
      </w:r>
    </w:p>
    <w:p>
      <w:pPr>
        <w:pStyle w:val="Subsection"/>
        <w:rPr>
          <w:snapToGrid w:val="0"/>
        </w:rPr>
      </w:pPr>
      <w:r>
        <w:rPr>
          <w:snapToGrid w:val="0"/>
        </w:rPr>
        <w:tab/>
        <w:t>(2)</w:t>
      </w:r>
      <w:r>
        <w:rPr>
          <w:snapToGrid w:val="0"/>
        </w:rPr>
        <w:tab/>
        <w:t>In this section the expression “liquor” has the same meaning as it has in and for the purposes of the</w:t>
      </w:r>
      <w:r>
        <w:rPr>
          <w:i/>
          <w:iCs/>
        </w:rPr>
        <w:t xml:space="preserve"> Liquor Control Act 1988</w:t>
      </w:r>
      <w:r>
        <w:rPr>
          <w:snapToGrid w:val="0"/>
        </w:rPr>
        <w:t>.</w:t>
      </w:r>
    </w:p>
    <w:p>
      <w:pPr>
        <w:pStyle w:val="Footnotesection"/>
      </w:pPr>
      <w:r>
        <w:tab/>
        <w:t>[Section 3 amended: No. 73 of 2006 s. 115.]</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2" w:name="_Toc378758890"/>
      <w:bookmarkStart w:id="13" w:name="_Toc378758895"/>
      <w:bookmarkStart w:id="14" w:name="_Toc424301982"/>
      <w:bookmarkStart w:id="15" w:name="_Toc435028123"/>
      <w:r>
        <w:t>Notes</w:t>
      </w:r>
      <w:bookmarkEnd w:id="12"/>
      <w:bookmarkEnd w:id="13"/>
      <w:bookmarkEnd w:id="14"/>
      <w:bookmarkEnd w:id="15"/>
    </w:p>
    <w:p>
      <w:pPr>
        <w:pStyle w:val="nSubsection"/>
        <w:rPr>
          <w:snapToGrid w:val="0"/>
        </w:rPr>
      </w:pPr>
      <w:r>
        <w:rPr>
          <w:snapToGrid w:val="0"/>
          <w:vertAlign w:val="superscript"/>
        </w:rPr>
        <w:t>1.</w:t>
      </w:r>
      <w:r>
        <w:rPr>
          <w:snapToGrid w:val="0"/>
        </w:rPr>
        <w:tab/>
        <w:t xml:space="preserve">This is a compilation of the </w:t>
      </w:r>
      <w:r>
        <w:rPr>
          <w:i/>
          <w:snapToGrid w:val="0"/>
        </w:rPr>
        <w:t xml:space="preserve">Reserve (Concert Hall) Act 1972.  </w:t>
      </w:r>
      <w:r>
        <w:rPr>
          <w:snapToGrid w:val="0"/>
        </w:rPr>
        <w:t>The following table contains information about that Act.</w:t>
      </w:r>
    </w:p>
    <w:p>
      <w:pPr>
        <w:pStyle w:val="nHeading3"/>
        <w:rPr>
          <w:snapToGrid w:val="0"/>
        </w:rPr>
      </w:pPr>
      <w:bookmarkStart w:id="16" w:name="_Toc378758891"/>
      <w:bookmarkStart w:id="17" w:name="_Toc378758896"/>
      <w:bookmarkStart w:id="18" w:name="_Toc435028124"/>
      <w:r>
        <w:rPr>
          <w:snapToGrid w:val="0"/>
        </w:rPr>
        <w:t>Compilation table</w:t>
      </w:r>
      <w:bookmarkEnd w:id="16"/>
      <w:bookmarkEnd w:id="17"/>
      <w:bookmarkEnd w:id="1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4" w:space="0" w:color="auto"/>
            </w:tcBorders>
          </w:tcPr>
          <w:p>
            <w:pPr>
              <w:pStyle w:val="nTable"/>
              <w:spacing w:after="40"/>
              <w:rPr>
                <w:b/>
              </w:rPr>
            </w:pPr>
            <w:r>
              <w:rPr>
                <w:b/>
              </w:rPr>
              <w:t>Short title</w:t>
            </w:r>
          </w:p>
        </w:tc>
        <w:tc>
          <w:tcPr>
            <w:tcW w:w="1134" w:type="dxa"/>
            <w:tcBorders>
              <w:top w:val="single" w:sz="8" w:space="0" w:color="auto"/>
              <w:bottom w:val="single" w:sz="4" w:space="0" w:color="auto"/>
            </w:tcBorders>
          </w:tcPr>
          <w:p>
            <w:pPr>
              <w:pStyle w:val="nTable"/>
              <w:spacing w:after="40"/>
              <w:rPr>
                <w:b/>
              </w:rPr>
            </w:pPr>
            <w:r>
              <w:rPr>
                <w:b/>
              </w:rPr>
              <w:t>Number and year</w:t>
            </w:r>
          </w:p>
        </w:tc>
        <w:tc>
          <w:tcPr>
            <w:tcW w:w="1134" w:type="dxa"/>
            <w:tcBorders>
              <w:top w:val="single" w:sz="8" w:space="0" w:color="auto"/>
              <w:bottom w:val="single" w:sz="4" w:space="0" w:color="auto"/>
            </w:tcBorders>
          </w:tcPr>
          <w:p>
            <w:pPr>
              <w:pStyle w:val="nTable"/>
              <w:spacing w:after="40"/>
              <w:rPr>
                <w:b/>
              </w:rPr>
            </w:pPr>
            <w:r>
              <w:rPr>
                <w:b/>
              </w:rPr>
              <w:t>Assent</w:t>
            </w:r>
          </w:p>
        </w:tc>
        <w:tc>
          <w:tcPr>
            <w:tcW w:w="2551" w:type="dxa"/>
            <w:tcBorders>
              <w:top w:val="single" w:sz="8" w:space="0" w:color="auto"/>
              <w:bottom w:val="single" w:sz="4" w:space="0" w:color="auto"/>
            </w:tcBorders>
          </w:tcPr>
          <w:p>
            <w:pPr>
              <w:pStyle w:val="nTable"/>
              <w:spacing w:after="40"/>
              <w:rPr>
                <w:b/>
              </w:rPr>
            </w:pPr>
            <w:r>
              <w:rPr>
                <w:b/>
              </w:rPr>
              <w:t>Commencement</w:t>
            </w:r>
          </w:p>
        </w:tc>
      </w:tr>
      <w:tr>
        <w:tc>
          <w:tcPr>
            <w:tcW w:w="2268" w:type="dxa"/>
            <w:tcBorders>
              <w:top w:val="single" w:sz="4" w:space="0" w:color="auto"/>
            </w:tcBorders>
          </w:tcPr>
          <w:p>
            <w:pPr>
              <w:pStyle w:val="nTable"/>
              <w:spacing w:after="40"/>
            </w:pPr>
            <w:r>
              <w:rPr>
                <w:i/>
              </w:rPr>
              <w:t>Reserve (Concert Hall) Act 1972</w:t>
            </w:r>
          </w:p>
        </w:tc>
        <w:tc>
          <w:tcPr>
            <w:tcW w:w="1134" w:type="dxa"/>
            <w:tcBorders>
              <w:top w:val="single" w:sz="4" w:space="0" w:color="auto"/>
            </w:tcBorders>
          </w:tcPr>
          <w:p>
            <w:pPr>
              <w:pStyle w:val="nTable"/>
              <w:spacing w:after="40"/>
            </w:pPr>
            <w:r>
              <w:t>96 of 1972</w:t>
            </w:r>
          </w:p>
        </w:tc>
        <w:tc>
          <w:tcPr>
            <w:tcW w:w="1134" w:type="dxa"/>
            <w:tcBorders>
              <w:top w:val="single" w:sz="4" w:space="0" w:color="auto"/>
            </w:tcBorders>
          </w:tcPr>
          <w:p>
            <w:pPr>
              <w:pStyle w:val="nTable"/>
              <w:spacing w:after="40"/>
            </w:pPr>
            <w:r>
              <w:t>4 Dec 1972</w:t>
            </w:r>
          </w:p>
        </w:tc>
        <w:tc>
          <w:tcPr>
            <w:tcW w:w="2551" w:type="dxa"/>
            <w:tcBorders>
              <w:top w:val="single" w:sz="4" w:space="0" w:color="auto"/>
            </w:tcBorders>
          </w:tcPr>
          <w:p>
            <w:pPr>
              <w:pStyle w:val="nTable"/>
              <w:spacing w:after="40"/>
            </w:pPr>
            <w:r>
              <w:t>4 Dec 1972</w:t>
            </w:r>
          </w:p>
        </w:tc>
      </w:tr>
      <w:tr>
        <w:tc>
          <w:tcPr>
            <w:tcW w:w="2268" w:type="dxa"/>
            <w:tcBorders>
              <w:bottom w:val="single" w:sz="8" w:space="0" w:color="auto"/>
            </w:tcBorders>
          </w:tcPr>
          <w:p>
            <w:pPr>
              <w:pStyle w:val="nTable"/>
              <w:spacing w:after="40"/>
              <w:rPr>
                <w:i/>
              </w:rPr>
            </w:pPr>
            <w:r>
              <w:rPr>
                <w:i/>
                <w:snapToGrid w:val="0"/>
              </w:rPr>
              <w:t xml:space="preserve">Liquor and Gaming Legislation Amendment Act 2006 </w:t>
            </w:r>
            <w:r>
              <w:rPr>
                <w:snapToGrid w:val="0"/>
              </w:rPr>
              <w:t>s. 115</w:t>
            </w:r>
          </w:p>
        </w:tc>
        <w:tc>
          <w:tcPr>
            <w:tcW w:w="1134" w:type="dxa"/>
            <w:tcBorders>
              <w:bottom w:val="single" w:sz="8" w:space="0" w:color="auto"/>
            </w:tcBorders>
          </w:tcPr>
          <w:p>
            <w:pPr>
              <w:pStyle w:val="nTable"/>
              <w:spacing w:after="40"/>
            </w:pPr>
            <w:r>
              <w:rPr>
                <w:snapToGrid w:val="0"/>
              </w:rPr>
              <w:t>73 of 2006</w:t>
            </w:r>
          </w:p>
        </w:tc>
        <w:tc>
          <w:tcPr>
            <w:tcW w:w="1134" w:type="dxa"/>
            <w:tcBorders>
              <w:bottom w:val="single" w:sz="8" w:space="0" w:color="auto"/>
            </w:tcBorders>
          </w:tcPr>
          <w:p>
            <w:pPr>
              <w:pStyle w:val="nTable"/>
              <w:spacing w:after="40"/>
            </w:pPr>
            <w:r>
              <w:rPr>
                <w:snapToGrid w:val="0"/>
              </w:rPr>
              <w:t>13 Dec 2006</w:t>
            </w:r>
          </w:p>
        </w:tc>
        <w:tc>
          <w:tcPr>
            <w:tcW w:w="2551" w:type="dxa"/>
            <w:tcBorders>
              <w:bottom w:val="single" w:sz="8" w:space="0" w:color="auto"/>
            </w:tcBorders>
          </w:tcPr>
          <w:p>
            <w:pPr>
              <w:pStyle w:val="nTable"/>
              <w:spacing w:after="40"/>
            </w:pPr>
            <w:r>
              <w:rPr>
                <w:snapToGrid w:val="0"/>
              </w:rPr>
              <w:t xml:space="preserve">7 May 2007 (see s. 2(2) and </w:t>
            </w:r>
            <w:r>
              <w:rPr>
                <w:i/>
                <w:iCs/>
                <w:snapToGrid w:val="0"/>
              </w:rPr>
              <w:t xml:space="preserve">Gazette </w:t>
            </w:r>
            <w:r>
              <w:rPr>
                <w:snapToGrid w:val="0"/>
              </w:rPr>
              <w:t>1 May 2007 p. 1893)</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May 2007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00-c0-09</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00-c0-09</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May 2007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Reserve (Concert Hall) Act 1972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Reserve (Concert Hall) Act 1972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 w:name="Coversheet"/>
    <w:bookmarkEnd w:id="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Reserve (Concert Hall) Act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Reserve (Concert Hall) Act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Reserve (Concert Hall) Act 1972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Reserve (Concert Hall) Act 1972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3A849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8416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11C476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36DA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6C24E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94025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16E9A4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998A3B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0744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3ED0FF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73633C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1251"/>
    <w:docVar w:name="WAFER_20140129094404" w:val="RemoveTocBookmarks,RemoveUnusedBookmarks,RemoveLanguageTags,UsedStyles,ResetPageSize,UpdateArrangement"/>
    <w:docVar w:name="WAFER_20140129094404_GUID" w:val="6332f7a2-e65f-4faf-9d73-54ce10b37f96"/>
    <w:docVar w:name="WAFER_20140129113341" w:val="RemoveTocBookmarks,RunningHeaders"/>
    <w:docVar w:name="WAFER_20140129113341_GUID" w:val="4dec5503-acdb-429b-8a5b-429224ebcef4"/>
    <w:docVar w:name="WAFER_20150710142208" w:val="ResetPageSize,UpdateArrangement,UpdateNTable"/>
    <w:docVar w:name="WAFER_20150710142208_GUID" w:val="7eb7ea31-133b-46a8-b95f-5a93b1b59f78"/>
    <w:docVar w:name="WAFER_20151111175818" w:val="UpdateStyles,UsedStyles"/>
    <w:docVar w:name="WAFER_20151111175818_GUID" w:val="e5ec59a8-f7ae-4687-991b-68dd57d1d741"/>
    <w:docVar w:name="WAFER_20151201111251" w:val="RemoveTrackChanges"/>
    <w:docVar w:name="WAFER_20151201111251_GUID" w:val="eb6d6867-7f01-4e30-9ce7-ac62c07b18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476</Words>
  <Characters>2190</Characters>
  <Application>Microsoft Office Word</Application>
  <DocSecurity>0</DocSecurity>
  <Lines>84</Lines>
  <Paragraphs>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Reserve (Concert Hall) Act 1972 - 00-c0-09</dc:title>
  <dc:subject/>
  <dc:creator/>
  <cp:keywords/>
  <dc:description/>
  <cp:lastModifiedBy>svcMRProcess</cp:lastModifiedBy>
  <cp:revision>4</cp:revision>
  <cp:lastPrinted>1998-01-23T05:18:00Z</cp:lastPrinted>
  <dcterms:created xsi:type="dcterms:W3CDTF">2019-01-29T08:10:00Z</dcterms:created>
  <dcterms:modified xsi:type="dcterms:W3CDTF">2019-01-29T08:10:00Z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96 of 1972</vt:lpwstr>
  </property>
  <property fmtid="{D5CDD505-2E9C-101B-9397-08002B2CF9AE}" pid="3" name="CommencementDate">
    <vt:lpwstr>20070507</vt:lpwstr>
  </property>
  <property fmtid="{D5CDD505-2E9C-101B-9397-08002B2CF9AE}" pid="4" name="DocumentType">
    <vt:lpwstr>Act</vt:lpwstr>
  </property>
  <property fmtid="{D5CDD505-2E9C-101B-9397-08002B2CF9AE}" pid="5" name="AsAtDate">
    <vt:lpwstr>07 May 2007</vt:lpwstr>
  </property>
  <property fmtid="{D5CDD505-2E9C-101B-9397-08002B2CF9AE}" pid="6" name="Suffix">
    <vt:lpwstr>00-c0-09</vt:lpwstr>
  </property>
</Properties>
</file>